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szCs w:val="24"/>
          <w:rtl/>
          <w:lang w:eastAsia="en-US"/>
        </w:rPr>
      </w:pPr>
      <w:r>
        <w:rPr>
          <w:noProof/>
          <w:sz w:val="20"/>
          <w:szCs w:val="22"/>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E/1990/5/Add.59</w:t>
                  </w:r>
                  <w:r>
                    <w:rPr>
                      <w:szCs w:val="22"/>
                      <w:lang w:eastAsia="en-US"/>
                    </w:rPr>
                    <w:br/>
                    <w:t>4 March 2004</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28"/>
          <w:rtl/>
          <w:lang w:eastAsia="en-US"/>
        </w:rPr>
        <w:t>الدورة الموضوعية لعام 2004</w:t>
      </w:r>
    </w:p>
    <w:p w:rsidR="00000000" w:rsidRDefault="00000000">
      <w:pPr>
        <w:jc w:val="center"/>
        <w:rPr>
          <w:rFonts w:hint="cs"/>
          <w:b/>
          <w:bCs/>
          <w:sz w:val="38"/>
          <w:szCs w:val="36"/>
          <w:rtl/>
          <w:lang w:eastAsia="en-US"/>
        </w:rPr>
      </w:pPr>
      <w:r>
        <w:rPr>
          <w:rFonts w:hint="cs"/>
          <w:b/>
          <w:bCs/>
          <w:sz w:val="38"/>
          <w:szCs w:val="36"/>
          <w:rtl/>
          <w:lang w:eastAsia="en-US"/>
        </w:rPr>
        <w:t>تنفيذ العهد الدولي الخاص بالحقوق الاقتصادية والاجتماعية والثقافية</w:t>
      </w:r>
    </w:p>
    <w:p w:rsidR="00000000" w:rsidRDefault="00000000">
      <w:pPr>
        <w:jc w:val="center"/>
        <w:rPr>
          <w:b/>
          <w:bCs/>
          <w:rtl/>
          <w:lang w:eastAsia="en-US"/>
        </w:rPr>
      </w:pPr>
      <w:r>
        <w:rPr>
          <w:rFonts w:hint="cs"/>
          <w:b/>
          <w:bCs/>
          <w:rtl/>
          <w:lang w:eastAsia="en-US"/>
        </w:rPr>
        <w:t>التقارير الأولية المقدمة من الدول الأطراف بموجب</w:t>
      </w:r>
      <w:r>
        <w:rPr>
          <w:b/>
          <w:bCs/>
          <w:rtl/>
          <w:lang w:eastAsia="en-US"/>
        </w:rPr>
        <w:br/>
      </w:r>
      <w:r>
        <w:rPr>
          <w:rFonts w:hint="cs"/>
          <w:b/>
          <w:bCs/>
          <w:rtl/>
          <w:lang w:eastAsia="en-US"/>
        </w:rPr>
        <w:t>المادتين 16 و17 من العهد</w:t>
      </w:r>
    </w:p>
    <w:p w:rsidR="00000000" w:rsidRDefault="00000000">
      <w:pPr>
        <w:jc w:val="center"/>
        <w:rPr>
          <w:rFonts w:hint="cs"/>
          <w:b/>
          <w:bCs/>
          <w:rtl/>
          <w:lang w:eastAsia="en-US"/>
        </w:rPr>
      </w:pPr>
      <w:r>
        <w:rPr>
          <w:rFonts w:hint="cs"/>
          <w:b/>
          <w:bCs/>
          <w:rtl/>
          <w:lang w:eastAsia="en-US"/>
        </w:rPr>
        <w:t>إضافة</w:t>
      </w:r>
    </w:p>
    <w:p w:rsidR="00000000" w:rsidRDefault="00000000">
      <w:pPr>
        <w:jc w:val="center"/>
        <w:rPr>
          <w:b/>
          <w:bCs/>
          <w:sz w:val="38"/>
          <w:szCs w:val="36"/>
          <w:rtl/>
          <w:lang w:eastAsia="en-US"/>
        </w:rPr>
      </w:pPr>
      <w:r>
        <w:rPr>
          <w:rFonts w:hint="cs"/>
          <w:b/>
          <w:bCs/>
          <w:sz w:val="38"/>
          <w:szCs w:val="36"/>
          <w:rtl/>
          <w:lang w:eastAsia="en-US"/>
        </w:rPr>
        <w:t>جمهورية الصين الشعبية</w:t>
      </w:r>
      <w:r>
        <w:rPr>
          <w:rStyle w:val="FootnoteReference"/>
          <w:b/>
          <w:bCs w:val="0"/>
          <w:sz w:val="38"/>
          <w:rtl/>
          <w:lang w:eastAsia="en-US"/>
        </w:rPr>
        <w:footnoteReference w:customMarkFollows="1" w:id="1"/>
        <w:sym w:font="Symbol" w:char="F02A"/>
      </w:r>
    </w:p>
    <w:p w:rsidR="00000000" w:rsidRDefault="00000000">
      <w:pPr>
        <w:jc w:val="right"/>
        <w:rPr>
          <w:rFonts w:hint="cs"/>
          <w:rtl/>
          <w:lang w:eastAsia="en-US"/>
        </w:rPr>
      </w:pPr>
      <w:r>
        <w:rPr>
          <w:rFonts w:hint="cs"/>
          <w:rtl/>
          <w:lang w:eastAsia="en-US"/>
        </w:rPr>
        <w:t>[27 حزيران/يونيه 2003]</w:t>
      </w:r>
    </w:p>
    <w:p w:rsidR="00000000" w:rsidRDefault="00000000">
      <w:pPr>
        <w:spacing w:before="100" w:after="100" w:line="400" w:lineRule="exact"/>
        <w:jc w:val="center"/>
        <w:rPr>
          <w:b/>
          <w:bCs/>
          <w:szCs w:val="28"/>
          <w:rtl/>
          <w:lang w:eastAsia="en-US"/>
        </w:rPr>
      </w:pPr>
      <w:r>
        <w:rPr>
          <w:b/>
          <w:bCs/>
          <w:rtl/>
          <w:lang w:eastAsia="en-US"/>
        </w:rPr>
        <w:br w:type="page"/>
      </w:r>
      <w:r>
        <w:rPr>
          <w:b/>
          <w:bCs/>
          <w:sz w:val="36"/>
          <w:szCs w:val="36"/>
          <w:rtl/>
          <w:lang w:eastAsia="en-US"/>
        </w:rPr>
        <w:t>المحتويات</w:t>
      </w:r>
    </w:p>
    <w:p w:rsidR="00000000" w:rsidRDefault="00000000">
      <w:pPr>
        <w:tabs>
          <w:tab w:val="left" w:pos="7773"/>
          <w:tab w:val="right" w:pos="9354"/>
        </w:tabs>
        <w:spacing w:before="100" w:after="100" w:line="400" w:lineRule="exact"/>
        <w:jc w:val="both"/>
        <w:rPr>
          <w:i/>
          <w:iCs/>
          <w:rtl/>
          <w:lang w:eastAsia="en-US"/>
        </w:rPr>
      </w:pPr>
      <w:r>
        <w:rPr>
          <w:i/>
          <w:iCs/>
          <w:rtl/>
          <w:lang w:eastAsia="en-US"/>
        </w:rPr>
        <w:tab/>
        <w:t>الفقرات</w:t>
      </w:r>
      <w:r>
        <w:rPr>
          <w:i/>
          <w:iCs/>
          <w:rtl/>
          <w:lang w:eastAsia="en-US"/>
        </w:rPr>
        <w:tab/>
        <w:t>الصفحة</w:t>
      </w:r>
    </w:p>
    <w:p w:rsidR="00000000" w:rsidRDefault="00000000">
      <w:pPr>
        <w:tabs>
          <w:tab w:val="left" w:pos="822"/>
          <w:tab w:val="left" w:pos="1389"/>
          <w:tab w:val="left" w:pos="1956"/>
          <w:tab w:val="left" w:leader="dot" w:pos="7014"/>
          <w:tab w:val="center" w:pos="7999"/>
          <w:tab w:val="center" w:pos="9043"/>
        </w:tabs>
        <w:spacing w:before="100" w:after="100" w:line="400" w:lineRule="exact"/>
        <w:jc w:val="center"/>
        <w:rPr>
          <w:rFonts w:hint="cs"/>
          <w:rtl/>
          <w:lang w:eastAsia="en-US"/>
        </w:rPr>
      </w:pPr>
      <w:r>
        <w:rPr>
          <w:rFonts w:hint="cs"/>
          <w:rtl/>
          <w:lang w:eastAsia="en-US"/>
        </w:rPr>
        <w:t xml:space="preserve">الجزء الأول: </w:t>
      </w:r>
      <w:r>
        <w:rPr>
          <w:rFonts w:hint="cs"/>
          <w:sz w:val="36"/>
          <w:szCs w:val="36"/>
          <w:rtl/>
          <w:lang w:eastAsia="en-US"/>
        </w:rPr>
        <w:t>الصين</w:t>
      </w:r>
    </w:p>
    <w:p w:rsidR="00000000" w:rsidRDefault="00000000">
      <w:pPr>
        <w:tabs>
          <w:tab w:val="left" w:leader="dot" w:pos="7014"/>
          <w:tab w:val="center" w:pos="7999"/>
          <w:tab w:val="center" w:pos="9043"/>
        </w:tabs>
        <w:spacing w:before="100" w:after="100" w:line="400" w:lineRule="exact"/>
        <w:jc w:val="both"/>
        <w:rPr>
          <w:rFonts w:hint="cs"/>
          <w:rtl/>
          <w:lang w:eastAsia="en-US"/>
        </w:rPr>
      </w:pPr>
      <w:r>
        <w:rPr>
          <w:rFonts w:hint="cs"/>
          <w:rtl/>
          <w:lang w:eastAsia="en-US"/>
        </w:rPr>
        <w:t>مقدمة</w:t>
      </w:r>
      <w:r>
        <w:rPr>
          <w:rFonts w:hint="cs"/>
          <w:rtl/>
          <w:lang w:eastAsia="en-US"/>
        </w:rPr>
        <w:tab/>
      </w:r>
      <w:r>
        <w:rPr>
          <w:rFonts w:hint="cs"/>
          <w:rtl/>
          <w:lang w:eastAsia="en-US"/>
        </w:rPr>
        <w:tab/>
        <w:t>1-5</w:t>
      </w:r>
      <w:r>
        <w:rPr>
          <w:rFonts w:hint="cs"/>
          <w:rtl/>
          <w:lang w:eastAsia="en-US"/>
        </w:rPr>
        <w:tab/>
        <w:t>5</w:t>
      </w:r>
    </w:p>
    <w:p w:rsidR="00000000" w:rsidRDefault="00000000">
      <w:pPr>
        <w:tabs>
          <w:tab w:val="left" w:pos="822"/>
          <w:tab w:val="left" w:pos="1389"/>
          <w:tab w:val="left" w:leader="dot" w:pos="7014"/>
          <w:tab w:val="center" w:pos="7999"/>
          <w:tab w:val="center" w:pos="9043"/>
        </w:tabs>
        <w:spacing w:before="100" w:after="100" w:line="400" w:lineRule="exact"/>
        <w:jc w:val="both"/>
        <w:rPr>
          <w:rFonts w:hint="cs"/>
          <w:rtl/>
          <w:lang w:eastAsia="en-US"/>
        </w:rPr>
      </w:pPr>
      <w:r>
        <w:rPr>
          <w:rFonts w:hint="cs"/>
          <w:rtl/>
          <w:lang w:eastAsia="en-US"/>
        </w:rPr>
        <w:t>المادة 1</w:t>
      </w:r>
      <w:r>
        <w:rPr>
          <w:rFonts w:hint="cs"/>
          <w:rtl/>
          <w:lang w:eastAsia="en-US"/>
        </w:rPr>
        <w:tab/>
        <w:t>تقرير المصير</w:t>
      </w:r>
      <w:r>
        <w:rPr>
          <w:rFonts w:hint="cs"/>
          <w:rtl/>
          <w:lang w:eastAsia="en-US"/>
        </w:rPr>
        <w:tab/>
      </w:r>
      <w:r>
        <w:rPr>
          <w:rFonts w:hint="cs"/>
          <w:rtl/>
          <w:lang w:eastAsia="en-US"/>
        </w:rPr>
        <w:tab/>
        <w:t>6-8</w:t>
      </w:r>
      <w:r>
        <w:rPr>
          <w:rFonts w:hint="cs"/>
          <w:rtl/>
          <w:lang w:eastAsia="en-US"/>
        </w:rPr>
        <w:tab/>
        <w:t>5</w:t>
      </w:r>
    </w:p>
    <w:p w:rsidR="00000000" w:rsidRDefault="00000000">
      <w:pPr>
        <w:tabs>
          <w:tab w:val="left" w:pos="822"/>
          <w:tab w:val="left" w:pos="1389"/>
          <w:tab w:val="left" w:pos="1956"/>
          <w:tab w:val="left" w:leader="dot" w:pos="7014"/>
          <w:tab w:val="center" w:pos="7999"/>
          <w:tab w:val="center" w:pos="9043"/>
        </w:tabs>
        <w:spacing w:before="100" w:after="100" w:line="400" w:lineRule="exact"/>
        <w:jc w:val="both"/>
        <w:rPr>
          <w:rFonts w:hint="cs"/>
          <w:rtl/>
          <w:lang w:eastAsia="en-US"/>
        </w:rPr>
      </w:pPr>
      <w:r>
        <w:rPr>
          <w:rFonts w:hint="cs"/>
          <w:rtl/>
          <w:lang w:eastAsia="en-US"/>
        </w:rPr>
        <w:t>المادة 2</w:t>
      </w:r>
      <w:r>
        <w:rPr>
          <w:rFonts w:hint="cs"/>
          <w:rtl/>
          <w:lang w:eastAsia="en-US"/>
        </w:rPr>
        <w:tab/>
        <w:t>التدابير المتخذة لضمان الإعمال الكامل للحقوق</w:t>
      </w:r>
      <w:r>
        <w:rPr>
          <w:rFonts w:hint="cs"/>
          <w:rtl/>
          <w:lang w:eastAsia="en-US"/>
        </w:rPr>
        <w:tab/>
      </w:r>
      <w:r>
        <w:rPr>
          <w:rFonts w:hint="cs"/>
          <w:rtl/>
          <w:lang w:eastAsia="en-US"/>
        </w:rPr>
        <w:tab/>
        <w:t>9-16</w:t>
      </w:r>
      <w:r>
        <w:rPr>
          <w:rFonts w:hint="cs"/>
          <w:rtl/>
          <w:lang w:eastAsia="en-US"/>
        </w:rPr>
        <w:tab/>
        <w:t>6</w:t>
      </w:r>
    </w:p>
    <w:p w:rsidR="00000000" w:rsidRDefault="00000000">
      <w:pPr>
        <w:tabs>
          <w:tab w:val="left" w:pos="822"/>
          <w:tab w:val="left" w:pos="1389"/>
          <w:tab w:val="left" w:pos="1956"/>
          <w:tab w:val="left" w:leader="dot" w:pos="7014"/>
          <w:tab w:val="center" w:pos="7999"/>
          <w:tab w:val="center" w:pos="9043"/>
        </w:tabs>
        <w:spacing w:before="100" w:after="100" w:line="400" w:lineRule="exact"/>
        <w:jc w:val="both"/>
        <w:rPr>
          <w:rFonts w:hint="cs"/>
          <w:rtl/>
          <w:lang w:eastAsia="en-US"/>
        </w:rPr>
      </w:pPr>
      <w:r>
        <w:rPr>
          <w:rFonts w:hint="cs"/>
          <w:rtl/>
          <w:lang w:eastAsia="en-US"/>
        </w:rPr>
        <w:t>المادة 3</w:t>
      </w:r>
      <w:r>
        <w:rPr>
          <w:rFonts w:hint="cs"/>
          <w:rtl/>
          <w:lang w:eastAsia="en-US"/>
        </w:rPr>
        <w:tab/>
        <w:t>المساواة بين الجنسين</w:t>
      </w:r>
      <w:r>
        <w:rPr>
          <w:rFonts w:hint="cs"/>
          <w:rtl/>
          <w:lang w:eastAsia="en-US"/>
        </w:rPr>
        <w:tab/>
      </w:r>
      <w:r>
        <w:rPr>
          <w:rFonts w:hint="cs"/>
          <w:rtl/>
          <w:lang w:eastAsia="en-US"/>
        </w:rPr>
        <w:tab/>
        <w:t>17-22</w:t>
      </w:r>
      <w:r>
        <w:rPr>
          <w:rFonts w:hint="cs"/>
          <w:rtl/>
          <w:lang w:eastAsia="en-US"/>
        </w:rPr>
        <w:tab/>
        <w:t>9</w:t>
      </w:r>
    </w:p>
    <w:p w:rsidR="00000000" w:rsidRDefault="00000000">
      <w:pPr>
        <w:tabs>
          <w:tab w:val="left" w:pos="822"/>
          <w:tab w:val="left" w:pos="1389"/>
          <w:tab w:val="left" w:pos="1956"/>
          <w:tab w:val="left" w:leader="dot" w:pos="7014"/>
          <w:tab w:val="center" w:pos="7999"/>
          <w:tab w:val="center" w:pos="9043"/>
        </w:tabs>
        <w:spacing w:before="100" w:after="100" w:line="400" w:lineRule="exact"/>
        <w:jc w:val="both"/>
        <w:rPr>
          <w:rFonts w:hint="cs"/>
          <w:rtl/>
          <w:lang w:eastAsia="en-US"/>
        </w:rPr>
      </w:pPr>
      <w:r>
        <w:rPr>
          <w:rFonts w:hint="cs"/>
          <w:rtl/>
          <w:lang w:eastAsia="en-US"/>
        </w:rPr>
        <w:t>المادة 6</w:t>
      </w:r>
      <w:r>
        <w:rPr>
          <w:rFonts w:hint="cs"/>
          <w:rtl/>
          <w:lang w:eastAsia="en-US"/>
        </w:rPr>
        <w:tab/>
        <w:t>الحق في العمل</w:t>
      </w:r>
      <w:r>
        <w:rPr>
          <w:rFonts w:hint="cs"/>
          <w:rtl/>
          <w:lang w:eastAsia="en-US"/>
        </w:rPr>
        <w:tab/>
      </w:r>
      <w:r>
        <w:rPr>
          <w:rFonts w:hint="cs"/>
          <w:rtl/>
          <w:lang w:eastAsia="en-US"/>
        </w:rPr>
        <w:tab/>
        <w:t>23-45</w:t>
      </w:r>
      <w:r>
        <w:rPr>
          <w:rFonts w:hint="cs"/>
          <w:rtl/>
          <w:lang w:eastAsia="en-US"/>
        </w:rPr>
        <w:tab/>
        <w:t>11</w:t>
      </w:r>
    </w:p>
    <w:p w:rsidR="00000000" w:rsidRDefault="00000000">
      <w:pPr>
        <w:tabs>
          <w:tab w:val="left" w:pos="822"/>
          <w:tab w:val="left" w:pos="1389"/>
          <w:tab w:val="left" w:pos="1956"/>
          <w:tab w:val="left" w:leader="dot" w:pos="7014"/>
          <w:tab w:val="center" w:pos="7999"/>
          <w:tab w:val="center" w:pos="9043"/>
        </w:tabs>
        <w:spacing w:before="100" w:after="100" w:line="400" w:lineRule="exact"/>
        <w:jc w:val="both"/>
        <w:rPr>
          <w:rFonts w:hint="cs"/>
          <w:rtl/>
          <w:lang w:eastAsia="en-US"/>
        </w:rPr>
      </w:pPr>
      <w:r>
        <w:rPr>
          <w:rFonts w:hint="cs"/>
          <w:rtl/>
          <w:lang w:eastAsia="en-US"/>
        </w:rPr>
        <w:t>المادة 7</w:t>
      </w:r>
      <w:r>
        <w:rPr>
          <w:rFonts w:hint="cs"/>
          <w:rtl/>
          <w:lang w:eastAsia="en-US"/>
        </w:rPr>
        <w:tab/>
        <w:t>الحق في ظروف عمل ملائمة</w:t>
      </w:r>
      <w:r>
        <w:rPr>
          <w:rFonts w:hint="cs"/>
          <w:rtl/>
          <w:lang w:eastAsia="en-US"/>
        </w:rPr>
        <w:tab/>
      </w:r>
      <w:r>
        <w:rPr>
          <w:rFonts w:hint="cs"/>
          <w:rtl/>
          <w:lang w:eastAsia="en-US"/>
        </w:rPr>
        <w:tab/>
        <w:t>46-68</w:t>
      </w:r>
      <w:r>
        <w:rPr>
          <w:rFonts w:hint="cs"/>
          <w:rtl/>
          <w:lang w:eastAsia="en-US"/>
        </w:rPr>
        <w:tab/>
        <w:t>22</w:t>
      </w:r>
    </w:p>
    <w:p w:rsidR="00000000" w:rsidRDefault="00000000">
      <w:pPr>
        <w:tabs>
          <w:tab w:val="left" w:pos="822"/>
          <w:tab w:val="left" w:pos="1389"/>
          <w:tab w:val="left" w:pos="1956"/>
          <w:tab w:val="left" w:leader="dot" w:pos="7014"/>
          <w:tab w:val="center" w:pos="7999"/>
          <w:tab w:val="center" w:pos="9043"/>
        </w:tabs>
        <w:spacing w:before="100" w:after="100" w:line="400" w:lineRule="exact"/>
        <w:jc w:val="both"/>
        <w:rPr>
          <w:rFonts w:hint="cs"/>
          <w:rtl/>
          <w:lang w:eastAsia="en-US"/>
        </w:rPr>
      </w:pPr>
      <w:r>
        <w:rPr>
          <w:rFonts w:hint="cs"/>
          <w:rtl/>
          <w:lang w:eastAsia="en-US"/>
        </w:rPr>
        <w:t>المادة 8</w:t>
      </w:r>
      <w:r>
        <w:rPr>
          <w:rFonts w:hint="cs"/>
          <w:rtl/>
          <w:lang w:eastAsia="en-US"/>
        </w:rPr>
        <w:tab/>
        <w:t>الحق في الانضمام إلى النقابات</w:t>
      </w:r>
      <w:r>
        <w:rPr>
          <w:rFonts w:hint="cs"/>
          <w:rtl/>
          <w:lang w:eastAsia="en-US"/>
        </w:rPr>
        <w:tab/>
      </w:r>
      <w:r>
        <w:rPr>
          <w:rFonts w:hint="cs"/>
          <w:rtl/>
          <w:lang w:eastAsia="en-US"/>
        </w:rPr>
        <w:tab/>
        <w:t>69-82</w:t>
      </w:r>
      <w:r>
        <w:rPr>
          <w:rFonts w:hint="cs"/>
          <w:rtl/>
          <w:lang w:eastAsia="en-US"/>
        </w:rPr>
        <w:tab/>
        <w:t>29</w:t>
      </w:r>
    </w:p>
    <w:p w:rsidR="00000000" w:rsidRDefault="00000000">
      <w:pPr>
        <w:tabs>
          <w:tab w:val="left" w:pos="822"/>
          <w:tab w:val="left" w:pos="1389"/>
          <w:tab w:val="left" w:pos="1956"/>
          <w:tab w:val="left" w:leader="dot" w:pos="7014"/>
          <w:tab w:val="center" w:pos="7999"/>
          <w:tab w:val="center" w:pos="9043"/>
        </w:tabs>
        <w:spacing w:before="100" w:after="100" w:line="400" w:lineRule="exact"/>
        <w:jc w:val="both"/>
        <w:rPr>
          <w:rFonts w:hint="cs"/>
          <w:rtl/>
          <w:lang w:eastAsia="en-US"/>
        </w:rPr>
      </w:pPr>
      <w:r>
        <w:rPr>
          <w:rFonts w:hint="cs"/>
          <w:rtl/>
          <w:lang w:eastAsia="en-US"/>
        </w:rPr>
        <w:t>المادة 9</w:t>
      </w:r>
      <w:r>
        <w:rPr>
          <w:rFonts w:hint="cs"/>
          <w:rtl/>
          <w:lang w:eastAsia="en-US"/>
        </w:rPr>
        <w:tab/>
        <w:t>الحق في الضمان الاجتماعي</w:t>
      </w:r>
      <w:r>
        <w:rPr>
          <w:rFonts w:hint="cs"/>
          <w:rtl/>
          <w:lang w:eastAsia="en-US"/>
        </w:rPr>
        <w:tab/>
      </w:r>
      <w:r>
        <w:rPr>
          <w:rFonts w:hint="cs"/>
          <w:rtl/>
          <w:lang w:eastAsia="en-US"/>
        </w:rPr>
        <w:tab/>
        <w:t>83-95</w:t>
      </w:r>
      <w:r>
        <w:rPr>
          <w:rFonts w:hint="cs"/>
          <w:rtl/>
          <w:lang w:eastAsia="en-US"/>
        </w:rPr>
        <w:tab/>
        <w:t>34</w:t>
      </w:r>
    </w:p>
    <w:p w:rsidR="00000000" w:rsidRDefault="00000000">
      <w:pPr>
        <w:tabs>
          <w:tab w:val="left" w:pos="822"/>
          <w:tab w:val="left" w:pos="1389"/>
          <w:tab w:val="left" w:pos="1956"/>
          <w:tab w:val="left" w:leader="dot" w:pos="7014"/>
          <w:tab w:val="center" w:pos="7999"/>
          <w:tab w:val="center" w:pos="9043"/>
        </w:tabs>
        <w:spacing w:before="100" w:after="100" w:line="400" w:lineRule="exact"/>
        <w:jc w:val="both"/>
        <w:rPr>
          <w:rFonts w:hint="cs"/>
          <w:rtl/>
          <w:lang w:eastAsia="en-US"/>
        </w:rPr>
      </w:pPr>
      <w:r>
        <w:rPr>
          <w:rFonts w:hint="cs"/>
          <w:rtl/>
          <w:lang w:eastAsia="en-US"/>
        </w:rPr>
        <w:t>المادة 10</w:t>
      </w:r>
      <w:r>
        <w:rPr>
          <w:rFonts w:hint="cs"/>
          <w:rtl/>
          <w:lang w:eastAsia="en-US"/>
        </w:rPr>
        <w:tab/>
        <w:t>حماية الأسرة</w:t>
      </w:r>
      <w:r>
        <w:rPr>
          <w:rFonts w:hint="cs"/>
          <w:rtl/>
          <w:lang w:eastAsia="en-US"/>
        </w:rPr>
        <w:tab/>
      </w:r>
      <w:r>
        <w:rPr>
          <w:rFonts w:hint="cs"/>
          <w:rtl/>
          <w:lang w:eastAsia="en-US"/>
        </w:rPr>
        <w:tab/>
      </w:r>
      <w:r>
        <w:rPr>
          <w:rFonts w:hint="cs"/>
          <w:rtl/>
          <w:lang w:eastAsia="en-US"/>
        </w:rPr>
        <w:tab/>
        <w:t>96-107</w:t>
      </w:r>
      <w:r>
        <w:rPr>
          <w:rFonts w:hint="cs"/>
          <w:rtl/>
          <w:lang w:eastAsia="en-US"/>
        </w:rPr>
        <w:tab/>
        <w:t>38</w:t>
      </w:r>
    </w:p>
    <w:p w:rsidR="00000000" w:rsidRDefault="00000000">
      <w:pPr>
        <w:tabs>
          <w:tab w:val="left" w:pos="822"/>
          <w:tab w:val="left" w:pos="1389"/>
          <w:tab w:val="left" w:pos="1956"/>
          <w:tab w:val="left" w:leader="dot" w:pos="7014"/>
          <w:tab w:val="center" w:pos="7999"/>
          <w:tab w:val="center" w:pos="9043"/>
        </w:tabs>
        <w:spacing w:before="100" w:after="100" w:line="400" w:lineRule="exact"/>
        <w:jc w:val="both"/>
        <w:rPr>
          <w:rFonts w:hint="cs"/>
          <w:rtl/>
          <w:lang w:eastAsia="en-US"/>
        </w:rPr>
      </w:pPr>
      <w:r>
        <w:rPr>
          <w:rFonts w:hint="cs"/>
          <w:rtl/>
          <w:lang w:eastAsia="en-US"/>
        </w:rPr>
        <w:t>المادة 11</w:t>
      </w:r>
      <w:r>
        <w:rPr>
          <w:rFonts w:hint="cs"/>
          <w:rtl/>
          <w:lang w:eastAsia="en-US"/>
        </w:rPr>
        <w:tab/>
        <w:t>الحق في مستوى معيشي لائق</w:t>
      </w:r>
      <w:r>
        <w:rPr>
          <w:rFonts w:hint="cs"/>
          <w:rtl/>
          <w:lang w:eastAsia="en-US"/>
        </w:rPr>
        <w:tab/>
      </w:r>
      <w:r>
        <w:rPr>
          <w:rFonts w:hint="cs"/>
          <w:rtl/>
          <w:lang w:eastAsia="en-US"/>
        </w:rPr>
        <w:tab/>
        <w:t>108-144</w:t>
      </w:r>
      <w:r>
        <w:rPr>
          <w:rFonts w:hint="cs"/>
          <w:rtl/>
          <w:lang w:eastAsia="en-US"/>
        </w:rPr>
        <w:tab/>
        <w:t>42</w:t>
      </w:r>
    </w:p>
    <w:p w:rsidR="00000000" w:rsidRDefault="00000000">
      <w:pPr>
        <w:tabs>
          <w:tab w:val="left" w:pos="822"/>
          <w:tab w:val="left" w:pos="1389"/>
          <w:tab w:val="left" w:pos="1956"/>
          <w:tab w:val="left" w:leader="dot" w:pos="7014"/>
          <w:tab w:val="center" w:pos="7999"/>
          <w:tab w:val="center" w:pos="9043"/>
        </w:tabs>
        <w:spacing w:before="100" w:after="100" w:line="400" w:lineRule="exact"/>
        <w:jc w:val="both"/>
        <w:rPr>
          <w:rFonts w:hint="cs"/>
          <w:rtl/>
          <w:lang w:eastAsia="en-US"/>
        </w:rPr>
      </w:pPr>
      <w:r>
        <w:rPr>
          <w:rFonts w:hint="cs"/>
          <w:rtl/>
          <w:lang w:eastAsia="en-US"/>
        </w:rPr>
        <w:t>المادة 12</w:t>
      </w:r>
      <w:r>
        <w:rPr>
          <w:rFonts w:hint="cs"/>
          <w:rtl/>
          <w:lang w:eastAsia="en-US"/>
        </w:rPr>
        <w:tab/>
        <w:t>الحق في التمتع بأعلى مستوى من الصحة</w:t>
      </w:r>
      <w:r>
        <w:rPr>
          <w:rFonts w:hint="cs"/>
          <w:rtl/>
          <w:lang w:eastAsia="en-US"/>
        </w:rPr>
        <w:tab/>
      </w:r>
      <w:r>
        <w:rPr>
          <w:rFonts w:hint="cs"/>
          <w:rtl/>
          <w:lang w:eastAsia="en-US"/>
        </w:rPr>
        <w:tab/>
        <w:t>145-209</w:t>
      </w:r>
      <w:r>
        <w:rPr>
          <w:rFonts w:hint="cs"/>
          <w:rtl/>
          <w:lang w:eastAsia="en-US"/>
        </w:rPr>
        <w:tab/>
        <w:t>54</w:t>
      </w:r>
    </w:p>
    <w:p w:rsidR="00000000" w:rsidRDefault="00000000">
      <w:pPr>
        <w:tabs>
          <w:tab w:val="left" w:pos="822"/>
          <w:tab w:val="left" w:pos="1389"/>
          <w:tab w:val="left" w:pos="1956"/>
          <w:tab w:val="left" w:leader="dot" w:pos="7014"/>
          <w:tab w:val="center" w:pos="7999"/>
          <w:tab w:val="center" w:pos="9043"/>
        </w:tabs>
        <w:spacing w:before="100" w:after="100" w:line="400" w:lineRule="exact"/>
        <w:jc w:val="both"/>
        <w:rPr>
          <w:rFonts w:hint="cs"/>
          <w:rtl/>
          <w:lang w:eastAsia="en-US"/>
        </w:rPr>
      </w:pPr>
      <w:r>
        <w:rPr>
          <w:rFonts w:hint="cs"/>
          <w:rtl/>
          <w:lang w:eastAsia="en-US"/>
        </w:rPr>
        <w:t>المادتان 13</w:t>
      </w:r>
    </w:p>
    <w:p w:rsidR="00000000" w:rsidRDefault="00000000">
      <w:pPr>
        <w:tabs>
          <w:tab w:val="left" w:pos="822"/>
          <w:tab w:val="left" w:pos="1389"/>
          <w:tab w:val="left" w:pos="1956"/>
          <w:tab w:val="left" w:leader="dot" w:pos="7014"/>
          <w:tab w:val="center" w:pos="7999"/>
          <w:tab w:val="center" w:pos="9043"/>
        </w:tabs>
        <w:spacing w:before="100" w:after="100" w:line="400" w:lineRule="exact"/>
        <w:jc w:val="both"/>
        <w:rPr>
          <w:rFonts w:hint="cs"/>
          <w:rtl/>
          <w:lang w:eastAsia="en-US"/>
        </w:rPr>
      </w:pPr>
      <w:r>
        <w:rPr>
          <w:rFonts w:hint="cs"/>
          <w:rtl/>
          <w:lang w:eastAsia="en-US"/>
        </w:rPr>
        <w:t xml:space="preserve">   و14</w:t>
      </w:r>
      <w:r>
        <w:rPr>
          <w:rFonts w:hint="cs"/>
          <w:rtl/>
          <w:lang w:eastAsia="en-US"/>
        </w:rPr>
        <w:tab/>
        <w:t>الحق في التعليم</w:t>
      </w:r>
      <w:r>
        <w:rPr>
          <w:rFonts w:hint="cs"/>
          <w:rtl/>
          <w:lang w:eastAsia="en-US"/>
        </w:rPr>
        <w:tab/>
      </w:r>
      <w:r>
        <w:rPr>
          <w:rFonts w:hint="cs"/>
          <w:rtl/>
          <w:lang w:eastAsia="en-US"/>
        </w:rPr>
        <w:tab/>
        <w:t>210-232</w:t>
      </w:r>
      <w:r>
        <w:rPr>
          <w:rFonts w:hint="cs"/>
          <w:rtl/>
          <w:lang w:eastAsia="en-US"/>
        </w:rPr>
        <w:tab/>
        <w:t>77</w:t>
      </w:r>
    </w:p>
    <w:p w:rsidR="00000000" w:rsidRDefault="00000000">
      <w:pPr>
        <w:tabs>
          <w:tab w:val="left" w:pos="822"/>
          <w:tab w:val="left" w:pos="1389"/>
          <w:tab w:val="left" w:pos="1956"/>
          <w:tab w:val="left" w:leader="dot" w:pos="7014"/>
          <w:tab w:val="center" w:pos="7999"/>
          <w:tab w:val="center" w:pos="9043"/>
        </w:tabs>
        <w:spacing w:before="100" w:after="100" w:line="400" w:lineRule="exact"/>
        <w:jc w:val="both"/>
        <w:rPr>
          <w:rFonts w:hint="cs"/>
          <w:rtl/>
          <w:lang w:eastAsia="en-US"/>
        </w:rPr>
      </w:pPr>
      <w:r>
        <w:rPr>
          <w:rFonts w:hint="cs"/>
          <w:rtl/>
          <w:lang w:eastAsia="en-US"/>
        </w:rPr>
        <w:t>المادة 15</w:t>
      </w:r>
      <w:r>
        <w:rPr>
          <w:rFonts w:hint="cs"/>
          <w:rtl/>
          <w:lang w:eastAsia="en-US"/>
        </w:rPr>
        <w:tab/>
        <w:t>الحق في المشاركة في الحياة الثقافية والحق في التمتع بفوائد التقدم العلمي</w:t>
      </w:r>
      <w:r>
        <w:rPr>
          <w:rFonts w:hint="cs"/>
          <w:rtl/>
          <w:lang w:eastAsia="en-US"/>
        </w:rPr>
        <w:tab/>
      </w:r>
      <w:r>
        <w:rPr>
          <w:rFonts w:hint="cs"/>
          <w:rtl/>
          <w:lang w:eastAsia="en-US"/>
        </w:rPr>
        <w:tab/>
        <w:t>233-283</w:t>
      </w:r>
      <w:r>
        <w:rPr>
          <w:rFonts w:hint="cs"/>
          <w:rtl/>
          <w:lang w:eastAsia="en-US"/>
        </w:rPr>
        <w:tab/>
        <w:t>86</w:t>
      </w:r>
    </w:p>
    <w:p w:rsidR="00000000" w:rsidRDefault="00000000">
      <w:pPr>
        <w:tabs>
          <w:tab w:val="left" w:leader="dot" w:pos="8225"/>
          <w:tab w:val="center" w:pos="9043"/>
        </w:tabs>
        <w:spacing w:before="100" w:after="100" w:line="400" w:lineRule="exact"/>
        <w:jc w:val="both"/>
        <w:rPr>
          <w:rFonts w:hint="cs"/>
          <w:rtl/>
          <w:lang w:eastAsia="en-US"/>
        </w:rPr>
      </w:pPr>
      <w:r>
        <w:rPr>
          <w:rFonts w:hint="cs"/>
          <w:rtl/>
          <w:lang w:eastAsia="en-US"/>
        </w:rPr>
        <w:t>الجداول</w:t>
      </w:r>
      <w:r>
        <w:rPr>
          <w:rFonts w:hint="cs"/>
          <w:rtl/>
          <w:lang w:eastAsia="en-US"/>
        </w:rPr>
        <w:tab/>
      </w:r>
      <w:r>
        <w:rPr>
          <w:rFonts w:hint="cs"/>
          <w:rtl/>
          <w:lang w:eastAsia="en-US"/>
        </w:rPr>
        <w:tab/>
        <w:t>104</w:t>
      </w:r>
    </w:p>
    <w:p w:rsidR="00000000" w:rsidRDefault="00000000">
      <w:pPr>
        <w:tabs>
          <w:tab w:val="left" w:pos="822"/>
          <w:tab w:val="left" w:leader="dot" w:pos="8225"/>
          <w:tab w:val="center" w:pos="9043"/>
        </w:tabs>
        <w:spacing w:before="100" w:after="100" w:line="400" w:lineRule="exact"/>
        <w:jc w:val="both"/>
        <w:rPr>
          <w:rFonts w:hint="cs"/>
          <w:rtl/>
          <w:lang w:eastAsia="en-US"/>
        </w:rPr>
      </w:pPr>
      <w:r>
        <w:rPr>
          <w:rFonts w:hint="cs"/>
          <w:rtl/>
          <w:lang w:eastAsia="en-US"/>
        </w:rPr>
        <w:t>الرسوم البيانية</w:t>
      </w:r>
      <w:r>
        <w:rPr>
          <w:rFonts w:hint="cs"/>
          <w:rtl/>
          <w:lang w:eastAsia="en-US"/>
        </w:rPr>
        <w:tab/>
      </w:r>
      <w:r>
        <w:rPr>
          <w:rFonts w:hint="cs"/>
          <w:rtl/>
          <w:lang w:eastAsia="en-US"/>
        </w:rPr>
        <w:tab/>
        <w:t>118</w:t>
      </w:r>
    </w:p>
    <w:p w:rsidR="00000000" w:rsidRDefault="00000000">
      <w:pPr>
        <w:tabs>
          <w:tab w:val="left" w:pos="822"/>
          <w:tab w:val="left" w:pos="1389"/>
          <w:tab w:val="left" w:pos="1956"/>
          <w:tab w:val="left" w:leader="dot" w:pos="7014"/>
          <w:tab w:val="center" w:pos="7999"/>
          <w:tab w:val="center" w:pos="9043"/>
        </w:tabs>
        <w:spacing w:before="100" w:after="100" w:line="400" w:lineRule="exact"/>
        <w:jc w:val="center"/>
        <w:rPr>
          <w:rFonts w:hint="cs"/>
          <w:rtl/>
          <w:lang w:eastAsia="en-US"/>
        </w:rPr>
      </w:pPr>
      <w:r>
        <w:rPr>
          <w:rFonts w:hint="cs"/>
          <w:rtl/>
          <w:lang w:eastAsia="en-US"/>
        </w:rPr>
        <w:t xml:space="preserve">الجزء الثاني: </w:t>
      </w:r>
      <w:r>
        <w:rPr>
          <w:rFonts w:hint="cs"/>
          <w:sz w:val="36"/>
          <w:szCs w:val="36"/>
          <w:rtl/>
          <w:lang w:eastAsia="en-US"/>
        </w:rPr>
        <w:t>منطقة هونغ كونغ الإدارية الخاصة</w:t>
      </w:r>
      <w:r>
        <w:rPr>
          <w:rFonts w:hint="cs"/>
          <w:rtl/>
          <w:lang w:eastAsia="en-US"/>
        </w:rPr>
        <w:t>*</w:t>
      </w:r>
    </w:p>
    <w:p w:rsidR="00000000" w:rsidRDefault="00000000">
      <w:pPr>
        <w:tabs>
          <w:tab w:val="left" w:leader="dot" w:pos="7014"/>
          <w:tab w:val="center" w:pos="7999"/>
          <w:tab w:val="center" w:pos="9043"/>
        </w:tabs>
        <w:spacing w:before="100" w:after="100" w:line="400" w:lineRule="exact"/>
        <w:jc w:val="both"/>
        <w:rPr>
          <w:rFonts w:hint="cs"/>
          <w:rtl/>
          <w:lang w:eastAsia="en-US"/>
        </w:rPr>
      </w:pPr>
      <w:r>
        <w:rPr>
          <w:rFonts w:hint="cs"/>
          <w:rtl/>
          <w:lang w:eastAsia="en-US"/>
        </w:rPr>
        <w:t>مقدمة</w:t>
      </w:r>
      <w:r>
        <w:rPr>
          <w:rFonts w:hint="cs"/>
          <w:rtl/>
          <w:lang w:eastAsia="en-US"/>
        </w:rPr>
        <w:tab/>
      </w:r>
      <w:r>
        <w:rPr>
          <w:rFonts w:hint="cs"/>
          <w:rtl/>
          <w:lang w:eastAsia="en-US"/>
        </w:rPr>
        <w:tab/>
        <w:t>284-287</w:t>
      </w:r>
      <w:r>
        <w:rPr>
          <w:rFonts w:hint="cs"/>
          <w:rtl/>
          <w:lang w:eastAsia="en-US"/>
        </w:rPr>
        <w:tab/>
        <w:t>121</w:t>
      </w:r>
    </w:p>
    <w:p w:rsidR="00000000" w:rsidRDefault="00000000">
      <w:pPr>
        <w:tabs>
          <w:tab w:val="left" w:pos="822"/>
          <w:tab w:val="left" w:pos="1389"/>
          <w:tab w:val="left" w:pos="1956"/>
          <w:tab w:val="left" w:leader="dot" w:pos="7014"/>
          <w:tab w:val="center" w:pos="7999"/>
          <w:tab w:val="center" w:pos="9043"/>
        </w:tabs>
        <w:spacing w:before="100" w:after="100" w:line="400" w:lineRule="exact"/>
        <w:jc w:val="both"/>
        <w:rPr>
          <w:rFonts w:hint="cs"/>
          <w:rtl/>
          <w:lang w:eastAsia="en-US"/>
        </w:rPr>
      </w:pPr>
      <w:r>
        <w:rPr>
          <w:rFonts w:hint="cs"/>
          <w:rtl/>
          <w:lang w:eastAsia="en-US"/>
        </w:rPr>
        <w:t>أولاً-</w:t>
      </w:r>
      <w:r>
        <w:rPr>
          <w:rFonts w:hint="cs"/>
          <w:rtl/>
          <w:lang w:eastAsia="en-US"/>
        </w:rPr>
        <w:tab/>
        <w:t>الأرض والسكان</w:t>
      </w:r>
      <w:r>
        <w:rPr>
          <w:rFonts w:hint="cs"/>
          <w:rtl/>
          <w:lang w:eastAsia="en-US"/>
        </w:rPr>
        <w:tab/>
      </w:r>
      <w:r>
        <w:rPr>
          <w:rFonts w:hint="cs"/>
          <w:rtl/>
          <w:lang w:eastAsia="en-US"/>
        </w:rPr>
        <w:tab/>
        <w:t>288</w:t>
      </w:r>
      <w:r>
        <w:rPr>
          <w:rFonts w:hint="cs"/>
          <w:rtl/>
          <w:lang w:eastAsia="en-US"/>
        </w:rPr>
        <w:tab/>
        <w:t>122</w:t>
      </w:r>
    </w:p>
    <w:p w:rsidR="00000000" w:rsidRDefault="00000000">
      <w:pPr>
        <w:tabs>
          <w:tab w:val="left" w:pos="822"/>
          <w:tab w:val="left" w:pos="1389"/>
          <w:tab w:val="left" w:pos="1956"/>
          <w:tab w:val="left" w:leader="dot" w:pos="7014"/>
          <w:tab w:val="left" w:pos="7371"/>
          <w:tab w:val="center" w:pos="9043"/>
        </w:tabs>
        <w:spacing w:before="100" w:after="100" w:line="400" w:lineRule="exact"/>
        <w:jc w:val="both"/>
        <w:rPr>
          <w:rFonts w:hint="cs"/>
          <w:rtl/>
          <w:lang w:eastAsia="en-US"/>
        </w:rPr>
      </w:pPr>
    </w:p>
    <w:p w:rsidR="00000000" w:rsidRDefault="00000000">
      <w:pPr>
        <w:tabs>
          <w:tab w:val="left" w:pos="822"/>
          <w:tab w:val="left" w:pos="1389"/>
          <w:tab w:val="left" w:pos="1956"/>
          <w:tab w:val="left" w:leader="dot" w:pos="7014"/>
          <w:tab w:val="left" w:pos="7371"/>
          <w:tab w:val="center" w:pos="9043"/>
        </w:tabs>
        <w:spacing w:before="100" w:after="100" w:line="400" w:lineRule="exact"/>
        <w:jc w:val="both"/>
        <w:rPr>
          <w:rFonts w:hint="cs"/>
          <w:rtl/>
          <w:lang w:eastAsia="en-US"/>
        </w:rPr>
      </w:pPr>
      <w:r>
        <w:rPr>
          <w:rFonts w:hint="cs"/>
          <w:rtl/>
          <w:lang w:eastAsia="en-US"/>
        </w:rPr>
        <w:t>ــــــــــــــــــــ</w:t>
      </w:r>
    </w:p>
    <w:p w:rsidR="00000000" w:rsidRDefault="00000000">
      <w:pPr>
        <w:pStyle w:val="FootnoteText"/>
        <w:numPr>
          <w:ilvl w:val="0"/>
          <w:numId w:val="0"/>
        </w:numPr>
        <w:spacing w:before="100" w:after="100" w:line="320" w:lineRule="exact"/>
        <w:ind w:right="0"/>
        <w:rPr>
          <w:sz w:val="20"/>
          <w:rtl/>
        </w:rPr>
      </w:pPr>
      <w:r>
        <w:rPr>
          <w:rFonts w:hint="cs"/>
          <w:sz w:val="20"/>
          <w:rtl/>
        </w:rPr>
        <w:tab/>
      </w:r>
      <w:r>
        <w:rPr>
          <w:rStyle w:val="FootnoteReference"/>
          <w:sz w:val="20"/>
          <w:vertAlign w:val="baseline"/>
        </w:rPr>
        <w:sym w:font="Symbol" w:char="F02A"/>
      </w:r>
      <w:r>
        <w:rPr>
          <w:rFonts w:hint="cs"/>
          <w:sz w:val="20"/>
          <w:rtl/>
        </w:rPr>
        <w:tab/>
        <w:t xml:space="preserve">نظرت لجنة الحقوق الاقتصادية والاجتماعية والثقافية في التقرير الأولي بشأن الحقوق المشمولة بالمواد من 1 إلى 15 من العهد </w:t>
      </w:r>
      <w:r>
        <w:rPr>
          <w:sz w:val="20"/>
        </w:rPr>
        <w:t>(E/1990/5/Add.43)</w:t>
      </w:r>
      <w:r>
        <w:rPr>
          <w:rFonts w:hint="cs"/>
          <w:sz w:val="20"/>
          <w:rtl/>
        </w:rPr>
        <w:t xml:space="preserve">، وذلك في دورتها الحادية والعشرين في شهر أيار/مايو 2001 (انظر الوثيقة </w:t>
      </w:r>
      <w:r>
        <w:rPr>
          <w:sz w:val="20"/>
        </w:rPr>
        <w:t>E/C.12/2001/SR.9-11</w:t>
      </w:r>
      <w:r>
        <w:rPr>
          <w:rFonts w:hint="cs"/>
          <w:sz w:val="20"/>
          <w:rtl/>
        </w:rPr>
        <w:t xml:space="preserve">، والملاحظات الختامية </w:t>
      </w:r>
      <w:r>
        <w:rPr>
          <w:sz w:val="20"/>
        </w:rPr>
        <w:t>E/C.12/1/Add.58</w:t>
      </w:r>
      <w:r>
        <w:rPr>
          <w:rFonts w:hint="cs"/>
          <w:sz w:val="20"/>
          <w:rtl/>
        </w:rPr>
        <w:t>).</w:t>
      </w:r>
    </w:p>
    <w:p w:rsidR="00000000" w:rsidRDefault="00000000">
      <w:pPr>
        <w:spacing w:before="100" w:after="100" w:line="400" w:lineRule="exact"/>
        <w:jc w:val="center"/>
        <w:rPr>
          <w:rFonts w:hint="cs"/>
          <w:b/>
          <w:bCs/>
          <w:sz w:val="30"/>
          <w:rtl/>
          <w:lang w:eastAsia="en-US"/>
        </w:rPr>
      </w:pPr>
      <w:r>
        <w:rPr>
          <w:rtl/>
        </w:rPr>
        <w:br w:type="page"/>
      </w:r>
      <w:r>
        <w:rPr>
          <w:b/>
          <w:bCs/>
          <w:sz w:val="36"/>
          <w:szCs w:val="36"/>
          <w:rtl/>
          <w:lang w:eastAsia="en-US"/>
        </w:rPr>
        <w:t>المحتويات</w:t>
      </w:r>
      <w:r>
        <w:rPr>
          <w:rFonts w:hint="cs"/>
          <w:b/>
          <w:bCs/>
          <w:sz w:val="36"/>
          <w:szCs w:val="36"/>
          <w:rtl/>
          <w:lang w:eastAsia="en-US"/>
        </w:rPr>
        <w:t xml:space="preserve"> </w:t>
      </w:r>
      <w:r>
        <w:rPr>
          <w:rFonts w:hint="cs"/>
          <w:b/>
          <w:bCs/>
          <w:sz w:val="30"/>
          <w:rtl/>
          <w:lang w:eastAsia="en-US"/>
        </w:rPr>
        <w:t>(</w:t>
      </w:r>
      <w:r>
        <w:rPr>
          <w:rFonts w:hint="cs"/>
          <w:b/>
          <w:bCs/>
          <w:i/>
          <w:iCs/>
          <w:sz w:val="30"/>
          <w:u w:val="single"/>
          <w:rtl/>
          <w:lang w:eastAsia="en-US"/>
        </w:rPr>
        <w:t>تابع</w:t>
      </w:r>
      <w:r>
        <w:rPr>
          <w:rFonts w:hint="cs"/>
          <w:b/>
          <w:bCs/>
          <w:sz w:val="30"/>
          <w:rtl/>
          <w:lang w:eastAsia="en-US"/>
        </w:rPr>
        <w:t>)</w:t>
      </w:r>
    </w:p>
    <w:p w:rsidR="00000000" w:rsidRDefault="00000000">
      <w:pPr>
        <w:tabs>
          <w:tab w:val="left" w:pos="7773"/>
          <w:tab w:val="right" w:pos="9354"/>
        </w:tabs>
        <w:spacing w:before="100" w:after="100" w:line="400" w:lineRule="exact"/>
        <w:jc w:val="both"/>
        <w:rPr>
          <w:i/>
          <w:iCs/>
          <w:rtl/>
          <w:lang w:eastAsia="en-US"/>
        </w:rPr>
      </w:pPr>
      <w:r>
        <w:rPr>
          <w:i/>
          <w:iCs/>
          <w:rtl/>
          <w:lang w:eastAsia="en-US"/>
        </w:rPr>
        <w:tab/>
        <w:t>الفقرات</w:t>
      </w:r>
      <w:r>
        <w:rPr>
          <w:i/>
          <w:iCs/>
          <w:rtl/>
          <w:lang w:eastAsia="en-US"/>
        </w:rPr>
        <w:tab/>
        <w:t>الصفحة</w:t>
      </w:r>
    </w:p>
    <w:p w:rsidR="00000000" w:rsidRDefault="00000000">
      <w:pPr>
        <w:tabs>
          <w:tab w:val="left" w:pos="822"/>
          <w:tab w:val="left" w:pos="1389"/>
          <w:tab w:val="left" w:pos="1956"/>
          <w:tab w:val="left" w:leader="dot" w:pos="7014"/>
          <w:tab w:val="center" w:pos="7999"/>
          <w:tab w:val="center" w:pos="9043"/>
        </w:tabs>
        <w:spacing w:before="100" w:after="100" w:line="400" w:lineRule="exact"/>
        <w:jc w:val="both"/>
        <w:rPr>
          <w:rFonts w:hint="cs"/>
          <w:rtl/>
          <w:lang w:eastAsia="en-US"/>
        </w:rPr>
      </w:pPr>
      <w:r>
        <w:rPr>
          <w:rFonts w:hint="cs"/>
          <w:rtl/>
          <w:lang w:eastAsia="en-US"/>
        </w:rPr>
        <w:t>ثانياً-</w:t>
      </w:r>
      <w:r>
        <w:rPr>
          <w:rFonts w:hint="cs"/>
          <w:rtl/>
          <w:lang w:eastAsia="en-US"/>
        </w:rPr>
        <w:tab/>
        <w:t>البنية السياسية العامة</w:t>
      </w:r>
      <w:r>
        <w:rPr>
          <w:rFonts w:hint="cs"/>
          <w:rtl/>
          <w:lang w:eastAsia="en-US"/>
        </w:rPr>
        <w:tab/>
      </w:r>
      <w:r>
        <w:rPr>
          <w:rFonts w:hint="cs"/>
          <w:rtl/>
          <w:lang w:eastAsia="en-US"/>
        </w:rPr>
        <w:tab/>
        <w:t>289-315</w:t>
      </w:r>
      <w:r>
        <w:rPr>
          <w:rFonts w:hint="cs"/>
          <w:rtl/>
          <w:lang w:eastAsia="en-US"/>
        </w:rPr>
        <w:tab/>
        <w:t>127</w:t>
      </w:r>
    </w:p>
    <w:p w:rsidR="00000000" w:rsidRDefault="00000000">
      <w:pPr>
        <w:tabs>
          <w:tab w:val="left" w:pos="822"/>
          <w:tab w:val="left" w:pos="1389"/>
          <w:tab w:val="left" w:pos="1956"/>
          <w:tab w:val="left" w:leader="dot" w:pos="7014"/>
          <w:tab w:val="center" w:pos="7999"/>
          <w:tab w:val="center" w:pos="9043"/>
        </w:tabs>
        <w:spacing w:before="100" w:after="100" w:line="400" w:lineRule="exact"/>
        <w:jc w:val="both"/>
        <w:rPr>
          <w:rFonts w:hint="cs"/>
          <w:rtl/>
          <w:lang w:eastAsia="en-US"/>
        </w:rPr>
      </w:pPr>
      <w:r>
        <w:rPr>
          <w:rFonts w:hint="cs"/>
          <w:rtl/>
          <w:lang w:eastAsia="en-US"/>
        </w:rPr>
        <w:t>ثالثاً-</w:t>
      </w:r>
      <w:r>
        <w:rPr>
          <w:rFonts w:hint="cs"/>
          <w:rtl/>
          <w:lang w:eastAsia="en-US"/>
        </w:rPr>
        <w:tab/>
        <w:t>الإطار القانوني العام لحماية حقوق الإنسان</w:t>
      </w:r>
      <w:r>
        <w:rPr>
          <w:rFonts w:hint="cs"/>
          <w:rtl/>
          <w:lang w:eastAsia="en-US"/>
        </w:rPr>
        <w:tab/>
      </w:r>
      <w:r>
        <w:rPr>
          <w:rFonts w:hint="cs"/>
          <w:rtl/>
          <w:lang w:eastAsia="en-US"/>
        </w:rPr>
        <w:tab/>
        <w:t>316-338</w:t>
      </w:r>
      <w:r>
        <w:rPr>
          <w:rFonts w:hint="cs"/>
          <w:rtl/>
          <w:lang w:eastAsia="en-US"/>
        </w:rPr>
        <w:tab/>
        <w:t>133</w:t>
      </w:r>
    </w:p>
    <w:p w:rsidR="00000000" w:rsidRDefault="00000000">
      <w:pPr>
        <w:tabs>
          <w:tab w:val="left" w:pos="822"/>
          <w:tab w:val="left" w:pos="1389"/>
          <w:tab w:val="left" w:pos="1956"/>
          <w:tab w:val="left" w:leader="dot" w:pos="7014"/>
          <w:tab w:val="center" w:pos="7999"/>
          <w:tab w:val="center" w:pos="9043"/>
        </w:tabs>
        <w:spacing w:before="100" w:after="100" w:line="400" w:lineRule="exact"/>
        <w:jc w:val="both"/>
        <w:rPr>
          <w:rFonts w:hint="cs"/>
          <w:rtl/>
          <w:lang w:eastAsia="en-US"/>
        </w:rPr>
      </w:pPr>
      <w:r>
        <w:rPr>
          <w:rFonts w:hint="cs"/>
          <w:rtl/>
          <w:lang w:eastAsia="en-US"/>
        </w:rPr>
        <w:t>رابعاً-</w:t>
      </w:r>
      <w:r>
        <w:rPr>
          <w:rFonts w:hint="cs"/>
          <w:rtl/>
          <w:lang w:eastAsia="en-US"/>
        </w:rPr>
        <w:tab/>
        <w:t>الإعلام والإعلان</w:t>
      </w:r>
      <w:r>
        <w:rPr>
          <w:rFonts w:hint="cs"/>
          <w:rtl/>
          <w:lang w:eastAsia="en-US"/>
        </w:rPr>
        <w:tab/>
      </w:r>
      <w:r>
        <w:rPr>
          <w:rFonts w:hint="cs"/>
          <w:rtl/>
          <w:lang w:eastAsia="en-US"/>
        </w:rPr>
        <w:tab/>
        <w:t>339-342</w:t>
      </w:r>
      <w:r>
        <w:rPr>
          <w:rFonts w:hint="cs"/>
          <w:rtl/>
          <w:lang w:eastAsia="en-US"/>
        </w:rPr>
        <w:tab/>
        <w:t>139</w:t>
      </w:r>
    </w:p>
    <w:p w:rsidR="00000000" w:rsidRDefault="00000000">
      <w:pPr>
        <w:tabs>
          <w:tab w:val="left" w:pos="822"/>
          <w:tab w:val="left" w:pos="1389"/>
          <w:tab w:val="left" w:pos="1956"/>
          <w:tab w:val="left" w:leader="dot" w:pos="7014"/>
          <w:tab w:val="center" w:pos="7999"/>
          <w:tab w:val="center" w:pos="9043"/>
        </w:tabs>
        <w:spacing w:before="100" w:after="100" w:line="400" w:lineRule="exact"/>
        <w:jc w:val="both"/>
        <w:rPr>
          <w:rFonts w:hint="cs"/>
          <w:rtl/>
          <w:lang w:eastAsia="en-US"/>
        </w:rPr>
      </w:pPr>
      <w:r>
        <w:rPr>
          <w:rFonts w:hint="cs"/>
          <w:rtl/>
          <w:lang w:eastAsia="en-US"/>
        </w:rPr>
        <w:t>خامساً-</w:t>
      </w:r>
      <w:r>
        <w:rPr>
          <w:rFonts w:hint="cs"/>
          <w:rtl/>
          <w:lang w:eastAsia="en-US"/>
        </w:rPr>
        <w:tab/>
        <w:t>تنفيذ المواد من 1 إلى 16 من العهد</w:t>
      </w:r>
      <w:r>
        <w:rPr>
          <w:rFonts w:hint="cs"/>
          <w:rtl/>
          <w:lang w:eastAsia="en-US"/>
        </w:rPr>
        <w:tab/>
      </w:r>
      <w:r>
        <w:rPr>
          <w:rFonts w:hint="cs"/>
          <w:rtl/>
          <w:lang w:eastAsia="en-US"/>
        </w:rPr>
        <w:tab/>
        <w:t>343-779</w:t>
      </w:r>
      <w:r>
        <w:rPr>
          <w:rFonts w:hint="cs"/>
          <w:rtl/>
          <w:lang w:eastAsia="en-US"/>
        </w:rPr>
        <w:tab/>
        <w:t>140</w:t>
      </w:r>
    </w:p>
    <w:p w:rsidR="00000000" w:rsidRDefault="00000000">
      <w:pPr>
        <w:tabs>
          <w:tab w:val="left" w:pos="822"/>
          <w:tab w:val="left" w:pos="1389"/>
          <w:tab w:val="left" w:pos="1956"/>
          <w:tab w:val="left" w:pos="2349"/>
          <w:tab w:val="left" w:leader="dot" w:pos="7014"/>
          <w:tab w:val="center" w:pos="7999"/>
          <w:tab w:val="center" w:pos="9043"/>
        </w:tabs>
        <w:spacing w:before="100" w:after="100" w:line="400" w:lineRule="exact"/>
        <w:jc w:val="both"/>
        <w:rPr>
          <w:rFonts w:hint="cs"/>
          <w:rtl/>
          <w:lang w:eastAsia="en-US"/>
        </w:rPr>
      </w:pPr>
      <w:r>
        <w:rPr>
          <w:rFonts w:hint="cs"/>
          <w:rtl/>
          <w:lang w:eastAsia="en-US"/>
        </w:rPr>
        <w:tab/>
        <w:t>ألف-</w:t>
      </w:r>
      <w:r>
        <w:rPr>
          <w:rFonts w:hint="cs"/>
          <w:rtl/>
          <w:lang w:eastAsia="en-US"/>
        </w:rPr>
        <w:tab/>
        <w:t>المادة 1-</w:t>
      </w:r>
      <w:r>
        <w:rPr>
          <w:rFonts w:hint="cs"/>
          <w:rtl/>
          <w:lang w:eastAsia="en-US"/>
        </w:rPr>
        <w:tab/>
        <w:t>التقدم والتطور في تطبيق الديمقراطية</w:t>
      </w:r>
      <w:r>
        <w:rPr>
          <w:rFonts w:hint="cs"/>
          <w:rtl/>
          <w:lang w:eastAsia="en-US"/>
        </w:rPr>
        <w:tab/>
      </w:r>
      <w:r>
        <w:rPr>
          <w:rFonts w:hint="cs"/>
          <w:rtl/>
          <w:lang w:eastAsia="en-US"/>
        </w:rPr>
        <w:tab/>
        <w:t>343-346</w:t>
      </w:r>
      <w:r>
        <w:rPr>
          <w:rFonts w:hint="cs"/>
          <w:rtl/>
          <w:lang w:eastAsia="en-US"/>
        </w:rPr>
        <w:tab/>
        <w:t>140</w:t>
      </w:r>
    </w:p>
    <w:p w:rsidR="00000000" w:rsidRDefault="00000000">
      <w:pPr>
        <w:tabs>
          <w:tab w:val="left" w:pos="822"/>
          <w:tab w:val="left" w:pos="1389"/>
          <w:tab w:val="left" w:pos="1956"/>
          <w:tab w:val="left" w:pos="2349"/>
          <w:tab w:val="left" w:leader="dot" w:pos="7014"/>
          <w:tab w:val="center" w:pos="7999"/>
          <w:tab w:val="center" w:pos="9043"/>
        </w:tabs>
        <w:spacing w:before="100" w:after="100" w:line="400" w:lineRule="exact"/>
        <w:jc w:val="both"/>
        <w:rPr>
          <w:rFonts w:hint="cs"/>
          <w:rtl/>
          <w:lang w:eastAsia="en-US"/>
        </w:rPr>
      </w:pPr>
      <w:r>
        <w:rPr>
          <w:rFonts w:hint="cs"/>
          <w:rtl/>
          <w:lang w:eastAsia="en-US"/>
        </w:rPr>
        <w:tab/>
        <w:t>باء-</w:t>
      </w:r>
      <w:r>
        <w:rPr>
          <w:rFonts w:hint="cs"/>
          <w:rtl/>
          <w:lang w:eastAsia="en-US"/>
        </w:rPr>
        <w:tab/>
        <w:t>المادة 2-</w:t>
      </w:r>
      <w:r>
        <w:rPr>
          <w:rFonts w:hint="cs"/>
          <w:rtl/>
          <w:lang w:eastAsia="en-US"/>
        </w:rPr>
        <w:tab/>
        <w:t>الإعمال التدريجي للحقوق التي أقرها العهد وممارسة هذه</w:t>
      </w:r>
    </w:p>
    <w:p w:rsidR="00000000" w:rsidRDefault="00000000">
      <w:pPr>
        <w:tabs>
          <w:tab w:val="left" w:pos="822"/>
          <w:tab w:val="left" w:pos="1389"/>
          <w:tab w:val="left" w:pos="1956"/>
          <w:tab w:val="left" w:pos="2349"/>
          <w:tab w:val="left" w:leader="dot" w:pos="7014"/>
          <w:tab w:val="center" w:pos="7999"/>
          <w:tab w:val="center" w:pos="9043"/>
        </w:tabs>
        <w:spacing w:before="100" w:after="100" w:line="400" w:lineRule="exact"/>
        <w:jc w:val="both"/>
        <w:rPr>
          <w:rFonts w:hint="cs"/>
          <w:rtl/>
          <w:lang w:eastAsia="en-US"/>
        </w:rPr>
      </w:pPr>
      <w:r>
        <w:rPr>
          <w:rFonts w:hint="cs"/>
          <w:rtl/>
          <w:lang w:eastAsia="en-US"/>
        </w:rPr>
        <w:tab/>
      </w:r>
      <w:r>
        <w:rPr>
          <w:rFonts w:hint="cs"/>
          <w:rtl/>
          <w:lang w:eastAsia="en-US"/>
        </w:rPr>
        <w:tab/>
      </w:r>
      <w:r>
        <w:rPr>
          <w:rFonts w:hint="cs"/>
          <w:rtl/>
          <w:lang w:eastAsia="en-US"/>
        </w:rPr>
        <w:tab/>
      </w:r>
      <w:r>
        <w:rPr>
          <w:rFonts w:hint="cs"/>
          <w:rtl/>
          <w:lang w:eastAsia="en-US"/>
        </w:rPr>
        <w:tab/>
        <w:t>الحقوق دون تمييز</w:t>
      </w:r>
      <w:r>
        <w:rPr>
          <w:rFonts w:hint="cs"/>
          <w:rtl/>
          <w:lang w:eastAsia="en-US"/>
        </w:rPr>
        <w:tab/>
      </w:r>
      <w:r>
        <w:rPr>
          <w:rFonts w:hint="cs"/>
          <w:rtl/>
          <w:lang w:eastAsia="en-US"/>
        </w:rPr>
        <w:tab/>
        <w:t>347-368</w:t>
      </w:r>
      <w:r>
        <w:rPr>
          <w:rFonts w:hint="cs"/>
          <w:rtl/>
          <w:lang w:eastAsia="en-US"/>
        </w:rPr>
        <w:tab/>
        <w:t>141</w:t>
      </w:r>
    </w:p>
    <w:p w:rsidR="00000000" w:rsidRDefault="00000000">
      <w:pPr>
        <w:tabs>
          <w:tab w:val="left" w:pos="822"/>
          <w:tab w:val="left" w:pos="1389"/>
          <w:tab w:val="left" w:pos="1956"/>
          <w:tab w:val="left" w:pos="2349"/>
          <w:tab w:val="left" w:leader="dot" w:pos="7014"/>
          <w:tab w:val="center" w:pos="7999"/>
          <w:tab w:val="center" w:pos="9043"/>
        </w:tabs>
        <w:spacing w:before="100" w:after="100" w:line="400" w:lineRule="exact"/>
        <w:jc w:val="both"/>
        <w:rPr>
          <w:rFonts w:hint="cs"/>
          <w:rtl/>
          <w:lang w:eastAsia="en-US"/>
        </w:rPr>
      </w:pPr>
      <w:r>
        <w:rPr>
          <w:rFonts w:hint="cs"/>
          <w:rtl/>
          <w:lang w:eastAsia="en-US"/>
        </w:rPr>
        <w:tab/>
        <w:t>جيم-</w:t>
      </w:r>
      <w:r>
        <w:rPr>
          <w:rFonts w:hint="cs"/>
          <w:rtl/>
          <w:lang w:eastAsia="en-US"/>
        </w:rPr>
        <w:tab/>
        <w:t>المادة 3-</w:t>
      </w:r>
      <w:r>
        <w:rPr>
          <w:rFonts w:hint="cs"/>
          <w:rtl/>
          <w:lang w:eastAsia="en-US"/>
        </w:rPr>
        <w:tab/>
        <w:t>المساواة في الحقوق بين الرجل والمرأة</w:t>
      </w:r>
      <w:r>
        <w:rPr>
          <w:rFonts w:hint="cs"/>
          <w:rtl/>
          <w:lang w:eastAsia="en-US"/>
        </w:rPr>
        <w:tab/>
      </w:r>
      <w:r>
        <w:rPr>
          <w:rFonts w:hint="cs"/>
          <w:rtl/>
          <w:lang w:eastAsia="en-US"/>
        </w:rPr>
        <w:tab/>
        <w:t>369-379</w:t>
      </w:r>
      <w:r>
        <w:rPr>
          <w:rFonts w:hint="cs"/>
          <w:rtl/>
          <w:lang w:eastAsia="en-US"/>
        </w:rPr>
        <w:tab/>
        <w:t>146</w:t>
      </w:r>
    </w:p>
    <w:p w:rsidR="00000000" w:rsidRDefault="00000000">
      <w:pPr>
        <w:tabs>
          <w:tab w:val="left" w:pos="822"/>
          <w:tab w:val="left" w:pos="1389"/>
          <w:tab w:val="left" w:pos="1956"/>
          <w:tab w:val="left" w:pos="2349"/>
          <w:tab w:val="left" w:leader="dot" w:pos="7014"/>
          <w:tab w:val="center" w:pos="7999"/>
          <w:tab w:val="center" w:pos="9043"/>
        </w:tabs>
        <w:spacing w:before="100" w:after="100" w:line="400" w:lineRule="exact"/>
        <w:jc w:val="both"/>
        <w:rPr>
          <w:rFonts w:hint="cs"/>
          <w:spacing w:val="0"/>
          <w:rtl/>
          <w:lang w:eastAsia="en-US"/>
        </w:rPr>
      </w:pPr>
      <w:r>
        <w:rPr>
          <w:rFonts w:hint="cs"/>
          <w:spacing w:val="0"/>
          <w:rtl/>
          <w:lang w:eastAsia="en-US"/>
        </w:rPr>
        <w:tab/>
        <w:t>دال-</w:t>
      </w:r>
      <w:r>
        <w:rPr>
          <w:rFonts w:hint="cs"/>
          <w:spacing w:val="0"/>
          <w:rtl/>
          <w:lang w:eastAsia="en-US"/>
        </w:rPr>
        <w:tab/>
        <w:t>المادة 4-</w:t>
      </w:r>
      <w:r>
        <w:rPr>
          <w:rFonts w:hint="cs"/>
          <w:spacing w:val="0"/>
          <w:rtl/>
          <w:lang w:eastAsia="en-US"/>
        </w:rPr>
        <w:tab/>
        <w:t>إخضاع الحقوق التي يتضمنها العهد للقيود المقررة في القانون</w:t>
      </w:r>
      <w:r>
        <w:rPr>
          <w:rFonts w:hint="cs"/>
          <w:spacing w:val="0"/>
          <w:rtl/>
          <w:lang w:eastAsia="en-US"/>
        </w:rPr>
        <w:tab/>
      </w:r>
      <w:r>
        <w:rPr>
          <w:rFonts w:hint="cs"/>
          <w:spacing w:val="0"/>
          <w:rtl/>
          <w:lang w:eastAsia="en-US"/>
        </w:rPr>
        <w:tab/>
        <w:t>380</w:t>
      </w:r>
      <w:r>
        <w:rPr>
          <w:rFonts w:hint="cs"/>
          <w:spacing w:val="0"/>
          <w:rtl/>
          <w:lang w:eastAsia="en-US"/>
        </w:rPr>
        <w:tab/>
        <w:t>149</w:t>
      </w:r>
    </w:p>
    <w:p w:rsidR="00000000" w:rsidRDefault="00000000">
      <w:pPr>
        <w:tabs>
          <w:tab w:val="left" w:pos="822"/>
          <w:tab w:val="left" w:pos="1389"/>
          <w:tab w:val="left" w:pos="1956"/>
          <w:tab w:val="left" w:pos="2349"/>
          <w:tab w:val="left" w:leader="dot" w:pos="7014"/>
          <w:tab w:val="center" w:pos="7999"/>
          <w:tab w:val="center" w:pos="9043"/>
        </w:tabs>
        <w:spacing w:before="100" w:after="100" w:line="400" w:lineRule="exact"/>
        <w:jc w:val="both"/>
        <w:rPr>
          <w:rFonts w:hint="cs"/>
          <w:spacing w:val="0"/>
          <w:rtl/>
          <w:lang w:eastAsia="en-US"/>
        </w:rPr>
      </w:pPr>
      <w:r>
        <w:rPr>
          <w:rFonts w:hint="cs"/>
          <w:spacing w:val="0"/>
          <w:rtl/>
          <w:lang w:eastAsia="en-US"/>
        </w:rPr>
        <w:tab/>
        <w:t>هاء-</w:t>
      </w:r>
      <w:r>
        <w:rPr>
          <w:rFonts w:hint="cs"/>
          <w:spacing w:val="0"/>
          <w:rtl/>
          <w:lang w:eastAsia="en-US"/>
        </w:rPr>
        <w:tab/>
        <w:t>المادة 5-</w:t>
      </w:r>
      <w:r>
        <w:rPr>
          <w:rFonts w:hint="cs"/>
          <w:spacing w:val="0"/>
          <w:rtl/>
          <w:lang w:eastAsia="en-US"/>
        </w:rPr>
        <w:tab/>
        <w:t>حظر إهدار أي من الحقوق والحريات المعترف بها في العهد</w:t>
      </w:r>
      <w:r>
        <w:rPr>
          <w:rFonts w:hint="cs"/>
          <w:spacing w:val="0"/>
          <w:rtl/>
          <w:lang w:eastAsia="en-US"/>
        </w:rPr>
        <w:tab/>
      </w:r>
      <w:r>
        <w:rPr>
          <w:rFonts w:hint="cs"/>
          <w:spacing w:val="0"/>
          <w:rtl/>
          <w:lang w:eastAsia="en-US"/>
        </w:rPr>
        <w:tab/>
        <w:t>381</w:t>
      </w:r>
      <w:r>
        <w:rPr>
          <w:rFonts w:hint="cs"/>
          <w:spacing w:val="0"/>
          <w:rtl/>
          <w:lang w:eastAsia="en-US"/>
        </w:rPr>
        <w:tab/>
        <w:t>149</w:t>
      </w:r>
    </w:p>
    <w:p w:rsidR="00000000" w:rsidRDefault="00000000">
      <w:pPr>
        <w:tabs>
          <w:tab w:val="left" w:pos="822"/>
          <w:tab w:val="left" w:pos="1389"/>
          <w:tab w:val="left" w:pos="1956"/>
          <w:tab w:val="left" w:pos="2349"/>
          <w:tab w:val="left" w:leader="dot" w:pos="7014"/>
          <w:tab w:val="center" w:pos="7999"/>
          <w:tab w:val="center" w:pos="9043"/>
        </w:tabs>
        <w:spacing w:before="100" w:after="100" w:line="400" w:lineRule="exact"/>
        <w:jc w:val="both"/>
        <w:rPr>
          <w:rFonts w:hint="cs"/>
          <w:rtl/>
          <w:lang w:eastAsia="en-US"/>
        </w:rPr>
      </w:pPr>
      <w:r>
        <w:rPr>
          <w:rFonts w:hint="cs"/>
          <w:rtl/>
          <w:lang w:eastAsia="en-US"/>
        </w:rPr>
        <w:tab/>
        <w:t>واو-</w:t>
      </w:r>
      <w:r>
        <w:rPr>
          <w:rFonts w:hint="cs"/>
          <w:rtl/>
          <w:lang w:eastAsia="en-US"/>
        </w:rPr>
        <w:tab/>
        <w:t>المادة 6-</w:t>
      </w:r>
      <w:r>
        <w:rPr>
          <w:rFonts w:hint="cs"/>
          <w:rtl/>
          <w:lang w:eastAsia="en-US"/>
        </w:rPr>
        <w:tab/>
        <w:t>الحق في اختيار المهنة والحق في العمل</w:t>
      </w:r>
      <w:r>
        <w:rPr>
          <w:rFonts w:hint="cs"/>
          <w:rtl/>
          <w:lang w:eastAsia="en-US"/>
        </w:rPr>
        <w:tab/>
      </w:r>
      <w:r>
        <w:rPr>
          <w:rFonts w:hint="cs"/>
          <w:rtl/>
          <w:lang w:eastAsia="en-US"/>
        </w:rPr>
        <w:tab/>
        <w:t>382-404</w:t>
      </w:r>
      <w:r>
        <w:rPr>
          <w:rFonts w:hint="cs"/>
          <w:rtl/>
          <w:lang w:eastAsia="en-US"/>
        </w:rPr>
        <w:tab/>
        <w:t>149</w:t>
      </w:r>
    </w:p>
    <w:p w:rsidR="00000000" w:rsidRDefault="00000000">
      <w:pPr>
        <w:tabs>
          <w:tab w:val="left" w:pos="822"/>
          <w:tab w:val="left" w:pos="1389"/>
          <w:tab w:val="left" w:pos="1956"/>
          <w:tab w:val="left" w:pos="2349"/>
          <w:tab w:val="left" w:leader="dot" w:pos="7014"/>
          <w:tab w:val="center" w:pos="7999"/>
          <w:tab w:val="center" w:pos="9043"/>
        </w:tabs>
        <w:spacing w:before="100" w:after="100" w:line="400" w:lineRule="exact"/>
        <w:jc w:val="both"/>
        <w:rPr>
          <w:rFonts w:hint="cs"/>
          <w:rtl/>
          <w:lang w:eastAsia="en-US"/>
        </w:rPr>
      </w:pPr>
      <w:r>
        <w:rPr>
          <w:rFonts w:hint="cs"/>
          <w:rtl/>
          <w:lang w:eastAsia="en-US"/>
        </w:rPr>
        <w:tab/>
        <w:t>زاي-</w:t>
      </w:r>
      <w:r>
        <w:rPr>
          <w:rFonts w:hint="cs"/>
          <w:rtl/>
          <w:lang w:eastAsia="en-US"/>
        </w:rPr>
        <w:tab/>
        <w:t>المادة 7-</w:t>
      </w:r>
      <w:r>
        <w:rPr>
          <w:rFonts w:hint="cs"/>
          <w:rtl/>
          <w:lang w:eastAsia="en-US"/>
        </w:rPr>
        <w:tab/>
        <w:t>الحق في التمتع بشروط عمل عادلة ومرضية</w:t>
      </w:r>
      <w:r>
        <w:rPr>
          <w:rFonts w:hint="cs"/>
          <w:rtl/>
          <w:lang w:eastAsia="en-US"/>
        </w:rPr>
        <w:tab/>
      </w:r>
      <w:r>
        <w:rPr>
          <w:rFonts w:hint="cs"/>
          <w:rtl/>
          <w:lang w:eastAsia="en-US"/>
        </w:rPr>
        <w:tab/>
        <w:t>405-426</w:t>
      </w:r>
      <w:r>
        <w:rPr>
          <w:rFonts w:hint="cs"/>
          <w:rtl/>
          <w:lang w:eastAsia="en-US"/>
        </w:rPr>
        <w:tab/>
        <w:t>155</w:t>
      </w:r>
    </w:p>
    <w:p w:rsidR="00000000" w:rsidRDefault="00000000">
      <w:pPr>
        <w:tabs>
          <w:tab w:val="left" w:pos="822"/>
          <w:tab w:val="left" w:pos="1389"/>
          <w:tab w:val="left" w:pos="1956"/>
          <w:tab w:val="left" w:pos="2349"/>
          <w:tab w:val="left" w:leader="dot" w:pos="7014"/>
          <w:tab w:val="center" w:pos="7999"/>
          <w:tab w:val="center" w:pos="9043"/>
        </w:tabs>
        <w:spacing w:before="100" w:after="100" w:line="400" w:lineRule="exact"/>
        <w:jc w:val="both"/>
        <w:rPr>
          <w:rFonts w:hint="cs"/>
          <w:rtl/>
          <w:lang w:eastAsia="en-US"/>
        </w:rPr>
      </w:pPr>
      <w:r>
        <w:rPr>
          <w:rFonts w:hint="cs"/>
          <w:rtl/>
          <w:lang w:eastAsia="en-US"/>
        </w:rPr>
        <w:tab/>
        <w:t>حاء-</w:t>
      </w:r>
      <w:r>
        <w:rPr>
          <w:rFonts w:hint="cs"/>
          <w:rtl/>
          <w:lang w:eastAsia="en-US"/>
        </w:rPr>
        <w:tab/>
        <w:t>المادة 8-</w:t>
      </w:r>
      <w:r>
        <w:rPr>
          <w:rFonts w:hint="cs"/>
          <w:rtl/>
          <w:lang w:eastAsia="en-US"/>
        </w:rPr>
        <w:tab/>
        <w:t>الحق في الانضمام إلى النقابات</w:t>
      </w:r>
      <w:r>
        <w:rPr>
          <w:rFonts w:hint="cs"/>
          <w:rtl/>
          <w:lang w:eastAsia="en-US"/>
        </w:rPr>
        <w:tab/>
      </w:r>
      <w:r>
        <w:rPr>
          <w:rFonts w:hint="cs"/>
          <w:rtl/>
          <w:lang w:eastAsia="en-US"/>
        </w:rPr>
        <w:tab/>
        <w:t>427-441</w:t>
      </w:r>
      <w:r>
        <w:rPr>
          <w:rFonts w:hint="cs"/>
          <w:rtl/>
          <w:lang w:eastAsia="en-US"/>
        </w:rPr>
        <w:tab/>
        <w:t>160</w:t>
      </w:r>
    </w:p>
    <w:p w:rsidR="00000000" w:rsidRDefault="00000000">
      <w:pPr>
        <w:tabs>
          <w:tab w:val="left" w:pos="822"/>
          <w:tab w:val="left" w:pos="1389"/>
          <w:tab w:val="left" w:pos="1956"/>
          <w:tab w:val="left" w:pos="2349"/>
          <w:tab w:val="left" w:leader="dot" w:pos="7014"/>
          <w:tab w:val="center" w:pos="7999"/>
          <w:tab w:val="center" w:pos="9043"/>
        </w:tabs>
        <w:spacing w:before="100" w:after="100" w:line="400" w:lineRule="exact"/>
        <w:jc w:val="both"/>
        <w:rPr>
          <w:rFonts w:hint="cs"/>
          <w:rtl/>
          <w:lang w:eastAsia="en-US"/>
        </w:rPr>
      </w:pPr>
      <w:r>
        <w:rPr>
          <w:rFonts w:hint="cs"/>
          <w:rtl/>
          <w:lang w:eastAsia="en-US"/>
        </w:rPr>
        <w:tab/>
        <w:t>طاء-</w:t>
      </w:r>
      <w:r>
        <w:rPr>
          <w:rFonts w:hint="cs"/>
          <w:rtl/>
          <w:lang w:eastAsia="en-US"/>
        </w:rPr>
        <w:tab/>
        <w:t>المادة 9-</w:t>
      </w:r>
      <w:r>
        <w:rPr>
          <w:rFonts w:hint="cs"/>
          <w:rtl/>
          <w:lang w:eastAsia="en-US"/>
        </w:rPr>
        <w:tab/>
        <w:t>الحق في الضمان الاجتماعي</w:t>
      </w:r>
      <w:r>
        <w:rPr>
          <w:rFonts w:hint="cs"/>
          <w:rtl/>
          <w:lang w:eastAsia="en-US"/>
        </w:rPr>
        <w:tab/>
      </w:r>
      <w:r>
        <w:rPr>
          <w:rFonts w:hint="cs"/>
          <w:rtl/>
          <w:lang w:eastAsia="en-US"/>
        </w:rPr>
        <w:tab/>
        <w:t>442-468</w:t>
      </w:r>
      <w:r>
        <w:rPr>
          <w:rFonts w:hint="cs"/>
          <w:rtl/>
          <w:lang w:eastAsia="en-US"/>
        </w:rPr>
        <w:tab/>
        <w:t>164</w:t>
      </w:r>
    </w:p>
    <w:p w:rsidR="00000000" w:rsidRDefault="00000000">
      <w:pPr>
        <w:tabs>
          <w:tab w:val="left" w:pos="822"/>
          <w:tab w:val="left" w:pos="1389"/>
          <w:tab w:val="left" w:pos="1956"/>
          <w:tab w:val="left" w:pos="2349"/>
          <w:tab w:val="left" w:leader="dot" w:pos="7014"/>
          <w:tab w:val="center" w:pos="7999"/>
          <w:tab w:val="center" w:pos="9043"/>
        </w:tabs>
        <w:spacing w:before="100" w:after="100" w:line="400" w:lineRule="exact"/>
        <w:jc w:val="both"/>
        <w:rPr>
          <w:rFonts w:hint="cs"/>
          <w:rtl/>
          <w:lang w:eastAsia="en-US"/>
        </w:rPr>
      </w:pPr>
      <w:r>
        <w:rPr>
          <w:rFonts w:hint="cs"/>
          <w:rtl/>
          <w:lang w:eastAsia="en-US"/>
        </w:rPr>
        <w:tab/>
        <w:t>ياء-</w:t>
      </w:r>
      <w:r>
        <w:rPr>
          <w:rFonts w:hint="cs"/>
          <w:rtl/>
          <w:lang w:eastAsia="en-US"/>
        </w:rPr>
        <w:tab/>
        <w:t>المادة 10-</w:t>
      </w:r>
      <w:r>
        <w:rPr>
          <w:rFonts w:hint="cs"/>
          <w:rtl/>
          <w:lang w:eastAsia="en-US"/>
        </w:rPr>
        <w:tab/>
        <w:t>حماية الأسرة</w:t>
      </w:r>
      <w:r>
        <w:rPr>
          <w:rFonts w:hint="cs"/>
          <w:rtl/>
          <w:lang w:eastAsia="en-US"/>
        </w:rPr>
        <w:tab/>
      </w:r>
      <w:r>
        <w:rPr>
          <w:rFonts w:hint="cs"/>
          <w:rtl/>
          <w:lang w:eastAsia="en-US"/>
        </w:rPr>
        <w:tab/>
        <w:t>469-558</w:t>
      </w:r>
      <w:r>
        <w:rPr>
          <w:rFonts w:hint="cs"/>
          <w:rtl/>
          <w:lang w:eastAsia="en-US"/>
        </w:rPr>
        <w:tab/>
        <w:t>169</w:t>
      </w:r>
    </w:p>
    <w:p w:rsidR="00000000" w:rsidRDefault="00000000">
      <w:pPr>
        <w:tabs>
          <w:tab w:val="left" w:pos="822"/>
          <w:tab w:val="left" w:pos="1389"/>
          <w:tab w:val="left" w:pos="1956"/>
          <w:tab w:val="left" w:pos="2349"/>
          <w:tab w:val="left" w:leader="dot" w:pos="7014"/>
          <w:tab w:val="center" w:pos="7999"/>
          <w:tab w:val="center" w:pos="9043"/>
        </w:tabs>
        <w:spacing w:before="100" w:after="100" w:line="400" w:lineRule="exact"/>
        <w:jc w:val="both"/>
        <w:rPr>
          <w:rFonts w:hint="cs"/>
          <w:rtl/>
          <w:lang w:eastAsia="en-US"/>
        </w:rPr>
      </w:pPr>
      <w:r>
        <w:rPr>
          <w:rFonts w:hint="cs"/>
          <w:rtl/>
          <w:lang w:eastAsia="en-US"/>
        </w:rPr>
        <w:tab/>
        <w:t>كاف-المادة 11-</w:t>
      </w:r>
      <w:r>
        <w:rPr>
          <w:rFonts w:hint="cs"/>
          <w:rtl/>
          <w:lang w:eastAsia="en-US"/>
        </w:rPr>
        <w:tab/>
        <w:t>الحق في مستوى معيشي لائق</w:t>
      </w:r>
      <w:r>
        <w:rPr>
          <w:rFonts w:hint="cs"/>
          <w:rtl/>
          <w:lang w:eastAsia="en-US"/>
        </w:rPr>
        <w:tab/>
      </w:r>
      <w:r>
        <w:rPr>
          <w:rFonts w:hint="cs"/>
          <w:rtl/>
          <w:lang w:eastAsia="en-US"/>
        </w:rPr>
        <w:tab/>
        <w:t>559-599</w:t>
      </w:r>
      <w:r>
        <w:rPr>
          <w:rFonts w:hint="cs"/>
          <w:rtl/>
          <w:lang w:eastAsia="en-US"/>
        </w:rPr>
        <w:tab/>
        <w:t>188</w:t>
      </w:r>
    </w:p>
    <w:p w:rsidR="00000000" w:rsidRDefault="00000000">
      <w:pPr>
        <w:tabs>
          <w:tab w:val="left" w:pos="822"/>
          <w:tab w:val="left" w:pos="1389"/>
          <w:tab w:val="left" w:pos="1956"/>
          <w:tab w:val="left" w:pos="2349"/>
          <w:tab w:val="left" w:leader="dot" w:pos="7014"/>
          <w:tab w:val="center" w:pos="7999"/>
          <w:tab w:val="center" w:pos="9043"/>
        </w:tabs>
        <w:spacing w:before="100" w:after="100" w:line="400" w:lineRule="exact"/>
        <w:jc w:val="both"/>
        <w:rPr>
          <w:rFonts w:hint="cs"/>
          <w:rtl/>
          <w:lang w:eastAsia="en-US"/>
        </w:rPr>
      </w:pPr>
      <w:r>
        <w:rPr>
          <w:rFonts w:hint="cs"/>
          <w:rtl/>
          <w:lang w:eastAsia="en-US"/>
        </w:rPr>
        <w:tab/>
        <w:t>لام-</w:t>
      </w:r>
      <w:r>
        <w:rPr>
          <w:rFonts w:hint="cs"/>
          <w:rtl/>
          <w:lang w:eastAsia="en-US"/>
        </w:rPr>
        <w:tab/>
        <w:t>المادة 12-</w:t>
      </w:r>
      <w:r>
        <w:rPr>
          <w:rFonts w:hint="cs"/>
          <w:rtl/>
          <w:lang w:eastAsia="en-US"/>
        </w:rPr>
        <w:tab/>
        <w:t>الحق في الصحة</w:t>
      </w:r>
      <w:r>
        <w:rPr>
          <w:rFonts w:hint="cs"/>
          <w:rtl/>
          <w:lang w:eastAsia="en-US"/>
        </w:rPr>
        <w:tab/>
      </w:r>
      <w:r>
        <w:rPr>
          <w:rFonts w:hint="cs"/>
          <w:rtl/>
          <w:lang w:eastAsia="en-US"/>
        </w:rPr>
        <w:tab/>
        <w:t>600-681</w:t>
      </w:r>
      <w:r>
        <w:rPr>
          <w:rFonts w:hint="cs"/>
          <w:rtl/>
          <w:lang w:eastAsia="en-US"/>
        </w:rPr>
        <w:tab/>
        <w:t>198</w:t>
      </w:r>
    </w:p>
    <w:p w:rsidR="00000000" w:rsidRDefault="00000000">
      <w:pPr>
        <w:tabs>
          <w:tab w:val="left" w:pos="822"/>
          <w:tab w:val="left" w:pos="1389"/>
          <w:tab w:val="left" w:pos="1956"/>
          <w:tab w:val="left" w:pos="2349"/>
          <w:tab w:val="left" w:leader="dot" w:pos="7014"/>
          <w:tab w:val="center" w:pos="7999"/>
          <w:tab w:val="center" w:pos="9043"/>
        </w:tabs>
        <w:spacing w:before="100" w:after="100" w:line="400" w:lineRule="exact"/>
        <w:jc w:val="both"/>
        <w:rPr>
          <w:rFonts w:hint="cs"/>
          <w:rtl/>
          <w:lang w:eastAsia="en-US"/>
        </w:rPr>
      </w:pPr>
      <w:r>
        <w:rPr>
          <w:rFonts w:hint="cs"/>
          <w:rtl/>
          <w:lang w:eastAsia="en-US"/>
        </w:rPr>
        <w:tab/>
        <w:t>ميم-</w:t>
      </w:r>
      <w:r>
        <w:rPr>
          <w:rFonts w:hint="cs"/>
          <w:rtl/>
          <w:lang w:eastAsia="en-US"/>
        </w:rPr>
        <w:tab/>
        <w:t>المادتان 13 و14- الحق في التعليم</w:t>
      </w:r>
      <w:r>
        <w:rPr>
          <w:rFonts w:hint="cs"/>
          <w:rtl/>
          <w:lang w:eastAsia="en-US"/>
        </w:rPr>
        <w:tab/>
      </w:r>
      <w:r>
        <w:rPr>
          <w:rFonts w:hint="cs"/>
          <w:rtl/>
          <w:lang w:eastAsia="en-US"/>
        </w:rPr>
        <w:tab/>
        <w:t>682-750</w:t>
      </w:r>
      <w:r>
        <w:rPr>
          <w:rFonts w:hint="cs"/>
          <w:rtl/>
          <w:lang w:eastAsia="en-US"/>
        </w:rPr>
        <w:tab/>
        <w:t>215</w:t>
      </w:r>
    </w:p>
    <w:p w:rsidR="00000000" w:rsidRDefault="00000000">
      <w:pPr>
        <w:tabs>
          <w:tab w:val="left" w:pos="822"/>
          <w:tab w:val="left" w:pos="1389"/>
          <w:tab w:val="left" w:pos="1956"/>
          <w:tab w:val="left" w:pos="2349"/>
          <w:tab w:val="left" w:leader="dot" w:pos="7014"/>
          <w:tab w:val="center" w:pos="7999"/>
          <w:tab w:val="center" w:pos="9043"/>
        </w:tabs>
        <w:spacing w:before="100" w:after="100" w:line="400" w:lineRule="exact"/>
        <w:jc w:val="both"/>
        <w:rPr>
          <w:rFonts w:hint="cs"/>
          <w:rtl/>
          <w:lang w:eastAsia="en-US"/>
        </w:rPr>
      </w:pPr>
      <w:r>
        <w:rPr>
          <w:rFonts w:hint="cs"/>
          <w:rtl/>
          <w:lang w:eastAsia="en-US"/>
        </w:rPr>
        <w:tab/>
        <w:t>نون-</w:t>
      </w:r>
      <w:r>
        <w:rPr>
          <w:rFonts w:hint="cs"/>
          <w:rtl/>
          <w:lang w:eastAsia="en-US"/>
        </w:rPr>
        <w:tab/>
        <w:t>المادة 15-</w:t>
      </w:r>
      <w:r>
        <w:rPr>
          <w:rFonts w:hint="cs"/>
          <w:rtl/>
          <w:lang w:eastAsia="en-US"/>
        </w:rPr>
        <w:tab/>
        <w:t>الحق في الحياة الثقافية والتقدم العلمي وتطبيقاته</w:t>
      </w:r>
      <w:r>
        <w:rPr>
          <w:rFonts w:hint="cs"/>
          <w:rtl/>
          <w:lang w:eastAsia="en-US"/>
        </w:rPr>
        <w:tab/>
      </w:r>
      <w:r>
        <w:rPr>
          <w:rFonts w:hint="cs"/>
          <w:rtl/>
          <w:lang w:eastAsia="en-US"/>
        </w:rPr>
        <w:tab/>
        <w:t>751-775</w:t>
      </w:r>
      <w:r>
        <w:rPr>
          <w:rFonts w:hint="cs"/>
          <w:rtl/>
          <w:lang w:eastAsia="en-US"/>
        </w:rPr>
        <w:tab/>
        <w:t>231</w:t>
      </w:r>
    </w:p>
    <w:p w:rsidR="00000000" w:rsidRDefault="00000000">
      <w:pPr>
        <w:tabs>
          <w:tab w:val="left" w:pos="822"/>
          <w:tab w:val="left" w:pos="1389"/>
          <w:tab w:val="left" w:pos="1956"/>
          <w:tab w:val="left" w:pos="2349"/>
          <w:tab w:val="left" w:leader="dot" w:pos="7014"/>
          <w:tab w:val="center" w:pos="7999"/>
          <w:tab w:val="center" w:pos="9043"/>
        </w:tabs>
        <w:spacing w:before="100" w:after="100" w:line="400" w:lineRule="exact"/>
        <w:jc w:val="both"/>
        <w:rPr>
          <w:rFonts w:hint="cs"/>
          <w:rtl/>
          <w:lang w:eastAsia="en-US"/>
        </w:rPr>
      </w:pPr>
      <w:r>
        <w:rPr>
          <w:rFonts w:hint="cs"/>
          <w:rtl/>
          <w:lang w:eastAsia="en-US"/>
        </w:rPr>
        <w:tab/>
        <w:t>سين-</w:t>
      </w:r>
      <w:r>
        <w:rPr>
          <w:rFonts w:hint="cs"/>
          <w:rtl/>
          <w:lang w:eastAsia="en-US"/>
        </w:rPr>
        <w:tab/>
        <w:t>المادة 16-</w:t>
      </w:r>
      <w:r>
        <w:rPr>
          <w:rFonts w:hint="cs"/>
          <w:rtl/>
          <w:lang w:eastAsia="en-US"/>
        </w:rPr>
        <w:tab/>
        <w:t>تقديم التقرير</w:t>
      </w:r>
      <w:r>
        <w:rPr>
          <w:rFonts w:hint="cs"/>
          <w:rtl/>
          <w:lang w:eastAsia="en-US"/>
        </w:rPr>
        <w:tab/>
      </w:r>
      <w:r>
        <w:rPr>
          <w:rFonts w:hint="cs"/>
          <w:rtl/>
          <w:lang w:eastAsia="en-US"/>
        </w:rPr>
        <w:tab/>
        <w:t>776-779</w:t>
      </w:r>
      <w:r>
        <w:rPr>
          <w:rFonts w:hint="cs"/>
          <w:rtl/>
          <w:lang w:eastAsia="en-US"/>
        </w:rPr>
        <w:tab/>
        <w:t>236</w:t>
      </w:r>
    </w:p>
    <w:p w:rsidR="00000000" w:rsidRDefault="00000000">
      <w:pPr>
        <w:tabs>
          <w:tab w:val="left" w:pos="822"/>
          <w:tab w:val="left" w:pos="1389"/>
          <w:tab w:val="left" w:pos="1956"/>
          <w:tab w:val="left" w:pos="2236"/>
          <w:tab w:val="left" w:leader="dot" w:pos="7014"/>
          <w:tab w:val="center" w:pos="7999"/>
          <w:tab w:val="center" w:pos="9043"/>
        </w:tabs>
        <w:spacing w:before="100" w:after="100" w:line="400" w:lineRule="exact"/>
        <w:jc w:val="both"/>
        <w:rPr>
          <w:rFonts w:hint="cs"/>
          <w:rtl/>
          <w:lang w:eastAsia="en-US"/>
        </w:rPr>
      </w:pPr>
      <w:r>
        <w:rPr>
          <w:rFonts w:hint="cs"/>
          <w:rtl/>
          <w:lang w:eastAsia="en-US"/>
        </w:rPr>
        <w:t>المرفقات*</w:t>
      </w:r>
    </w:p>
    <w:p w:rsidR="00000000" w:rsidRDefault="00000000">
      <w:pPr>
        <w:tabs>
          <w:tab w:val="left" w:pos="822"/>
          <w:tab w:val="left" w:pos="1389"/>
          <w:tab w:val="left" w:pos="1956"/>
          <w:tab w:val="left" w:leader="dot" w:pos="7014"/>
          <w:tab w:val="center" w:pos="7999"/>
          <w:tab w:val="center" w:pos="9043"/>
        </w:tabs>
        <w:spacing w:before="100" w:after="100" w:line="400" w:lineRule="exact"/>
        <w:jc w:val="both"/>
        <w:rPr>
          <w:rFonts w:hint="cs"/>
          <w:rtl/>
          <w:lang w:eastAsia="en-US"/>
        </w:rPr>
      </w:pPr>
    </w:p>
    <w:p w:rsidR="00000000" w:rsidRDefault="00000000">
      <w:pPr>
        <w:tabs>
          <w:tab w:val="left" w:pos="822"/>
          <w:tab w:val="left" w:pos="1389"/>
          <w:tab w:val="left" w:pos="1956"/>
          <w:tab w:val="left" w:leader="dot" w:pos="7014"/>
          <w:tab w:val="center" w:pos="7999"/>
          <w:tab w:val="center" w:pos="9043"/>
        </w:tabs>
        <w:spacing w:before="100" w:after="100" w:line="400" w:lineRule="exact"/>
        <w:jc w:val="both"/>
        <w:rPr>
          <w:rFonts w:hint="cs"/>
          <w:rtl/>
          <w:lang w:eastAsia="en-US"/>
        </w:rPr>
      </w:pPr>
      <w:r>
        <w:rPr>
          <w:rFonts w:hint="cs"/>
          <w:rtl/>
          <w:lang w:eastAsia="en-US"/>
        </w:rPr>
        <w:t>ــــــــــــــــــــ</w:t>
      </w:r>
    </w:p>
    <w:p w:rsidR="00000000" w:rsidRDefault="00000000">
      <w:pPr>
        <w:pStyle w:val="FootnoteText"/>
        <w:numPr>
          <w:ilvl w:val="0"/>
          <w:numId w:val="0"/>
        </w:numPr>
        <w:spacing w:before="0" w:after="0" w:line="360" w:lineRule="exact"/>
        <w:ind w:right="0"/>
        <w:rPr>
          <w:rFonts w:hint="cs"/>
        </w:rPr>
      </w:pPr>
      <w:r>
        <w:rPr>
          <w:rFonts w:hint="cs"/>
          <w:rtl/>
        </w:rPr>
        <w:tab/>
      </w:r>
      <w:r>
        <w:rPr>
          <w:rStyle w:val="FootnoteReference"/>
          <w:vertAlign w:val="baseline"/>
        </w:rPr>
        <w:sym w:font="Symbol" w:char="F02A"/>
      </w:r>
      <w:r>
        <w:rPr>
          <w:rFonts w:hint="cs"/>
          <w:rtl/>
        </w:rPr>
        <w:tab/>
        <w:t>المرفقات متاحة للاطلاع في ملفات أمانة لجنة الحقوق الاقتصادية والاجتماعية والثقافية.</w:t>
      </w:r>
    </w:p>
    <w:p w:rsidR="00000000" w:rsidRDefault="00000000">
      <w:pPr>
        <w:spacing w:before="100" w:after="100" w:line="400" w:lineRule="exact"/>
        <w:jc w:val="center"/>
        <w:rPr>
          <w:rFonts w:hint="cs"/>
          <w:b/>
          <w:bCs/>
          <w:sz w:val="30"/>
          <w:rtl/>
          <w:lang w:eastAsia="en-US"/>
        </w:rPr>
      </w:pPr>
      <w:r>
        <w:rPr>
          <w:b/>
          <w:bCs/>
          <w:sz w:val="36"/>
          <w:szCs w:val="36"/>
          <w:rtl/>
          <w:lang w:eastAsia="en-US"/>
        </w:rPr>
        <w:t>المحتويات</w:t>
      </w:r>
      <w:r>
        <w:rPr>
          <w:rFonts w:hint="cs"/>
          <w:b/>
          <w:bCs/>
          <w:sz w:val="36"/>
          <w:szCs w:val="36"/>
          <w:rtl/>
          <w:lang w:eastAsia="en-US"/>
        </w:rPr>
        <w:t xml:space="preserve"> </w:t>
      </w:r>
      <w:r>
        <w:rPr>
          <w:rFonts w:hint="cs"/>
          <w:b/>
          <w:bCs/>
          <w:sz w:val="30"/>
          <w:rtl/>
          <w:lang w:eastAsia="en-US"/>
        </w:rPr>
        <w:t>(</w:t>
      </w:r>
      <w:r>
        <w:rPr>
          <w:rFonts w:hint="cs"/>
          <w:b/>
          <w:bCs/>
          <w:i/>
          <w:iCs/>
          <w:sz w:val="30"/>
          <w:u w:val="single"/>
          <w:rtl/>
          <w:lang w:eastAsia="en-US"/>
        </w:rPr>
        <w:t>تابع</w:t>
      </w:r>
      <w:r>
        <w:rPr>
          <w:rFonts w:hint="cs"/>
          <w:b/>
          <w:bCs/>
          <w:sz w:val="30"/>
          <w:rtl/>
          <w:lang w:eastAsia="en-US"/>
        </w:rPr>
        <w:t>)</w:t>
      </w:r>
    </w:p>
    <w:p w:rsidR="00000000" w:rsidRDefault="00000000">
      <w:pPr>
        <w:tabs>
          <w:tab w:val="left" w:pos="7773"/>
          <w:tab w:val="right" w:pos="9354"/>
        </w:tabs>
        <w:spacing w:before="100" w:after="100" w:line="400" w:lineRule="exact"/>
        <w:jc w:val="both"/>
        <w:rPr>
          <w:i/>
          <w:iCs/>
          <w:rtl/>
          <w:lang w:eastAsia="en-US"/>
        </w:rPr>
      </w:pPr>
      <w:r>
        <w:rPr>
          <w:i/>
          <w:iCs/>
          <w:rtl/>
          <w:lang w:eastAsia="en-US"/>
        </w:rPr>
        <w:tab/>
        <w:t>الفقرات</w:t>
      </w:r>
      <w:r>
        <w:rPr>
          <w:i/>
          <w:iCs/>
          <w:rtl/>
          <w:lang w:eastAsia="en-US"/>
        </w:rPr>
        <w:tab/>
        <w:t>الصفحة</w:t>
      </w:r>
    </w:p>
    <w:p w:rsidR="00000000" w:rsidRDefault="00000000">
      <w:pPr>
        <w:tabs>
          <w:tab w:val="left" w:pos="822"/>
          <w:tab w:val="left" w:pos="1389"/>
          <w:tab w:val="left" w:pos="1956"/>
          <w:tab w:val="left" w:leader="dot" w:pos="7014"/>
          <w:tab w:val="center" w:pos="7999"/>
          <w:tab w:val="center" w:pos="9043"/>
        </w:tabs>
        <w:spacing w:before="100" w:after="100" w:line="400" w:lineRule="exact"/>
        <w:jc w:val="center"/>
        <w:rPr>
          <w:rFonts w:hint="cs"/>
          <w:rtl/>
          <w:lang w:eastAsia="en-US"/>
        </w:rPr>
      </w:pPr>
      <w:r>
        <w:rPr>
          <w:rFonts w:hint="cs"/>
          <w:rtl/>
          <w:lang w:eastAsia="en-US"/>
        </w:rPr>
        <w:t xml:space="preserve">الجزء الثالث- </w:t>
      </w:r>
      <w:r>
        <w:rPr>
          <w:rFonts w:hint="cs"/>
          <w:sz w:val="36"/>
          <w:szCs w:val="36"/>
          <w:rtl/>
          <w:lang w:eastAsia="en-US"/>
        </w:rPr>
        <w:t>مقاطعة ماكاو الإدارية الخاصة في الصين</w:t>
      </w:r>
    </w:p>
    <w:p w:rsidR="00000000" w:rsidRDefault="00000000">
      <w:pPr>
        <w:tabs>
          <w:tab w:val="left" w:leader="dot" w:pos="7014"/>
          <w:tab w:val="center" w:pos="7999"/>
          <w:tab w:val="center" w:pos="9043"/>
        </w:tabs>
        <w:spacing w:before="100" w:after="100" w:line="400" w:lineRule="exact"/>
        <w:jc w:val="both"/>
        <w:rPr>
          <w:rFonts w:hint="cs"/>
          <w:rtl/>
          <w:lang w:eastAsia="en-US"/>
        </w:rPr>
      </w:pPr>
      <w:r>
        <w:rPr>
          <w:rFonts w:hint="cs"/>
          <w:rtl/>
          <w:lang w:eastAsia="en-US"/>
        </w:rPr>
        <w:t>مقدمة</w:t>
      </w:r>
      <w:r>
        <w:rPr>
          <w:rFonts w:hint="cs"/>
          <w:rtl/>
          <w:lang w:eastAsia="en-US"/>
        </w:rPr>
        <w:tab/>
      </w:r>
      <w:r>
        <w:rPr>
          <w:rFonts w:hint="cs"/>
          <w:rtl/>
          <w:lang w:eastAsia="en-US"/>
        </w:rPr>
        <w:tab/>
        <w:t>780-789</w:t>
      </w:r>
      <w:r>
        <w:rPr>
          <w:rFonts w:hint="cs"/>
          <w:rtl/>
          <w:lang w:eastAsia="en-US"/>
        </w:rPr>
        <w:tab/>
        <w:t>237</w:t>
      </w:r>
    </w:p>
    <w:p w:rsidR="00000000" w:rsidRDefault="00000000">
      <w:pPr>
        <w:tabs>
          <w:tab w:val="left" w:pos="822"/>
          <w:tab w:val="left" w:pos="1389"/>
          <w:tab w:val="left" w:pos="1956"/>
          <w:tab w:val="left" w:leader="dot" w:pos="7014"/>
          <w:tab w:val="center" w:pos="7999"/>
          <w:tab w:val="center" w:pos="9043"/>
        </w:tabs>
        <w:spacing w:before="100" w:after="100" w:line="400" w:lineRule="exact"/>
        <w:jc w:val="both"/>
        <w:rPr>
          <w:rFonts w:hint="cs"/>
          <w:rtl/>
          <w:lang w:eastAsia="en-US"/>
        </w:rPr>
      </w:pPr>
      <w:r>
        <w:rPr>
          <w:rFonts w:hint="cs"/>
          <w:rtl/>
          <w:lang w:eastAsia="en-US"/>
        </w:rPr>
        <w:t>المادة 1</w:t>
      </w:r>
      <w:r>
        <w:rPr>
          <w:rFonts w:hint="cs"/>
          <w:rtl/>
          <w:lang w:eastAsia="en-US"/>
        </w:rPr>
        <w:tab/>
        <w:t>الاستقلال الذاتي لمقاطعة ماكاو الإدارية الخاصة</w:t>
      </w:r>
      <w:r>
        <w:rPr>
          <w:rFonts w:hint="cs"/>
          <w:rtl/>
          <w:lang w:eastAsia="en-US"/>
        </w:rPr>
        <w:tab/>
      </w:r>
      <w:r>
        <w:rPr>
          <w:rFonts w:hint="cs"/>
          <w:rtl/>
          <w:lang w:eastAsia="en-US"/>
        </w:rPr>
        <w:tab/>
        <w:t>790-795</w:t>
      </w:r>
      <w:r>
        <w:rPr>
          <w:rFonts w:hint="cs"/>
          <w:rtl/>
          <w:lang w:eastAsia="en-US"/>
        </w:rPr>
        <w:tab/>
        <w:t>238</w:t>
      </w:r>
    </w:p>
    <w:p w:rsidR="00000000" w:rsidRDefault="00000000">
      <w:pPr>
        <w:tabs>
          <w:tab w:val="left" w:pos="822"/>
          <w:tab w:val="left" w:pos="1389"/>
          <w:tab w:val="left" w:pos="1956"/>
          <w:tab w:val="left" w:leader="dot" w:pos="7014"/>
          <w:tab w:val="center" w:pos="7999"/>
          <w:tab w:val="center" w:pos="9043"/>
        </w:tabs>
        <w:spacing w:before="100" w:after="100" w:line="400" w:lineRule="exact"/>
        <w:jc w:val="both"/>
        <w:rPr>
          <w:rFonts w:hint="cs"/>
          <w:rtl/>
          <w:lang w:eastAsia="en-US"/>
        </w:rPr>
      </w:pPr>
      <w:r>
        <w:rPr>
          <w:rFonts w:hint="cs"/>
          <w:rtl/>
          <w:lang w:eastAsia="en-US"/>
        </w:rPr>
        <w:t>المادة 2</w:t>
      </w:r>
      <w:r>
        <w:rPr>
          <w:rFonts w:hint="cs"/>
          <w:rtl/>
          <w:lang w:eastAsia="en-US"/>
        </w:rPr>
        <w:tab/>
        <w:t>الاعتراف بالحقوق المكفولة بموجب العهد وإعمالها</w:t>
      </w:r>
      <w:r>
        <w:rPr>
          <w:rFonts w:hint="cs"/>
          <w:rtl/>
          <w:lang w:eastAsia="en-US"/>
        </w:rPr>
        <w:tab/>
      </w:r>
      <w:r>
        <w:rPr>
          <w:rFonts w:hint="cs"/>
          <w:rtl/>
          <w:lang w:eastAsia="en-US"/>
        </w:rPr>
        <w:tab/>
        <w:t>796-815</w:t>
      </w:r>
      <w:r>
        <w:rPr>
          <w:rFonts w:hint="cs"/>
          <w:rtl/>
          <w:lang w:eastAsia="en-US"/>
        </w:rPr>
        <w:tab/>
        <w:t>239</w:t>
      </w:r>
    </w:p>
    <w:p w:rsidR="00000000" w:rsidRDefault="00000000">
      <w:pPr>
        <w:tabs>
          <w:tab w:val="left" w:pos="822"/>
          <w:tab w:val="left" w:pos="1389"/>
          <w:tab w:val="left" w:pos="1956"/>
          <w:tab w:val="left" w:leader="dot" w:pos="7014"/>
          <w:tab w:val="center" w:pos="7999"/>
          <w:tab w:val="center" w:pos="9043"/>
        </w:tabs>
        <w:spacing w:before="100" w:after="100" w:line="400" w:lineRule="exact"/>
        <w:jc w:val="both"/>
        <w:rPr>
          <w:rFonts w:hint="cs"/>
          <w:rtl/>
          <w:lang w:eastAsia="en-US"/>
        </w:rPr>
      </w:pPr>
      <w:r>
        <w:rPr>
          <w:rFonts w:hint="cs"/>
          <w:rtl/>
          <w:lang w:eastAsia="en-US"/>
        </w:rPr>
        <w:t>المادة 3</w:t>
      </w:r>
      <w:r>
        <w:rPr>
          <w:rFonts w:hint="cs"/>
          <w:rtl/>
          <w:lang w:eastAsia="en-US"/>
        </w:rPr>
        <w:tab/>
        <w:t>تساوي الرجل والمرأة في الحقوق</w:t>
      </w:r>
      <w:r>
        <w:rPr>
          <w:rFonts w:hint="cs"/>
          <w:rtl/>
          <w:lang w:eastAsia="en-US"/>
        </w:rPr>
        <w:tab/>
      </w:r>
      <w:r>
        <w:rPr>
          <w:rFonts w:hint="cs"/>
          <w:rtl/>
          <w:lang w:eastAsia="en-US"/>
        </w:rPr>
        <w:tab/>
        <w:t>816-822</w:t>
      </w:r>
      <w:r>
        <w:rPr>
          <w:rFonts w:hint="cs"/>
          <w:rtl/>
          <w:lang w:eastAsia="en-US"/>
        </w:rPr>
        <w:tab/>
        <w:t>242</w:t>
      </w:r>
    </w:p>
    <w:p w:rsidR="00000000" w:rsidRDefault="00000000">
      <w:pPr>
        <w:tabs>
          <w:tab w:val="left" w:pos="822"/>
          <w:tab w:val="left" w:pos="1389"/>
          <w:tab w:val="left" w:pos="1956"/>
          <w:tab w:val="left" w:leader="dot" w:pos="7014"/>
          <w:tab w:val="center" w:pos="7999"/>
          <w:tab w:val="center" w:pos="9043"/>
        </w:tabs>
        <w:spacing w:before="100" w:after="100" w:line="400" w:lineRule="exact"/>
        <w:jc w:val="both"/>
        <w:rPr>
          <w:rFonts w:hint="cs"/>
          <w:rtl/>
          <w:lang w:eastAsia="en-US"/>
        </w:rPr>
      </w:pPr>
      <w:r>
        <w:rPr>
          <w:rFonts w:hint="cs"/>
          <w:rtl/>
          <w:lang w:eastAsia="en-US"/>
        </w:rPr>
        <w:t>المادة 4</w:t>
      </w:r>
      <w:r>
        <w:rPr>
          <w:rFonts w:hint="cs"/>
          <w:rtl/>
          <w:lang w:eastAsia="en-US"/>
        </w:rPr>
        <w:tab/>
        <w:t>إخضاع الحقوق المكفولة في العهد للقيود الجائزة بموجب القانون</w:t>
      </w:r>
      <w:r>
        <w:rPr>
          <w:rFonts w:hint="cs"/>
          <w:rtl/>
          <w:lang w:eastAsia="en-US"/>
        </w:rPr>
        <w:tab/>
      </w:r>
      <w:r>
        <w:rPr>
          <w:rFonts w:hint="cs"/>
          <w:rtl/>
          <w:lang w:eastAsia="en-US"/>
        </w:rPr>
        <w:tab/>
        <w:t>823-826</w:t>
      </w:r>
      <w:r>
        <w:rPr>
          <w:rFonts w:hint="cs"/>
          <w:rtl/>
          <w:lang w:eastAsia="en-US"/>
        </w:rPr>
        <w:tab/>
        <w:t>243</w:t>
      </w:r>
    </w:p>
    <w:p w:rsidR="00000000" w:rsidRDefault="00000000">
      <w:pPr>
        <w:tabs>
          <w:tab w:val="left" w:pos="822"/>
          <w:tab w:val="left" w:pos="1389"/>
          <w:tab w:val="left" w:pos="1956"/>
          <w:tab w:val="left" w:leader="dot" w:pos="7014"/>
          <w:tab w:val="center" w:pos="7999"/>
          <w:tab w:val="center" w:pos="9043"/>
        </w:tabs>
        <w:spacing w:before="100" w:after="100" w:line="400" w:lineRule="exact"/>
        <w:jc w:val="both"/>
        <w:rPr>
          <w:rFonts w:hint="cs"/>
          <w:rtl/>
          <w:lang w:eastAsia="en-US"/>
        </w:rPr>
      </w:pPr>
      <w:r>
        <w:rPr>
          <w:rFonts w:hint="cs"/>
          <w:rtl/>
          <w:lang w:eastAsia="en-US"/>
        </w:rPr>
        <w:t>المادة 5</w:t>
      </w:r>
      <w:r>
        <w:rPr>
          <w:rFonts w:hint="cs"/>
          <w:rtl/>
          <w:lang w:eastAsia="en-US"/>
        </w:rPr>
        <w:tab/>
        <w:t>القيود المفروضة على الحقوق التي يعترف بها العهد</w:t>
      </w:r>
      <w:r>
        <w:rPr>
          <w:rFonts w:hint="cs"/>
          <w:rtl/>
          <w:lang w:eastAsia="en-US"/>
        </w:rPr>
        <w:tab/>
      </w:r>
      <w:r>
        <w:rPr>
          <w:rFonts w:hint="cs"/>
          <w:rtl/>
          <w:lang w:eastAsia="en-US"/>
        </w:rPr>
        <w:tab/>
        <w:t>827-828</w:t>
      </w:r>
      <w:r>
        <w:rPr>
          <w:rFonts w:hint="cs"/>
          <w:rtl/>
          <w:lang w:eastAsia="en-US"/>
        </w:rPr>
        <w:tab/>
        <w:t>243</w:t>
      </w:r>
    </w:p>
    <w:p w:rsidR="00000000" w:rsidRDefault="00000000">
      <w:pPr>
        <w:tabs>
          <w:tab w:val="left" w:pos="822"/>
          <w:tab w:val="left" w:pos="1389"/>
          <w:tab w:val="left" w:pos="1956"/>
          <w:tab w:val="left" w:leader="dot" w:pos="7014"/>
          <w:tab w:val="center" w:pos="7999"/>
          <w:tab w:val="center" w:pos="9043"/>
        </w:tabs>
        <w:spacing w:before="100" w:after="100" w:line="400" w:lineRule="exact"/>
        <w:jc w:val="both"/>
        <w:rPr>
          <w:rFonts w:hint="cs"/>
          <w:rtl/>
          <w:lang w:eastAsia="en-US"/>
        </w:rPr>
      </w:pPr>
      <w:r>
        <w:rPr>
          <w:rFonts w:hint="cs"/>
          <w:rtl/>
          <w:lang w:eastAsia="en-US"/>
        </w:rPr>
        <w:t>المادة 6</w:t>
      </w:r>
      <w:r>
        <w:rPr>
          <w:rFonts w:hint="cs"/>
          <w:rtl/>
          <w:lang w:eastAsia="en-US"/>
        </w:rPr>
        <w:tab/>
        <w:t>الحق في العمل</w:t>
      </w:r>
      <w:r>
        <w:rPr>
          <w:rFonts w:hint="cs"/>
          <w:rtl/>
          <w:lang w:eastAsia="en-US"/>
        </w:rPr>
        <w:tab/>
      </w:r>
      <w:r>
        <w:rPr>
          <w:rFonts w:hint="cs"/>
          <w:rtl/>
          <w:lang w:eastAsia="en-US"/>
        </w:rPr>
        <w:tab/>
        <w:t>829-873</w:t>
      </w:r>
      <w:r>
        <w:rPr>
          <w:rFonts w:hint="cs"/>
          <w:rtl/>
          <w:lang w:eastAsia="en-US"/>
        </w:rPr>
        <w:tab/>
        <w:t>244</w:t>
      </w:r>
    </w:p>
    <w:p w:rsidR="00000000" w:rsidRDefault="00000000">
      <w:pPr>
        <w:tabs>
          <w:tab w:val="left" w:pos="822"/>
          <w:tab w:val="left" w:pos="1389"/>
          <w:tab w:val="left" w:pos="1956"/>
          <w:tab w:val="left" w:leader="dot" w:pos="7014"/>
          <w:tab w:val="center" w:pos="7999"/>
          <w:tab w:val="center" w:pos="9043"/>
        </w:tabs>
        <w:spacing w:before="100" w:after="100" w:line="400" w:lineRule="exact"/>
        <w:jc w:val="both"/>
        <w:rPr>
          <w:rFonts w:hint="cs"/>
          <w:rtl/>
          <w:lang w:eastAsia="en-US"/>
        </w:rPr>
      </w:pPr>
      <w:r>
        <w:rPr>
          <w:rFonts w:hint="cs"/>
          <w:rtl/>
          <w:lang w:eastAsia="en-US"/>
        </w:rPr>
        <w:t>المادة 7</w:t>
      </w:r>
      <w:r>
        <w:rPr>
          <w:rFonts w:hint="cs"/>
          <w:rtl/>
          <w:lang w:eastAsia="en-US"/>
        </w:rPr>
        <w:tab/>
        <w:t>الحق في التمتع بشروط عمل عادلة وملائمة</w:t>
      </w:r>
      <w:r>
        <w:rPr>
          <w:rFonts w:hint="cs"/>
          <w:rtl/>
          <w:lang w:eastAsia="en-US"/>
        </w:rPr>
        <w:tab/>
      </w:r>
      <w:r>
        <w:rPr>
          <w:rFonts w:hint="cs"/>
          <w:rtl/>
          <w:lang w:eastAsia="en-US"/>
        </w:rPr>
        <w:tab/>
        <w:t>874-895</w:t>
      </w:r>
      <w:r>
        <w:rPr>
          <w:rFonts w:hint="cs"/>
          <w:rtl/>
          <w:lang w:eastAsia="en-US"/>
        </w:rPr>
        <w:tab/>
        <w:t>251</w:t>
      </w:r>
    </w:p>
    <w:p w:rsidR="00000000" w:rsidRDefault="00000000">
      <w:pPr>
        <w:tabs>
          <w:tab w:val="left" w:pos="822"/>
          <w:tab w:val="left" w:pos="1389"/>
          <w:tab w:val="left" w:pos="1956"/>
          <w:tab w:val="left" w:leader="dot" w:pos="7014"/>
          <w:tab w:val="center" w:pos="7999"/>
          <w:tab w:val="center" w:pos="9043"/>
        </w:tabs>
        <w:spacing w:before="100" w:after="100" w:line="400" w:lineRule="exact"/>
        <w:jc w:val="both"/>
        <w:rPr>
          <w:rFonts w:hint="cs"/>
          <w:rtl/>
          <w:lang w:eastAsia="en-US"/>
        </w:rPr>
      </w:pPr>
      <w:r>
        <w:rPr>
          <w:rFonts w:hint="cs"/>
          <w:rtl/>
          <w:lang w:eastAsia="en-US"/>
        </w:rPr>
        <w:t>المادة 8</w:t>
      </w:r>
      <w:r>
        <w:rPr>
          <w:rFonts w:hint="cs"/>
          <w:rtl/>
          <w:lang w:eastAsia="en-US"/>
        </w:rPr>
        <w:tab/>
        <w:t>الحق في الانضمام إلى النقابات</w:t>
      </w:r>
      <w:r>
        <w:rPr>
          <w:rFonts w:hint="cs"/>
          <w:rtl/>
          <w:lang w:eastAsia="en-US"/>
        </w:rPr>
        <w:tab/>
      </w:r>
      <w:r>
        <w:rPr>
          <w:rFonts w:hint="cs"/>
          <w:rtl/>
          <w:lang w:eastAsia="en-US"/>
        </w:rPr>
        <w:tab/>
        <w:t>896-903</w:t>
      </w:r>
      <w:r>
        <w:rPr>
          <w:rFonts w:hint="cs"/>
          <w:rtl/>
          <w:lang w:eastAsia="en-US"/>
        </w:rPr>
        <w:tab/>
        <w:t>254</w:t>
      </w:r>
    </w:p>
    <w:p w:rsidR="00000000" w:rsidRDefault="00000000">
      <w:pPr>
        <w:tabs>
          <w:tab w:val="left" w:pos="822"/>
          <w:tab w:val="left" w:pos="1389"/>
          <w:tab w:val="left" w:pos="1956"/>
          <w:tab w:val="left" w:leader="dot" w:pos="7014"/>
          <w:tab w:val="center" w:pos="7999"/>
          <w:tab w:val="center" w:pos="9043"/>
        </w:tabs>
        <w:spacing w:before="100" w:after="100" w:line="400" w:lineRule="exact"/>
        <w:jc w:val="both"/>
        <w:rPr>
          <w:rFonts w:hint="cs"/>
          <w:rtl/>
          <w:lang w:eastAsia="en-US"/>
        </w:rPr>
      </w:pPr>
      <w:r>
        <w:rPr>
          <w:rFonts w:hint="cs"/>
          <w:rtl/>
          <w:lang w:eastAsia="en-US"/>
        </w:rPr>
        <w:t>المادة 9</w:t>
      </w:r>
      <w:r>
        <w:rPr>
          <w:rFonts w:hint="cs"/>
          <w:rtl/>
          <w:lang w:eastAsia="en-US"/>
        </w:rPr>
        <w:tab/>
        <w:t>الحق في الضمان الاجتماعي</w:t>
      </w:r>
      <w:r>
        <w:rPr>
          <w:rFonts w:hint="cs"/>
          <w:rtl/>
          <w:lang w:eastAsia="en-US"/>
        </w:rPr>
        <w:tab/>
      </w:r>
      <w:r>
        <w:rPr>
          <w:rFonts w:hint="cs"/>
          <w:rtl/>
          <w:lang w:eastAsia="en-US"/>
        </w:rPr>
        <w:tab/>
        <w:t>904-920</w:t>
      </w:r>
      <w:r>
        <w:rPr>
          <w:rFonts w:hint="cs"/>
          <w:rtl/>
          <w:lang w:eastAsia="en-US"/>
        </w:rPr>
        <w:tab/>
        <w:t>254</w:t>
      </w:r>
    </w:p>
    <w:p w:rsidR="00000000" w:rsidRDefault="00000000">
      <w:pPr>
        <w:tabs>
          <w:tab w:val="left" w:pos="822"/>
          <w:tab w:val="left" w:pos="1389"/>
          <w:tab w:val="left" w:leader="dot" w:pos="7014"/>
          <w:tab w:val="center" w:pos="7999"/>
          <w:tab w:val="center" w:pos="9043"/>
        </w:tabs>
        <w:spacing w:before="100" w:after="100" w:line="400" w:lineRule="exact"/>
        <w:jc w:val="both"/>
        <w:rPr>
          <w:rFonts w:hint="cs"/>
          <w:rtl/>
          <w:lang w:eastAsia="en-US"/>
        </w:rPr>
      </w:pPr>
      <w:r>
        <w:rPr>
          <w:rFonts w:hint="cs"/>
          <w:rtl/>
          <w:lang w:eastAsia="en-US"/>
        </w:rPr>
        <w:t>المادة 10</w:t>
      </w:r>
      <w:r>
        <w:rPr>
          <w:rFonts w:hint="cs"/>
          <w:rtl/>
          <w:lang w:eastAsia="en-US"/>
        </w:rPr>
        <w:tab/>
        <w:t>حماية الأسرة</w:t>
      </w:r>
      <w:r>
        <w:rPr>
          <w:rFonts w:hint="cs"/>
          <w:rtl/>
          <w:lang w:eastAsia="en-US"/>
        </w:rPr>
        <w:tab/>
      </w:r>
      <w:r>
        <w:rPr>
          <w:rFonts w:hint="cs"/>
          <w:rtl/>
          <w:lang w:eastAsia="en-US"/>
        </w:rPr>
        <w:tab/>
        <w:t>921-965</w:t>
      </w:r>
      <w:r>
        <w:rPr>
          <w:rFonts w:hint="cs"/>
          <w:rtl/>
          <w:lang w:eastAsia="en-US"/>
        </w:rPr>
        <w:tab/>
        <w:t>260</w:t>
      </w:r>
    </w:p>
    <w:p w:rsidR="00000000" w:rsidRDefault="00000000">
      <w:pPr>
        <w:tabs>
          <w:tab w:val="left" w:pos="822"/>
          <w:tab w:val="left" w:pos="1389"/>
          <w:tab w:val="left" w:pos="1956"/>
          <w:tab w:val="left" w:leader="dot" w:pos="7014"/>
          <w:tab w:val="center" w:pos="7999"/>
          <w:tab w:val="center" w:pos="9043"/>
        </w:tabs>
        <w:spacing w:before="100" w:after="100" w:line="400" w:lineRule="exact"/>
        <w:jc w:val="both"/>
        <w:rPr>
          <w:rFonts w:hint="cs"/>
          <w:rtl/>
          <w:lang w:eastAsia="en-US"/>
        </w:rPr>
      </w:pPr>
      <w:r>
        <w:rPr>
          <w:rFonts w:hint="cs"/>
          <w:rtl/>
          <w:lang w:eastAsia="en-US"/>
        </w:rPr>
        <w:t>المادة 11</w:t>
      </w:r>
      <w:r>
        <w:rPr>
          <w:rFonts w:hint="cs"/>
          <w:rtl/>
          <w:lang w:eastAsia="en-US"/>
        </w:rPr>
        <w:tab/>
        <w:t>الحق في مستوى معيشة لائق</w:t>
      </w:r>
      <w:r>
        <w:rPr>
          <w:rFonts w:hint="cs"/>
          <w:rtl/>
          <w:lang w:eastAsia="en-US"/>
        </w:rPr>
        <w:tab/>
      </w:r>
      <w:r>
        <w:rPr>
          <w:rFonts w:hint="cs"/>
          <w:rtl/>
          <w:lang w:eastAsia="en-US"/>
        </w:rPr>
        <w:tab/>
        <w:t>966-1019</w:t>
      </w:r>
      <w:r>
        <w:rPr>
          <w:rFonts w:hint="cs"/>
          <w:rtl/>
          <w:lang w:eastAsia="en-US"/>
        </w:rPr>
        <w:tab/>
        <w:t>265</w:t>
      </w:r>
    </w:p>
    <w:p w:rsidR="00000000" w:rsidRDefault="00000000">
      <w:pPr>
        <w:tabs>
          <w:tab w:val="left" w:pos="822"/>
          <w:tab w:val="left" w:pos="1389"/>
          <w:tab w:val="left" w:pos="1956"/>
          <w:tab w:val="left" w:leader="dot" w:pos="7014"/>
          <w:tab w:val="center" w:pos="7999"/>
          <w:tab w:val="center" w:pos="9043"/>
        </w:tabs>
        <w:spacing w:before="100" w:after="100" w:line="400" w:lineRule="exact"/>
        <w:jc w:val="both"/>
        <w:rPr>
          <w:rFonts w:hint="cs"/>
          <w:rtl/>
          <w:lang w:eastAsia="en-US"/>
        </w:rPr>
      </w:pPr>
      <w:r>
        <w:rPr>
          <w:rFonts w:hint="cs"/>
          <w:rtl/>
          <w:lang w:eastAsia="en-US"/>
        </w:rPr>
        <w:t>المادة 12</w:t>
      </w:r>
      <w:r>
        <w:rPr>
          <w:rFonts w:hint="cs"/>
          <w:rtl/>
          <w:lang w:eastAsia="en-US"/>
        </w:rPr>
        <w:tab/>
        <w:t>الحق في الصحة</w:t>
      </w:r>
      <w:r>
        <w:rPr>
          <w:rFonts w:hint="cs"/>
          <w:rtl/>
          <w:lang w:eastAsia="en-US"/>
        </w:rPr>
        <w:tab/>
      </w:r>
      <w:r>
        <w:rPr>
          <w:rFonts w:hint="cs"/>
          <w:rtl/>
          <w:lang w:eastAsia="en-US"/>
        </w:rPr>
        <w:tab/>
        <w:t>1020-1092</w:t>
      </w:r>
      <w:r>
        <w:rPr>
          <w:rFonts w:hint="cs"/>
          <w:rtl/>
          <w:lang w:eastAsia="en-US"/>
        </w:rPr>
        <w:tab/>
        <w:t>272</w:t>
      </w:r>
    </w:p>
    <w:p w:rsidR="00000000" w:rsidRDefault="00000000">
      <w:pPr>
        <w:tabs>
          <w:tab w:val="left" w:pos="822"/>
          <w:tab w:val="left" w:pos="1389"/>
          <w:tab w:val="left" w:pos="1956"/>
          <w:tab w:val="left" w:leader="dot" w:pos="7014"/>
          <w:tab w:val="center" w:pos="7999"/>
          <w:tab w:val="center" w:pos="9043"/>
        </w:tabs>
        <w:spacing w:before="100" w:after="100" w:line="400" w:lineRule="exact"/>
        <w:jc w:val="both"/>
        <w:rPr>
          <w:rFonts w:hint="cs"/>
          <w:rtl/>
          <w:lang w:eastAsia="en-US"/>
        </w:rPr>
      </w:pPr>
      <w:r>
        <w:rPr>
          <w:rFonts w:hint="cs"/>
          <w:rtl/>
          <w:lang w:eastAsia="en-US"/>
        </w:rPr>
        <w:t>المادتان 13</w:t>
      </w:r>
    </w:p>
    <w:p w:rsidR="00000000" w:rsidRDefault="00000000">
      <w:pPr>
        <w:tabs>
          <w:tab w:val="left" w:pos="822"/>
          <w:tab w:val="left" w:pos="1389"/>
          <w:tab w:val="left" w:pos="1956"/>
          <w:tab w:val="left" w:leader="dot" w:pos="7014"/>
          <w:tab w:val="center" w:pos="7999"/>
          <w:tab w:val="center" w:pos="9043"/>
        </w:tabs>
        <w:spacing w:before="100" w:after="100" w:line="400" w:lineRule="exact"/>
        <w:jc w:val="both"/>
        <w:rPr>
          <w:rFonts w:hint="cs"/>
          <w:rtl/>
          <w:lang w:eastAsia="en-US"/>
        </w:rPr>
      </w:pPr>
      <w:r>
        <w:rPr>
          <w:rFonts w:hint="cs"/>
          <w:rtl/>
          <w:lang w:eastAsia="en-US"/>
        </w:rPr>
        <w:t xml:space="preserve">   و14</w:t>
      </w:r>
      <w:r>
        <w:rPr>
          <w:rFonts w:hint="cs"/>
          <w:rtl/>
          <w:lang w:eastAsia="en-US"/>
        </w:rPr>
        <w:tab/>
        <w:t>الحق في التعليم</w:t>
      </w:r>
      <w:r>
        <w:rPr>
          <w:rFonts w:hint="cs"/>
          <w:rtl/>
          <w:lang w:eastAsia="en-US"/>
        </w:rPr>
        <w:tab/>
      </w:r>
      <w:r>
        <w:rPr>
          <w:rFonts w:hint="cs"/>
          <w:rtl/>
          <w:lang w:eastAsia="en-US"/>
        </w:rPr>
        <w:tab/>
        <w:t>1093-1146</w:t>
      </w:r>
      <w:r>
        <w:rPr>
          <w:rFonts w:hint="cs"/>
          <w:rtl/>
          <w:lang w:eastAsia="en-US"/>
        </w:rPr>
        <w:tab/>
        <w:t>283</w:t>
      </w:r>
    </w:p>
    <w:p w:rsidR="00000000" w:rsidRDefault="00000000">
      <w:pPr>
        <w:tabs>
          <w:tab w:val="left" w:pos="822"/>
          <w:tab w:val="left" w:pos="1389"/>
          <w:tab w:val="left" w:pos="1956"/>
          <w:tab w:val="left" w:leader="dot" w:pos="7014"/>
          <w:tab w:val="center" w:pos="7999"/>
          <w:tab w:val="center" w:pos="9043"/>
        </w:tabs>
        <w:spacing w:before="100" w:after="100" w:line="400" w:lineRule="exact"/>
        <w:jc w:val="both"/>
        <w:rPr>
          <w:rFonts w:hint="cs"/>
          <w:rtl/>
          <w:lang w:eastAsia="en-US"/>
        </w:rPr>
      </w:pPr>
      <w:r>
        <w:rPr>
          <w:rFonts w:hint="cs"/>
          <w:rtl/>
          <w:lang w:eastAsia="en-US"/>
        </w:rPr>
        <w:t>المادة 15</w:t>
      </w:r>
      <w:r>
        <w:rPr>
          <w:rFonts w:hint="cs"/>
          <w:rtl/>
          <w:lang w:eastAsia="en-US"/>
        </w:rPr>
        <w:tab/>
        <w:t>حق المشاركة في الحياة الثقافية وفي التمتع بفوائد التقدم العلمي</w:t>
      </w:r>
      <w:r>
        <w:rPr>
          <w:rFonts w:hint="cs"/>
          <w:rtl/>
          <w:lang w:eastAsia="en-US"/>
        </w:rPr>
        <w:tab/>
      </w:r>
      <w:r>
        <w:rPr>
          <w:rFonts w:hint="cs"/>
          <w:rtl/>
          <w:lang w:eastAsia="en-US"/>
        </w:rPr>
        <w:tab/>
        <w:t>1146-1218</w:t>
      </w:r>
      <w:r>
        <w:rPr>
          <w:rFonts w:hint="cs"/>
          <w:rtl/>
          <w:lang w:eastAsia="en-US"/>
        </w:rPr>
        <w:tab/>
        <w:t>291</w:t>
      </w:r>
    </w:p>
    <w:p w:rsidR="00000000" w:rsidRDefault="00000000">
      <w:pPr>
        <w:tabs>
          <w:tab w:val="left" w:pos="822"/>
          <w:tab w:val="left" w:pos="1389"/>
          <w:tab w:val="left" w:pos="1956"/>
          <w:tab w:val="left" w:leader="dot" w:pos="7014"/>
          <w:tab w:val="center" w:pos="7999"/>
          <w:tab w:val="center" w:pos="9043"/>
        </w:tabs>
        <w:spacing w:before="100" w:after="100" w:line="400" w:lineRule="exact"/>
        <w:jc w:val="both"/>
        <w:rPr>
          <w:rFonts w:hint="cs"/>
          <w:rtl/>
          <w:lang w:eastAsia="en-US"/>
        </w:rPr>
      </w:pPr>
      <w:r>
        <w:rPr>
          <w:rFonts w:hint="cs"/>
          <w:rtl/>
          <w:lang w:eastAsia="en-US"/>
        </w:rPr>
        <w:t>المرفقات*</w:t>
      </w:r>
    </w:p>
    <w:p w:rsidR="00000000" w:rsidRDefault="00000000">
      <w:pPr>
        <w:tabs>
          <w:tab w:val="left" w:pos="822"/>
          <w:tab w:val="left" w:pos="1389"/>
          <w:tab w:val="left" w:pos="1956"/>
          <w:tab w:val="left" w:leader="dot" w:pos="7014"/>
          <w:tab w:val="center" w:pos="7999"/>
          <w:tab w:val="center" w:pos="9043"/>
        </w:tabs>
        <w:spacing w:before="100" w:after="100" w:line="400" w:lineRule="exact"/>
        <w:jc w:val="both"/>
        <w:rPr>
          <w:rFonts w:hint="cs"/>
          <w:rtl/>
          <w:lang w:eastAsia="en-US"/>
        </w:rPr>
      </w:pPr>
    </w:p>
    <w:p w:rsidR="00000000" w:rsidRDefault="00000000">
      <w:pPr>
        <w:tabs>
          <w:tab w:val="left" w:pos="822"/>
          <w:tab w:val="left" w:pos="1389"/>
          <w:tab w:val="left" w:pos="1956"/>
          <w:tab w:val="left" w:leader="dot" w:pos="7014"/>
          <w:tab w:val="center" w:pos="7999"/>
          <w:tab w:val="center" w:pos="9043"/>
        </w:tabs>
        <w:spacing w:before="100" w:after="100" w:line="400" w:lineRule="exact"/>
        <w:jc w:val="both"/>
        <w:rPr>
          <w:rFonts w:hint="cs"/>
          <w:rtl/>
          <w:lang w:eastAsia="en-US"/>
        </w:rPr>
      </w:pPr>
    </w:p>
    <w:p w:rsidR="00000000" w:rsidRDefault="00000000">
      <w:pPr>
        <w:tabs>
          <w:tab w:val="left" w:pos="822"/>
          <w:tab w:val="left" w:pos="1389"/>
          <w:tab w:val="left" w:pos="1956"/>
          <w:tab w:val="left" w:leader="dot" w:pos="7014"/>
          <w:tab w:val="center" w:pos="7999"/>
          <w:tab w:val="center" w:pos="9043"/>
        </w:tabs>
        <w:spacing w:before="100" w:after="100" w:line="400" w:lineRule="exact"/>
        <w:jc w:val="both"/>
        <w:rPr>
          <w:rFonts w:hint="cs"/>
          <w:rtl/>
          <w:lang w:eastAsia="en-US"/>
        </w:rPr>
      </w:pPr>
    </w:p>
    <w:p w:rsidR="00000000" w:rsidRDefault="00000000">
      <w:pPr>
        <w:tabs>
          <w:tab w:val="left" w:pos="822"/>
          <w:tab w:val="left" w:pos="1389"/>
          <w:tab w:val="left" w:pos="1956"/>
          <w:tab w:val="left" w:leader="dot" w:pos="7014"/>
          <w:tab w:val="center" w:pos="7999"/>
          <w:tab w:val="center" w:pos="9043"/>
        </w:tabs>
        <w:spacing w:before="100" w:after="100" w:line="400" w:lineRule="exact"/>
        <w:jc w:val="both"/>
        <w:rPr>
          <w:rFonts w:hint="cs"/>
          <w:rtl/>
          <w:lang w:eastAsia="en-US"/>
        </w:rPr>
      </w:pPr>
      <w:r>
        <w:rPr>
          <w:rFonts w:hint="cs"/>
          <w:rtl/>
          <w:lang w:eastAsia="en-US"/>
        </w:rPr>
        <w:t>ــــــــــــــــــــ</w:t>
      </w:r>
    </w:p>
    <w:p w:rsidR="00000000" w:rsidRDefault="00000000">
      <w:pPr>
        <w:pStyle w:val="FootnoteText"/>
        <w:numPr>
          <w:ilvl w:val="0"/>
          <w:numId w:val="0"/>
        </w:numPr>
        <w:spacing w:before="0" w:after="0" w:line="360" w:lineRule="exact"/>
        <w:ind w:right="0"/>
        <w:rPr>
          <w:rFonts w:hint="cs"/>
          <w:rtl/>
          <w:lang w:eastAsia="en-US"/>
        </w:rPr>
      </w:pPr>
      <w:r>
        <w:rPr>
          <w:rFonts w:hint="cs"/>
          <w:rtl/>
        </w:rPr>
        <w:tab/>
      </w:r>
      <w:r>
        <w:rPr>
          <w:rStyle w:val="FootnoteReference"/>
          <w:vertAlign w:val="baseline"/>
        </w:rPr>
        <w:sym w:font="Symbol" w:char="F02A"/>
      </w:r>
      <w:r>
        <w:rPr>
          <w:rFonts w:hint="cs"/>
          <w:rtl/>
        </w:rPr>
        <w:tab/>
        <w:t>المرفقات متاحة للاطلاع في ملفات أمانة لجنة الحقوق الاقتصادية والاجتماعية والثقافية.</w:t>
      </w:r>
    </w:p>
    <w:p w:rsidR="00000000" w:rsidRDefault="00000000">
      <w:pPr>
        <w:spacing w:line="380" w:lineRule="exact"/>
        <w:jc w:val="center"/>
        <w:rPr>
          <w:rFonts w:hint="cs"/>
          <w:b/>
          <w:bCs/>
          <w:rtl/>
          <w:lang w:eastAsia="en-US"/>
        </w:rPr>
      </w:pPr>
      <w:r>
        <w:rPr>
          <w:b/>
          <w:bCs/>
          <w:rtl/>
          <w:lang w:eastAsia="en-US"/>
        </w:rPr>
        <w:br w:type="page"/>
      </w:r>
      <w:r>
        <w:rPr>
          <w:rFonts w:hint="cs"/>
          <w:b/>
          <w:bCs/>
          <w:rtl/>
          <w:lang w:eastAsia="en-US"/>
        </w:rPr>
        <w:t>الجزء الأول</w:t>
      </w:r>
    </w:p>
    <w:p w:rsidR="00000000" w:rsidRDefault="00000000">
      <w:pPr>
        <w:spacing w:line="380" w:lineRule="exact"/>
        <w:jc w:val="center"/>
        <w:rPr>
          <w:rFonts w:hint="cs"/>
          <w:b/>
          <w:bCs/>
          <w:sz w:val="38"/>
          <w:szCs w:val="36"/>
          <w:rtl/>
          <w:lang w:eastAsia="en-US"/>
        </w:rPr>
      </w:pPr>
      <w:r>
        <w:rPr>
          <w:rFonts w:hint="cs"/>
          <w:b/>
          <w:bCs/>
          <w:sz w:val="38"/>
          <w:szCs w:val="36"/>
          <w:rtl/>
          <w:lang w:eastAsia="en-US"/>
        </w:rPr>
        <w:t>الصين</w:t>
      </w:r>
    </w:p>
    <w:p w:rsidR="00000000" w:rsidRDefault="00000000">
      <w:pPr>
        <w:spacing w:line="380" w:lineRule="exact"/>
        <w:jc w:val="center"/>
        <w:rPr>
          <w:rFonts w:hint="cs"/>
          <w:b/>
          <w:bCs/>
          <w:rtl/>
          <w:lang w:eastAsia="en-US"/>
        </w:rPr>
      </w:pPr>
      <w:r>
        <w:rPr>
          <w:rFonts w:hint="cs"/>
          <w:b/>
          <w:bCs/>
          <w:rtl/>
          <w:lang w:eastAsia="en-US"/>
        </w:rPr>
        <w:t>مقدمة</w:t>
      </w:r>
    </w:p>
    <w:p w:rsidR="00000000" w:rsidRDefault="00000000">
      <w:pPr>
        <w:spacing w:line="380" w:lineRule="exact"/>
        <w:jc w:val="both"/>
        <w:rPr>
          <w:rFonts w:hint="cs"/>
          <w:rtl/>
          <w:lang w:eastAsia="en-US"/>
        </w:rPr>
      </w:pPr>
      <w:r>
        <w:rPr>
          <w:rFonts w:hint="cs"/>
          <w:rtl/>
          <w:lang w:eastAsia="en-US"/>
        </w:rPr>
        <w:t>1-</w:t>
      </w:r>
      <w:r>
        <w:rPr>
          <w:rFonts w:hint="cs"/>
          <w:rtl/>
          <w:lang w:eastAsia="en-US"/>
        </w:rPr>
        <w:tab/>
        <w:t>كانت جمهورية الصين الشعبية، ولا تزال، تولي أهمية كبيرة لمسألة حقوق الإنسان وترى من الواجب تعزيز وحماية جميع حقوق الإنسان والحريات الأساسية لشعبها. وتلتزم حكومة الصين بتعزيز حقوق شعبها الاقتصادية والاجتماعية والثقافية وحمايتها، وقد حققت إنجازات كبيرة في هذا الصدد.</w:t>
      </w:r>
    </w:p>
    <w:p w:rsidR="00000000" w:rsidRDefault="00000000">
      <w:pPr>
        <w:spacing w:line="380" w:lineRule="exact"/>
        <w:jc w:val="both"/>
        <w:rPr>
          <w:rFonts w:hint="cs"/>
          <w:rtl/>
          <w:lang w:eastAsia="en-US"/>
        </w:rPr>
      </w:pPr>
      <w:r>
        <w:rPr>
          <w:rFonts w:hint="cs"/>
          <w:rtl/>
          <w:lang w:eastAsia="en-US"/>
        </w:rPr>
        <w:t>2-</w:t>
      </w:r>
      <w:r>
        <w:rPr>
          <w:rFonts w:hint="cs"/>
          <w:rtl/>
          <w:lang w:eastAsia="en-US"/>
        </w:rPr>
        <w:tab/>
        <w:t>وفي 27 تشرين الأول/أكتوبر 1997، وقعت الصين على العهد الدولي الخاص بالحقوق الاقتصادية والاجتماعية والثقافية (المشار إليه أدناه ب‍ "العهد"). وفي 28 شباط/فبراير 2001، صادقت اللجنة الدائمة للمجلس الشعبي الوطني على انضمام الصين إلى العهد. وفي 27 آذار/مارس 2001، سلمت البعثة الدائمة لجمهورية الصين الشعبية لدى الأمم المتحدة وثيقة الانضمام إلى الأمين العام للأمم المتحدة. وفي 27 حزيران/يونيه 2001، دخل العهد رسمياً حيز النفاذ في الصين.</w:t>
      </w:r>
    </w:p>
    <w:p w:rsidR="00000000" w:rsidRDefault="00000000">
      <w:pPr>
        <w:spacing w:line="380" w:lineRule="exact"/>
        <w:jc w:val="both"/>
        <w:rPr>
          <w:rFonts w:hint="cs"/>
          <w:rtl/>
          <w:lang w:eastAsia="en-US"/>
        </w:rPr>
      </w:pPr>
      <w:r>
        <w:rPr>
          <w:rFonts w:hint="cs"/>
          <w:rtl/>
          <w:lang w:eastAsia="en-US"/>
        </w:rPr>
        <w:t>3-</w:t>
      </w:r>
      <w:r>
        <w:rPr>
          <w:rFonts w:hint="cs"/>
          <w:rtl/>
          <w:lang w:eastAsia="en-US"/>
        </w:rPr>
        <w:tab/>
        <w:t>وطبقاً للمادتين 16 و17 من العهد ولوائح المجلس الاقتصادي والاجتماعي، من المفترض أن تقدم الصين إلى الأمين العام للأمم المتحدة تقريراً أولياً عن حالة تنفيذ العهد لكي يقدمه إلى المجلس الاقتصادي والاجتماعي. وتمشياً مع المعايير العامة واقتراحات المجلس الاقتصادي والاجتماعي المتعلقة بتقديم الدول الأطراف لتلك التقارير، أعدّت الصين هذا التقرير الأولي عن حالة تنفيذ العهد.</w:t>
      </w:r>
    </w:p>
    <w:p w:rsidR="00000000" w:rsidRDefault="00000000">
      <w:pPr>
        <w:spacing w:line="380" w:lineRule="exact"/>
        <w:jc w:val="both"/>
        <w:rPr>
          <w:rFonts w:hint="cs"/>
          <w:rtl/>
          <w:lang w:eastAsia="en-US"/>
        </w:rPr>
      </w:pPr>
      <w:r>
        <w:rPr>
          <w:rFonts w:hint="cs"/>
          <w:rtl/>
          <w:lang w:eastAsia="en-US"/>
        </w:rPr>
        <w:t>4-</w:t>
      </w:r>
      <w:r>
        <w:rPr>
          <w:rFonts w:hint="cs"/>
          <w:rtl/>
          <w:lang w:eastAsia="en-US"/>
        </w:rPr>
        <w:tab/>
        <w:t>إن التقرير، إذ يركز على الإنجازات التي تحققت في الميدانين التشريعي والقضائي، وإذ يتضمن أيضاً المجالات التي توجد فيها صعوبات ومشاكل، يعرض الحالة العامة لتنفيذ العهد. ويتألف من ثلاثة أجزاء. يشمل الجزء الأول الوضع الراهن والتقدم المحرز في تنفيذ العهد في الصين. أما الجزء الثاني فيغطي الوضع الحالي لتنفيذ العهد في منطقة هونغ كونغ الإدارية الخاصة، وقد أعدّه حاكم هذه المنطقة. والجزء الثالث يشمل، من ناحيته، الوضع الراهن لتنفيذ العهد في منطقة ماكاو الإدارية الخاصة، وقد أعدّه حاكم هذه المنطقة.</w:t>
      </w:r>
    </w:p>
    <w:p w:rsidR="00000000" w:rsidRDefault="00000000">
      <w:pPr>
        <w:spacing w:line="380" w:lineRule="exact"/>
        <w:jc w:val="both"/>
        <w:rPr>
          <w:rFonts w:hint="cs"/>
          <w:rtl/>
          <w:lang w:eastAsia="en-US"/>
        </w:rPr>
      </w:pPr>
      <w:r>
        <w:rPr>
          <w:rFonts w:hint="cs"/>
          <w:rtl/>
          <w:lang w:eastAsia="en-US"/>
        </w:rPr>
        <w:t>5-</w:t>
      </w:r>
      <w:r>
        <w:rPr>
          <w:rFonts w:hint="cs"/>
          <w:rtl/>
          <w:lang w:eastAsia="en-US"/>
        </w:rPr>
        <w:tab/>
        <w:t>ومن المهم توضيح أن جميع الإدارات المعنية في حكومة الصين قد شاركت في إعداد هذا التقرير وأتاحت كميات كبيرة من البيانات. كما ساهم في ذلك أيضاً كلّ من المنظمات غير الحكومية الصينية والجامعيين والخبراء.</w:t>
      </w:r>
    </w:p>
    <w:p w:rsidR="00000000" w:rsidRDefault="00000000">
      <w:pPr>
        <w:spacing w:line="380" w:lineRule="exact"/>
        <w:jc w:val="center"/>
        <w:rPr>
          <w:rFonts w:hint="cs"/>
          <w:b/>
          <w:bCs/>
          <w:rtl/>
          <w:lang w:eastAsia="en-US"/>
        </w:rPr>
      </w:pPr>
      <w:r>
        <w:rPr>
          <w:rFonts w:hint="cs"/>
          <w:b/>
          <w:bCs/>
          <w:rtl/>
          <w:lang w:eastAsia="en-US"/>
        </w:rPr>
        <w:t>المادة 1</w:t>
      </w:r>
    </w:p>
    <w:p w:rsidR="00000000" w:rsidRDefault="00000000">
      <w:pPr>
        <w:spacing w:line="380" w:lineRule="exact"/>
        <w:jc w:val="center"/>
        <w:rPr>
          <w:rFonts w:hint="cs"/>
          <w:rtl/>
          <w:lang w:eastAsia="en-US"/>
        </w:rPr>
      </w:pPr>
      <w:r>
        <w:rPr>
          <w:rFonts w:hint="cs"/>
          <w:b/>
          <w:bCs/>
          <w:rtl/>
          <w:lang w:eastAsia="en-US"/>
        </w:rPr>
        <w:t>تقرير المصير</w:t>
      </w:r>
    </w:p>
    <w:p w:rsidR="00000000" w:rsidRDefault="00000000">
      <w:pPr>
        <w:spacing w:line="380" w:lineRule="exact"/>
        <w:jc w:val="both"/>
        <w:rPr>
          <w:rFonts w:hint="cs"/>
          <w:rtl/>
          <w:lang w:eastAsia="en-US"/>
        </w:rPr>
      </w:pPr>
      <w:r>
        <w:rPr>
          <w:rFonts w:hint="cs"/>
          <w:rtl/>
          <w:lang w:eastAsia="en-US"/>
        </w:rPr>
        <w:t>6-</w:t>
      </w:r>
      <w:r>
        <w:rPr>
          <w:rFonts w:hint="cs"/>
          <w:rtl/>
          <w:lang w:eastAsia="en-US"/>
        </w:rPr>
        <w:tab/>
        <w:t>الصين هي إحدى أعرق الأمم على وجه البسيطة. وقد صنعت قوميات البلد المتنوعة معاً تاريخاً مشرقاًً ومجيداً. وابتداء من عام 1840، تحولت الصين تدريجياً من أمة إقطاعية عظيمة إلى دولة شبه استعمارية وشبه إقطاعية. وتردّت السلطة الوطنية وفَقدت حقوق الإنسان التي كان يتمتع بها الشعب ضماناتها الأساسية. وبغية تحقيق الاستقلال الوطني وتقرير المصير، استهل شعب الصين معركة بطولية تميّزت بروح الاستشهاد والتضحية. وفي 1 تشرين الأول/أكتوبر 1949، وفي نهاية فترة من الكفاح الطويل والشاق، أسس شعب الصين جمهورية الصين الشعبية. ومنذئذ، حقق الشعب استقلاله الوطني الكامل، وتمكّن من مقاليد الدولة وأصبح يتحكم فيها تحكماً حقيقياً وأضحى سيد بلاده.</w:t>
      </w:r>
    </w:p>
    <w:p w:rsidR="00000000" w:rsidRDefault="00000000">
      <w:pPr>
        <w:spacing w:line="380" w:lineRule="exact"/>
        <w:jc w:val="both"/>
        <w:rPr>
          <w:rFonts w:hint="cs"/>
          <w:rtl/>
          <w:lang w:eastAsia="en-US"/>
        </w:rPr>
      </w:pPr>
      <w:r>
        <w:rPr>
          <w:rFonts w:hint="cs"/>
          <w:rtl/>
          <w:lang w:eastAsia="en-US"/>
        </w:rPr>
        <w:t>7-</w:t>
      </w:r>
      <w:r>
        <w:rPr>
          <w:rFonts w:hint="cs"/>
          <w:rtl/>
          <w:lang w:eastAsia="en-US"/>
        </w:rPr>
        <w:tab/>
        <w:t>وجمهورية الصين الشعبية لم تأل جهداً، منذ أن تأسست، في إقامة نظام سياسي ديمقراطي شعبي والارتقاء به في مراقي الكمال، نظامٍ يضمن الحقوق الديمقراطية للشعب بصفته صاحب السيادة. وفي أيلول/سبتمبر 1954، سَن المؤتمر الوطني الشعبي الأول في دورته العامة الأولى دستور جمهورية الصين الشعبية على أساس الإعمال الكامل لديمقراطية الشعب. وقد نص هذا الدستور على طبيعة البلد ووظائف المؤسسات الوطنية وحدد حقوق المواطنين ومسؤولياتهم، مفضياً بذلك إلى وضع أسس الديمقراطية الصينية وإنشاء مؤسساتها القانونية. وفي عام 1982، وافق المؤتمر الوطني الشعبي الخامس في دورته الخامسة على إصدار الدستور النافذ حالياً. وينص دستور جمهورية الصين الشعبية صراحة على أن "جميع السلطات في جمهورية الصين الشعبية هي بيد الشعب. والأجهزة التي يمارس الشعب من خلالها سلطات الدولة هي المؤتمر الوطني الشعبي والمؤتمرات المحلية الشعبية على مختلف المستويات". ويمثل نظام المؤتمرات الشعبية جوهر النظام السياسي الصيني. وانسجاماً مع الظروف المميزة للبلاد، كان ذلك خيار الشعب الصيني الذي لا مفر منه، وهو ثمرة كفاح طويل ومرير من أجل الاستقلال والتحرر.</w:t>
      </w:r>
    </w:p>
    <w:p w:rsidR="00000000" w:rsidRDefault="00000000">
      <w:pPr>
        <w:spacing w:line="380" w:lineRule="exact"/>
        <w:jc w:val="both"/>
        <w:rPr>
          <w:rFonts w:hint="cs"/>
          <w:rtl/>
          <w:lang w:eastAsia="en-US"/>
        </w:rPr>
      </w:pPr>
      <w:r>
        <w:rPr>
          <w:rFonts w:hint="cs"/>
          <w:rtl/>
          <w:lang w:eastAsia="en-US"/>
        </w:rPr>
        <w:t>8-</w:t>
      </w:r>
      <w:r>
        <w:rPr>
          <w:rFonts w:hint="cs"/>
          <w:rtl/>
          <w:lang w:eastAsia="en-US"/>
        </w:rPr>
        <w:tab/>
        <w:t>ومع تأسيس جمهورية الصين الشعبية، استُهلت سلسلة من الإصلاحات الزراعية وغيرها من الإصلاحات الديمقراطية على الصعيد الوطني، نجم عنها منح 300 مليون مزارع بلا أرض أو يملكون أراضي غير صالحة للزراعة 700 مليون مو (1 مو = 0.0667 هكتاراً) من الأراضي وكثيراً من وسائل الإنتاج، مما سمح بتحسن الوضع الاقتصادي والظروف المعيشية لمعظم السكان المزارعين تحسناً كبيراً. كما عدّلت الصين قطاعات الزراعة والصناعة اليدوية والصناعة والتجارة، وأدخلت إصلاحات ديمقراطية على نظم الإنتاج والإدارة في قطاعي التعدين والصناعات التحويلية التابعين للدولة. وتمكنت من تحقيق الديمقراطية في إدارة المؤسسات من خلال لجان إدارة المصانع وجمعيات ممثلي الموظفين. وتم تنقيح النظم القديمة للمرتبات وزيادة استحقاقات الموظفين. وهكذا، أصبح الشعب الصيني مالك وسائل الإنتاج والمستفيد من ثروة المجتمع.</w:t>
      </w:r>
    </w:p>
    <w:p w:rsidR="00000000" w:rsidRDefault="00000000">
      <w:pPr>
        <w:spacing w:line="380" w:lineRule="exact"/>
        <w:jc w:val="center"/>
        <w:rPr>
          <w:rFonts w:hint="cs"/>
          <w:b/>
          <w:bCs/>
          <w:rtl/>
          <w:lang w:eastAsia="en-US"/>
        </w:rPr>
      </w:pPr>
      <w:r>
        <w:rPr>
          <w:rFonts w:hint="cs"/>
          <w:b/>
          <w:bCs/>
          <w:rtl/>
          <w:lang w:eastAsia="en-US"/>
        </w:rPr>
        <w:t>المادة 2</w:t>
      </w:r>
    </w:p>
    <w:p w:rsidR="00000000" w:rsidRDefault="00000000">
      <w:pPr>
        <w:spacing w:line="380" w:lineRule="exact"/>
        <w:jc w:val="center"/>
        <w:rPr>
          <w:rFonts w:hint="cs"/>
          <w:b/>
          <w:bCs/>
          <w:rtl/>
          <w:lang w:eastAsia="en-US"/>
        </w:rPr>
      </w:pPr>
      <w:r>
        <w:rPr>
          <w:rFonts w:hint="cs"/>
          <w:b/>
          <w:bCs/>
          <w:rtl/>
          <w:lang w:eastAsia="en-US"/>
        </w:rPr>
        <w:t>التدابير المتخذة لضمان الإعمال الكامل للحقوق</w:t>
      </w:r>
    </w:p>
    <w:p w:rsidR="00000000" w:rsidRDefault="00000000">
      <w:pPr>
        <w:spacing w:line="380" w:lineRule="exact"/>
        <w:jc w:val="both"/>
        <w:rPr>
          <w:rFonts w:hint="cs"/>
          <w:rtl/>
          <w:lang w:eastAsia="en-US"/>
        </w:rPr>
      </w:pPr>
      <w:r>
        <w:rPr>
          <w:rFonts w:hint="cs"/>
          <w:rtl/>
          <w:lang w:eastAsia="en-US"/>
        </w:rPr>
        <w:t>9-</w:t>
      </w:r>
      <w:r>
        <w:rPr>
          <w:rFonts w:hint="cs"/>
          <w:rtl/>
          <w:lang w:eastAsia="en-US"/>
        </w:rPr>
        <w:tab/>
        <w:t>جَدّت الصين لسنوات عدة في وضع تشريعات تحمي حقوق المواطنين الاقتصادية والاجتماعية والثقافية وتُعززها، وضمان حماية حقوقهم ومصالحهم قانوناً. ونظراً إلى الظروف الخاصة للبلاد وبعد الاطلاع على تشريعات العديد من بلدان العالم والوثائق الدولية المتصلة بالموضوع، سنت الصين عدداً كبيراً من القوانين واللوائح التي تدور حول الوثيقة الأساسية المتمثلة في دستور الأمة. ويشمل ذلك المبادئ العامة للقانون المدني وقانون الإرث وقانون حماية المستهلك وقانون الموارد المعدنية وقانون إدارة الأراضي وقانون المياه وقانون (صيانة) المياه والتربة وقانون الفحم وقانون حماية البيئة وقانون العمل وقانون النقابات وقانون سلامة المناجم ولوائح ضمان الحد الأدنى المعيشي لسكان المدن ولوائح مجلس الدولة بشأن وضع المؤسسات لنظام لتأمين معاشات المسنين وقانون التعليم وقانون التعليم الإجباري وقانون التعليم العالي وقانون (حماية) الممتلكات الثقافية وقانون التقدم في العلوم والتكنولوجيا وقانون اللغة الوطنية وكتابتها وقانون حماية الأحداث وقانون حقوق المرأة ومصالحها وقانون حقوق المسنين ومصالحهم وقانون حماية المعوقين. كل هذه القوانين تمثل نظاماً قانونياً يقدم ضمانات قانونية مهمة في مجال تعزيز حقوق المواطنين الاقتصادية والاجتماعية والثقافية وحمايتها.</w:t>
      </w:r>
    </w:p>
    <w:p w:rsidR="00000000" w:rsidRDefault="00000000">
      <w:pPr>
        <w:spacing w:line="380" w:lineRule="exact"/>
        <w:jc w:val="both"/>
        <w:rPr>
          <w:rFonts w:hint="cs"/>
          <w:rtl/>
          <w:lang w:eastAsia="en-US"/>
        </w:rPr>
      </w:pPr>
      <w:r>
        <w:rPr>
          <w:rFonts w:hint="cs"/>
          <w:rtl/>
          <w:lang w:eastAsia="en-US"/>
        </w:rPr>
        <w:t>10-</w:t>
      </w:r>
      <w:r>
        <w:rPr>
          <w:rFonts w:hint="cs"/>
          <w:rtl/>
          <w:lang w:eastAsia="en-US"/>
        </w:rPr>
        <w:tab/>
        <w:t>وتنسجم قوانين الصين وسياساتها مع العهد شكلاً ومضموناً. فالمواد من 42 إلى 48 من الدستور وحده تنص بشكل تام على حق المواطنين في العمل والراحة والتعليم والبحث العلمي والأنشطة الثقافية وحقهم في تلقي المساعدة المادية من الدولة والمجتمع عند الشيخوخة أو في حالة الإصابة بالمرض أو العجز عن العمل، وحقهم في التملك المشروع ووراثة الممتلكات الخاصة والمساواة في الحقوق بين الرجل والمرأة. وأقر المؤتمر الوطني الشعبي في دورته الثانية المعقودة في آذار/مارس 1999 تعديلات على الدستور تتعلق أيضاً بحقوق المواطنين الاقتصادية والاجتماعية والثقافية، وجاء فيها ما يلي: "يعد القطاع غير العام من الاقتصاد، الذي يشمل الأعمال الحرة والمشاريع الخاصة، التي تمارس نشاطها في حدود القانون، عنصراً مهماً في اقتصاد السوق الاشتراكي"، و"تحمي الدولة الحقوق والمصالح المشروعة للأعمال الحرة والمشاريع الخاصة" (المادة 11).</w:t>
      </w:r>
    </w:p>
    <w:p w:rsidR="00000000" w:rsidRDefault="00000000">
      <w:pPr>
        <w:spacing w:line="380" w:lineRule="exact"/>
        <w:jc w:val="both"/>
        <w:rPr>
          <w:rFonts w:hint="cs"/>
          <w:rtl/>
          <w:lang w:eastAsia="en-US"/>
        </w:rPr>
      </w:pPr>
      <w:r>
        <w:rPr>
          <w:rFonts w:hint="cs"/>
          <w:rtl/>
          <w:lang w:eastAsia="en-US"/>
        </w:rPr>
        <w:t>11-</w:t>
      </w:r>
      <w:r>
        <w:rPr>
          <w:rFonts w:hint="cs"/>
          <w:rtl/>
          <w:lang w:eastAsia="en-US"/>
        </w:rPr>
        <w:tab/>
        <w:t>وقد اعتمدت الصين في الأغلب على جهودها الخاصة في تعزيزها وحمايتها للحقوق الاقتصادية والاجتماعية والثقافية، وحققت نتائج ملحوظة. وبصفتها بلداً نامياً، ما انفكت تبدي استعدادها للاعتماد على المشاريع التعاونية في التنمية الاقتصادية والتقنية والتعلم من خبرات ونجاحات البلدان الأخرى، بغرض التقدم معاً. ومنذ بداية عصر الإصلاحات الليبرالية، خطت المشاريع الاقتصادية والتقنية المشتركة بين الصين والعالم الخارجي خطوات كبيرة وحققت نتائج ملحوظة. وفي عام 2002، تجاوز التبادل التجاري الإجمالي بين الصين وسائر بلدان العالم 600 مليار دولار، وتزايد بسرعة عدد المجالات المفتوحة أمام التجارة الخارجية، وتوسعت من المناطق الساحلية إلى المناطق الداخلية. وتطورت العلاقات التجارية في جميع الميادين وعلى مستويات عدة مع بلدان العالم. وتسارع تقدم الصين صوب الاندماج في اقتصاد عالمي معولَم واقتصاد إقليمي موحد. ويؤدي تطور المشاريع المشتركة الأجنبية اليوم دوراً لا تفتأ تتعاظم أهميته في الاقتصاد الوطني. وأصبح ذلك قوة لا غنى عنها في دفع النمو الاقتصادي وزيادة إيرادات الدولة وتعزيز فرص التوظيف وتحقيق فائض في الميزان التجاري، وكذلك تحفيز التنمية في المجال الاقتصادي والاجتماعي والثقافي.</w:t>
      </w:r>
    </w:p>
    <w:p w:rsidR="00000000" w:rsidRDefault="00000000">
      <w:pPr>
        <w:spacing w:line="380" w:lineRule="exact"/>
        <w:jc w:val="both"/>
        <w:rPr>
          <w:rFonts w:hint="cs"/>
          <w:rtl/>
          <w:lang w:eastAsia="en-US"/>
        </w:rPr>
      </w:pPr>
      <w:r>
        <w:rPr>
          <w:rFonts w:hint="cs"/>
          <w:rtl/>
          <w:lang w:eastAsia="en-US"/>
        </w:rPr>
        <w:t>12-</w:t>
      </w:r>
      <w:r>
        <w:rPr>
          <w:rFonts w:hint="cs"/>
          <w:rtl/>
          <w:lang w:eastAsia="en-US"/>
        </w:rPr>
        <w:tab/>
        <w:t>وقد كثّفت الصين بحثها ودراستها للقانون الدولي والممارسات العرفية، وانضمت إلى اتفاقات دولية مثل اتفاقية الأمم المتحدة المتعلقة بعقود البيع الدولي للبضائع، واتفاقية الأمم المتحدة المتعلقة بالاعتراف بقرارات التحكيم الأجنبية وتنفيذها، واتفاقية باريس لحماية الملكية الصناعية، واتفاقية تسوية المنازعات الاستثمارية الناشئة بين الدول ورعايا الدول الأخرى، والاتفاقية المنشئة لوكالة ضمان الاستثمارات المتعددة الأطراف. وللصين علاقات تعاون تقنية مع 135 بلداً وإقليماً، وعلاقات تبادُل وتعاون في مجالي التعليم والثقافة مع 154 بلداً وإقليماً. ووقعت 95 اتفاقاً حكومياً دولياً في مجال التعاون التقني، و145 اتفاقاً حكومياً دولياً في مجال التعاون الثقافي، وانضمت إلى نحو 75 مؤسسة جامعية دولية. وبحلول نهاية عام 2002، أوفدت الصين نحو 000 580 طالب للدراسة في الخارج في أكثر من 100 بلد وإقليم، واستضافت زهاء 000 540 طالب من عدد إجمالي من البلدان والأقاليم بلغ 170 بلداً وإقليماً. ويؤدي تشجيع الصين للتعاون مع البلدان الأجنبية في المجال الاقتصادي والتقني والتعليمي والعلمي دوراً هاماً في تعزيز تمتع المواطنين بالحقوق الاقتصادية والاجتماعية والثقافية.</w:t>
      </w:r>
    </w:p>
    <w:p w:rsidR="00000000" w:rsidRDefault="00000000">
      <w:pPr>
        <w:spacing w:line="380" w:lineRule="exact"/>
        <w:jc w:val="both"/>
        <w:rPr>
          <w:rFonts w:hint="cs"/>
          <w:rtl/>
          <w:lang w:eastAsia="en-US"/>
        </w:rPr>
      </w:pPr>
      <w:r>
        <w:rPr>
          <w:rFonts w:hint="cs"/>
          <w:rtl/>
          <w:lang w:eastAsia="en-US"/>
        </w:rPr>
        <w:t>13-</w:t>
      </w:r>
      <w:r>
        <w:rPr>
          <w:rFonts w:hint="cs"/>
          <w:rtl/>
          <w:lang w:eastAsia="en-US"/>
        </w:rPr>
        <w:tab/>
        <w:t>ولا تزال الصين بلداً نامياً. ونظراً إلى القيود المتعلقة بمستوى التنمية الاقتصادية والاجتماعية للبلد، وإن كان العهد قد دخل حيز النفاذ في الصين، فإن جميع مواده لم تُعمَل إعمالاً كاملاً. فلم يستوف مستوى التمتع ببعض الحقوق بعد الشروط التي ينص عليها العهد. ولا يزال يقع على عاتق الصين واجب الحد من الفقر وتقليص الفجوة بين الأغنياء والفقراء، في الوقت الذي تواجه فيه أيضاً ضغوطاً من قبيل نمو السكان ونضوب الموارد. بيد أن حكومة الصين وشعبها قادران تماماً على حل جميع المشاكل التي تعترض سبيل التنمية، استناداً إلى 50 سنة من التنمية، ولا سيما في السنوات العشرين الأخيرة من الإصلاحات الليبرالية، وسيواصلان تعزيز مستوى التمتع بحقوق الإنسان والحريات الأساسية.</w:t>
      </w:r>
    </w:p>
    <w:p w:rsidR="00000000" w:rsidRDefault="00000000">
      <w:pPr>
        <w:spacing w:line="380" w:lineRule="exact"/>
        <w:jc w:val="both"/>
        <w:rPr>
          <w:rFonts w:hint="cs"/>
          <w:rtl/>
          <w:lang w:eastAsia="en-US"/>
        </w:rPr>
      </w:pPr>
      <w:r>
        <w:rPr>
          <w:rFonts w:hint="cs"/>
          <w:rtl/>
          <w:lang w:eastAsia="en-US"/>
        </w:rPr>
        <w:t>14-</w:t>
      </w:r>
      <w:r>
        <w:rPr>
          <w:rFonts w:hint="cs"/>
          <w:rtl/>
          <w:lang w:eastAsia="en-US"/>
        </w:rPr>
        <w:tab/>
        <w:t xml:space="preserve">ثم إن الصين، إذ تحمي حقوق مواطنيها، دأبت على إقرار مبدأ عدم التمييز. فقد جاء في المادة 33 من الدستور </w:t>
      </w:r>
      <w:r>
        <w:rPr>
          <w:rtl/>
          <w:lang w:eastAsia="en-US"/>
        </w:rPr>
        <w:t xml:space="preserve">أن </w:t>
      </w:r>
      <w:r>
        <w:rPr>
          <w:rFonts w:hint="cs"/>
          <w:rtl/>
          <w:lang w:eastAsia="en-US"/>
        </w:rPr>
        <w:t>"</w:t>
      </w:r>
      <w:r>
        <w:rPr>
          <w:rtl/>
          <w:lang w:eastAsia="en-US"/>
        </w:rPr>
        <w:t>جميع مواطني</w:t>
      </w:r>
      <w:r>
        <w:rPr>
          <w:rFonts w:hint="cs"/>
          <w:rtl/>
          <w:lang w:eastAsia="en-US"/>
        </w:rPr>
        <w:t xml:space="preserve"> جمهورية الصين الشعبية</w:t>
      </w:r>
      <w:r>
        <w:rPr>
          <w:rtl/>
          <w:lang w:eastAsia="en-US"/>
        </w:rPr>
        <w:t xml:space="preserve"> سوا</w:t>
      </w:r>
      <w:r>
        <w:rPr>
          <w:rFonts w:hint="cs"/>
          <w:rtl/>
          <w:lang w:eastAsia="en-US"/>
        </w:rPr>
        <w:t>سية</w:t>
      </w:r>
      <w:r>
        <w:rPr>
          <w:rtl/>
          <w:lang w:eastAsia="en-US"/>
        </w:rPr>
        <w:t xml:space="preserve"> أمام القانون</w:t>
      </w:r>
      <w:r>
        <w:rPr>
          <w:rFonts w:hint="cs"/>
          <w:rtl/>
          <w:lang w:eastAsia="en-US"/>
        </w:rPr>
        <w:t>". وتحمي هذه المادة تساوي جميع المواطنين في التمتع بحقوقهم كما ينص على ذلك القانون، بصرف النظر عن انتمائهم الإثني أو العرقي وبغض النظر عن نوع جنسهم أو مهنتهم أو أصلهم العائلي أو معتقداتهم الدينية أو مستوى تعلُّمهم أو وضعهم المالي أو غير ذلك. وعلى هذا الأساس، سنت الصين قوانين مثل المبادئ العامة للقانون المدني وقانون الزواج وقانون الإرث وقانون التعليم وقانون التعليم الإجباري وقانون العمل، وذلك تحديداً لتنظيم الممارسات في تلك المجالات التي ينطبق فيها مبدأ عدم التمييز. وفضلاً عن ذلك، سنت قوانين مثل قانون حقوق المرأة ومصالحها وقانون حماية الأحداث وقانون حماية المعوقين وقانون حقوق المسنين ومصالحهم، وذلك بغرض تعزيز حماية حقوق أفراد جماعات بعينها داخل المجتمع.</w:t>
      </w:r>
    </w:p>
    <w:p w:rsidR="00000000" w:rsidRDefault="00000000">
      <w:pPr>
        <w:spacing w:line="380" w:lineRule="exact"/>
        <w:jc w:val="both"/>
        <w:rPr>
          <w:rFonts w:hint="cs"/>
          <w:rtl/>
          <w:lang w:eastAsia="en-US"/>
        </w:rPr>
      </w:pPr>
      <w:r>
        <w:rPr>
          <w:rFonts w:hint="cs"/>
          <w:rtl/>
          <w:lang w:eastAsia="en-US"/>
        </w:rPr>
        <w:t>15-</w:t>
      </w:r>
      <w:r>
        <w:rPr>
          <w:rFonts w:hint="cs"/>
          <w:rtl/>
          <w:lang w:eastAsia="en-US"/>
        </w:rPr>
        <w:tab/>
        <w:t>وضماناً لتنفيذ مبدأ عدم التمييز في جميع الميادين وإعمال أحكام المادة 2 من العهد وشروطها إعمالاً كاملاً، تحرص الصين أشد ما تحرص على حماية حقوق المواطنين الأجانب في أرضها. فقد جاء في المادة 32 من الدستور أن "جمهورية الصين الشعبية تحمي حقوق الأجانب ومصالحهم المشروعة داخل الأراضي الصينية؛ وعلى الأجانب الموجودين على الأرض الصينية أن يلتزموا بقوانين جمهورية الصين الشعبية". وينص هذا الحكم على ضمانة قانونية أساسية لحماية حقوق المواطنين الأجانب ومصالحهم في الصين، وكل القوانين واللوائح الأخرى المتعلقة بوضع المواطنين الأجانب في الصين تستند إليها. وتنتمي تلك القوانين واللوائح إلى فئتين رئيسيتين، هما:</w:t>
      </w:r>
    </w:p>
    <w:p w:rsidR="00000000" w:rsidRDefault="00000000">
      <w:pPr>
        <w:spacing w:line="380" w:lineRule="exact"/>
        <w:jc w:val="both"/>
        <w:rPr>
          <w:rFonts w:hint="cs"/>
          <w:rtl/>
          <w:lang w:eastAsia="en-US"/>
        </w:rPr>
      </w:pPr>
      <w:r>
        <w:rPr>
          <w:rFonts w:hint="cs"/>
          <w:rtl/>
          <w:lang w:eastAsia="en-US"/>
        </w:rPr>
        <w:tab/>
        <w:t>(أ)</w:t>
      </w:r>
      <w:r>
        <w:rPr>
          <w:rFonts w:hint="cs"/>
          <w:rtl/>
          <w:lang w:eastAsia="en-US"/>
        </w:rPr>
        <w:tab/>
        <w:t>القوانين واللوائح التي تتعلق بحقوق الكيانات الأجنبية والتزاماتها، على النحو المنصوص عليه في المادة 18 من الدستور، التي فيها أن:</w:t>
      </w:r>
    </w:p>
    <w:p w:rsidR="00000000" w:rsidRDefault="00000000">
      <w:pPr>
        <w:spacing w:line="380" w:lineRule="exact"/>
        <w:ind w:left="720"/>
        <w:jc w:val="both"/>
        <w:rPr>
          <w:rFonts w:hint="cs"/>
          <w:rtl/>
          <w:lang w:eastAsia="en-US"/>
        </w:rPr>
      </w:pPr>
      <w:r>
        <w:rPr>
          <w:rFonts w:hint="cs"/>
          <w:rtl/>
          <w:lang w:eastAsia="en-US"/>
        </w:rPr>
        <w:t>"جمهورية الصين الشعبية تسمح للمشاريع الأجنبية وغيرها من المؤسسات الاقتصادية الأجنبية والأفراد من الأجانب بالاستثمار في الصين والدخول في شتى أشكال التعاون الاقتصادي مع المشاريع الصينية وغيرها من المؤسسات الاقتصادية الصينية وفقاً لقانون جمهورية الصين الشعبية. وعلى جميع المشاريع الأجنبية وغيرها من المؤسسات الاقتصادية الأجنبية والمشاريع المشتركة بين جهات صينية وأخرى أجنبية داخل الأراضي الصينية أن تلتزم بقانون جمهورية الصين الشعبية. وتحظى حقوقها ومصالحها المشروعة بحماية قانون جمهورية الصين الشعبية".</w:t>
      </w:r>
    </w:p>
    <w:p w:rsidR="00000000" w:rsidRDefault="00000000">
      <w:pPr>
        <w:spacing w:line="380" w:lineRule="exact"/>
        <w:jc w:val="both"/>
        <w:rPr>
          <w:rFonts w:hint="cs"/>
          <w:rtl/>
          <w:lang w:eastAsia="en-US"/>
        </w:rPr>
      </w:pPr>
      <w:r>
        <w:rPr>
          <w:rFonts w:hint="cs"/>
          <w:rtl/>
          <w:lang w:eastAsia="en-US"/>
        </w:rPr>
        <w:t>كما أن المبادئ العامة للقانون المدني وقانون حقوق الملكية الفكرية وقانون العلامات التجارية وقانون البراءات وغيرها من القوانين تصف بالتحديد المبادئ والممارسات التي تحكم حماية حقوق المواطنين الأجانب في الصين؛</w:t>
      </w:r>
    </w:p>
    <w:p w:rsidR="00000000" w:rsidRDefault="00000000">
      <w:pPr>
        <w:spacing w:line="380" w:lineRule="exact"/>
        <w:jc w:val="both"/>
        <w:rPr>
          <w:rFonts w:hint="cs"/>
          <w:rtl/>
          <w:lang w:eastAsia="en-US"/>
        </w:rPr>
      </w:pPr>
      <w:r>
        <w:rPr>
          <w:rFonts w:hint="cs"/>
          <w:rtl/>
          <w:lang w:eastAsia="en-US"/>
        </w:rPr>
        <w:tab/>
        <w:t>(ب)</w:t>
      </w:r>
      <w:r>
        <w:rPr>
          <w:rFonts w:hint="cs"/>
          <w:rtl/>
          <w:lang w:eastAsia="en-US"/>
        </w:rPr>
        <w:tab/>
        <w:t>التشريعات التي تنص على حقوق المواطنين الأجانب في الدعاوى المدنية. فقد جاء في المادة 5 من قانون الإجراءات المدنية، على سبيل المثال، أنه يجب معاملة المواطنين الأجانب والمواطنين على قدم المساواة في الدعاوى المدنية، كما يجب التقيد بمبدأ المعاملة بالمثل.</w:t>
      </w:r>
    </w:p>
    <w:p w:rsidR="00000000" w:rsidRDefault="00000000">
      <w:pPr>
        <w:spacing w:line="380" w:lineRule="exact"/>
        <w:jc w:val="both"/>
        <w:rPr>
          <w:rFonts w:hint="cs"/>
          <w:rtl/>
          <w:lang w:eastAsia="en-US"/>
        </w:rPr>
      </w:pPr>
      <w:r>
        <w:rPr>
          <w:rFonts w:hint="cs"/>
          <w:rtl/>
          <w:lang w:eastAsia="en-US"/>
        </w:rPr>
        <w:t>16-</w:t>
      </w:r>
      <w:r>
        <w:rPr>
          <w:rFonts w:hint="cs"/>
          <w:rtl/>
          <w:lang w:eastAsia="en-US"/>
        </w:rPr>
        <w:tab/>
        <w:t>وعلاوة على التشريعات المحلية، أبرمت الصين عدداً من المعاهدات الثنائية والعهود الدولية مع البلدان المعنية تتضمن أحكاماً بشأن معاملة المواطنين الأجانب لدى وجودهم في الصين. وتشمل تلك المعاهدات والعهود اتفاقات تحكم التجارة وحماية الاستثمارات وتجنب الازدواج الضريبي.</w:t>
      </w:r>
    </w:p>
    <w:p w:rsidR="00000000" w:rsidRDefault="00000000">
      <w:pPr>
        <w:spacing w:line="380" w:lineRule="exact"/>
        <w:jc w:val="center"/>
        <w:rPr>
          <w:rFonts w:hint="cs"/>
          <w:b/>
          <w:bCs/>
          <w:rtl/>
          <w:lang w:eastAsia="en-US"/>
        </w:rPr>
      </w:pPr>
      <w:r>
        <w:rPr>
          <w:rFonts w:hint="cs"/>
          <w:b/>
          <w:bCs/>
          <w:rtl/>
          <w:lang w:eastAsia="en-US"/>
        </w:rPr>
        <w:t>المادة 3</w:t>
      </w:r>
    </w:p>
    <w:p w:rsidR="00000000" w:rsidRDefault="00000000">
      <w:pPr>
        <w:spacing w:line="380" w:lineRule="exact"/>
        <w:jc w:val="center"/>
        <w:rPr>
          <w:rFonts w:hint="cs"/>
          <w:rtl/>
          <w:lang w:eastAsia="en-US"/>
        </w:rPr>
      </w:pPr>
      <w:r>
        <w:rPr>
          <w:rFonts w:hint="cs"/>
          <w:b/>
          <w:bCs/>
          <w:rtl/>
          <w:lang w:eastAsia="en-US"/>
        </w:rPr>
        <w:t>المساواة بين الجنسين</w:t>
      </w:r>
    </w:p>
    <w:p w:rsidR="00000000" w:rsidRDefault="00000000">
      <w:pPr>
        <w:spacing w:line="380" w:lineRule="exact"/>
        <w:jc w:val="both"/>
        <w:rPr>
          <w:rFonts w:hint="cs"/>
          <w:rtl/>
          <w:lang w:eastAsia="en-US"/>
        </w:rPr>
      </w:pPr>
      <w:r>
        <w:rPr>
          <w:rFonts w:hint="cs"/>
          <w:rtl/>
          <w:lang w:eastAsia="en-US"/>
        </w:rPr>
        <w:t>17-</w:t>
      </w:r>
      <w:r>
        <w:rPr>
          <w:rFonts w:hint="cs"/>
          <w:rtl/>
          <w:lang w:eastAsia="en-US"/>
        </w:rPr>
        <w:tab/>
        <w:t>إن إعمال حقوق الرجل والمرأة على قدم المساواة مقياس مهم في تقويم درجة تحضر مجتمع من المجتمعات. وتجعل الصين من تعزيز المساواة بين الجنسين وإعمالها سياسة أساسية في إرساء التنمية الوطنية، ولا تتخلف أبداً عن الالتزام بتقدم المرأة والنهوض بها.</w:t>
      </w:r>
    </w:p>
    <w:p w:rsidR="00000000" w:rsidRDefault="00000000">
      <w:pPr>
        <w:spacing w:line="380" w:lineRule="exact"/>
        <w:jc w:val="both"/>
        <w:rPr>
          <w:rFonts w:hint="cs"/>
          <w:rtl/>
          <w:lang w:eastAsia="en-US"/>
        </w:rPr>
      </w:pPr>
      <w:r>
        <w:rPr>
          <w:rFonts w:hint="cs"/>
          <w:rtl/>
          <w:lang w:eastAsia="en-US"/>
        </w:rPr>
        <w:t>18-</w:t>
      </w:r>
      <w:r>
        <w:rPr>
          <w:rFonts w:hint="cs"/>
          <w:rtl/>
          <w:lang w:eastAsia="en-US"/>
        </w:rPr>
        <w:tab/>
        <w:t>وقد سنت الصين قوانين ولوائح دقيقة تنص على حماية المرأة والطفل. واستناداً إلى الدستور وتمشياً مع قانون حقوق المرأة ومصالحها، وضعت الصين نظاماً قانونياً يوفر حماية أكمل لحقوق المرأة ومصالحها. وتشمل تلك القوانين قانون الزواج وقانون العمل وقانون التعليم وقانون الرعاية الصحية للأم والطفل وقانون الإرث وقانون حماية المعوقين وقانون حقوق المسنين ومصالحهم. وفي عام 1992، سنت الصين وأنفذت قانون حقوق المرأة ومصالحها الذي يشدد على أن الرجل والمرأة متساويان من حيث حرمتُهما الشخصية وكرامتهما ويتمتعان بنفس الحقوق والمركز، ويبين في أحكام واضحة الحقوق وسبل الحماية السياسية والاقتصادية والثقافية والتعليمية الأساسية التي ينبغي أن تتمتع بها المرأة في المجتمع والبيت.</w:t>
      </w:r>
    </w:p>
    <w:p w:rsidR="00000000" w:rsidRDefault="00000000">
      <w:pPr>
        <w:spacing w:line="380" w:lineRule="exact"/>
        <w:jc w:val="both"/>
        <w:rPr>
          <w:rFonts w:hint="cs"/>
          <w:rtl/>
          <w:lang w:eastAsia="en-US"/>
        </w:rPr>
      </w:pPr>
      <w:r>
        <w:rPr>
          <w:rFonts w:hint="cs"/>
          <w:rtl/>
          <w:lang w:eastAsia="en-US"/>
        </w:rPr>
        <w:t>19-</w:t>
      </w:r>
      <w:r>
        <w:rPr>
          <w:rFonts w:hint="cs"/>
          <w:rtl/>
          <w:lang w:eastAsia="en-US"/>
        </w:rPr>
        <w:tab/>
        <w:t>وقد وضعت آليات لتعزيز وضع المرأة. ففي عام 1990، أنشأت الصين اللجنة العاملة المكلفة بشؤون المرأة والطفل التابعة لمجلس الدولة بصفتها مؤسسة معنية بتعزيز وضع المرأة. وتتلخص مهامها الأساسية في ضمان التنسيق بين جميع الإدارات الحكومية والمنظمات غير الحكومية بقصد معالجة قضايا المرأة والطفل معالجة سليمة والنهوض بقضاياهما، وحماية حقوق المرأة والطفل ومصالحهما، والإشراف على تنفيذ القوانين المتصلة بحماية مصالح المرأة والطفل والبرامج المتعلقة بتنمية المرأة والطفل. وبعد مرور 10 سنوات من التطوير والتحسين، ازداد عدد أعضاء اللجنة من 19 منظمة عضواً أصلية إلى 29 في الوقت الحالي (بما فيها 24 منظمة حكومية و5 منظمات غير حكومية). كما أن 80 في المائة من المدن والبلْدات في المقاطعات والبلديات والمناطق المستقلة البالغ عددها 31 قد أنشأت مؤسسات عاملة تعنى بقضايا المرأة والطفل تشمل إدارات عدة ويديرها موظفون حكوميون لهم نفس الرتبة. وفي الوقت نفسه، وُضع نظام يقدم الأعضاء بموجبه تقارير سنوية ويرصد تنفيذ كل وحدة وظيفية لواجباتها ويعزز تبادل المعلومات. وقد قامت اللجنة العاملة المكلفة بشؤون المرأة والطفل التابعة لمجلس الدولة بدور مهم في إدراج الوعي الجنساني في سياسات الدولة وخططها وبرامجها.</w:t>
      </w:r>
    </w:p>
    <w:p w:rsidR="00000000" w:rsidRDefault="00000000">
      <w:pPr>
        <w:spacing w:line="380" w:lineRule="exact"/>
        <w:jc w:val="both"/>
        <w:rPr>
          <w:rFonts w:hint="cs"/>
          <w:rtl/>
          <w:lang w:eastAsia="en-US"/>
        </w:rPr>
      </w:pPr>
      <w:r>
        <w:rPr>
          <w:rFonts w:hint="cs"/>
          <w:rtl/>
          <w:lang w:eastAsia="en-US"/>
        </w:rPr>
        <w:t>20-</w:t>
      </w:r>
      <w:r>
        <w:rPr>
          <w:rFonts w:hint="cs"/>
          <w:rtl/>
          <w:lang w:eastAsia="en-US"/>
        </w:rPr>
        <w:tab/>
        <w:t>وتضع الصين خططاً حكومية لحماية وتعزيز تنمية المرأة. فتمشياً مع الأهداف الرئيسية لخطط الشعب في مجال التنمية الاقتصادية والاجتماعية، وفي ضوء وضع المرأة في الصين، وضعت الحكومة في عام 1995 أول خطة في تاريخ الصين تعنى بتنمية المرأة، ألا وهي برنامج تنمية المرأة (1995-2000). وفي عام 2001، أصدرت وأنفذت خَلَفها المسمى برنامج النهوض بالمرأة (2001-2010). ويؤكد هذا البرنامج على ستة مجالات ذات أولوية بالنسبة إلى التنمية، هي: المرأة والاقتصاد، ومشاركة المرأة في رسم السياسات والإدارة، والمرأة والتعليم، والمرأة والصحة، والمرأة والقانون، والمرأة والبيئة. وفـي خطة الشعب الخماسية العاشـرة للتنمية الاقتصادية والاجتماعية (2001-2005)، منحت الحكومة بوضوح ولاية التنفيذ الكامل لبرنامج تنمية المرأة والحماية الفعلية لحقوق المرأة ومصالحها المشروعة. وقد أقدمت جميع الإدارات وحكومات المقاطعات والمناطق المستقلة والبلديات التي تديرها الحكومة المركزية مباشرة على وضع برامج النهوض بالمرأة الخاصة بأوضاعها بغية ضمان دقة تحديد أهدافها وتكيّفها مع الأوضاع المحلية، وذلك تمشياً مع التدابير المحددة لبرنامج النهوض بالمرأة وأهدافه.</w:t>
      </w:r>
    </w:p>
    <w:p w:rsidR="00000000" w:rsidRDefault="00000000">
      <w:pPr>
        <w:spacing w:line="380" w:lineRule="exact"/>
        <w:jc w:val="both"/>
        <w:rPr>
          <w:rFonts w:hint="cs"/>
          <w:rtl/>
          <w:lang w:eastAsia="en-US"/>
        </w:rPr>
      </w:pPr>
      <w:r>
        <w:rPr>
          <w:rFonts w:hint="cs"/>
          <w:rtl/>
          <w:lang w:eastAsia="en-US"/>
        </w:rPr>
        <w:t>21-</w:t>
      </w:r>
      <w:r>
        <w:rPr>
          <w:rFonts w:hint="cs"/>
          <w:rtl/>
          <w:lang w:eastAsia="en-US"/>
        </w:rPr>
        <w:tab/>
        <w:t>وبفضل الجهود الهائلة التي بذلت، تحسنت كثيراً أوضاع المرأة في الصين. وحظيت حقوقها في المشاركة السياسية، والتوظيف، والتعلُّم، والصحة والإصحاح، والزواج والبيت بمزيد من الضمانات. وحضر المؤتمر الوطني الشعبي العاشر في عام 2003 إجمالاً 604 مندوبات، أي 20.24 في المائة من المجموع، في حين كانت 373 مندوبة تمثل 16.7 في المائة من المندوبين إلى المؤتمر الاستشاري السياسي الوطني العاشر، وهو ما يمثل زيادة بنسبة 0.78 في المائة و2.02 في المائة مقارنة بما سُجل في المؤتمر الثامن والمؤتمر الاستشاري الثامن على التوالي. وتشغل ثلاث نساء في الوقت الحالي مناصب نائبات لرؤساء لجان في اللجنة الدائمة التابعة للمؤتمر الوطني الشعبي، وامرأتان نائبتان لرئيسين في اللجنة الوطنية التابعة للمؤتمر الاستشاري السياسي الشعبي الصيني، وامرأة نائبة لرئيس الوزراء، وامرأة عضو في مجلس الدولة. ويبلغ عدد النساء في إدارات مجلس الدولة 15 امرأة بصفة رئيسة أو نائبة للرئيس، وفي عام 2000 كان نحو 36.2 في المائة من أطر الحزب في جميع أنحاء البلاد من النساء. وتبلغ نسبة النساء في القوة العاملة في الصين حالياً نحو 46 في المائة: وقد توسعت المجالات التي تعمل فيها النساء من المهن التقليدية التي كن يزاولنها إلى الصناعات الجديدة والناشئة. وما فتئت تتزايد منذ عام 1995 أعداد ونسب النساء اللائي يعملن في صناعات من قبيل إنتاج وتوريد الكهرباء والغاز والطاقة المائية، والبريد والاتصالات، والمال والتأمين، والعقار، والأسفار، والبث الإذاعي والسينما والتلفزة، والإصحاح واللياقة البدنية، والرعاية الاجتماعية. وخلال الفترة نفسها، تزايدت بنسبة 60 في المائة أعداد النساء اللواتي يعملن في المهن الحرة والنساء اللائي يعملن في مشاريع خاصة. وقد نُفذت الأحكام المتعلقة بحماية الموظفات والعاملات تنفيذاً شاملاً. وبحلول عام 2001، بلغ معدل التحاق الفتيـات بالتعليـم الابتدائي علـى الصعيد الوطني نسبة 99.01 في المائة، وكان عدد الفتيات في التعليم الابتدائي، البالغ000 368 59 فتاة، يمثل نسبة 47.3 في المائة من المجموع. وكان عدد الفتيات في الإعداديـات العـادية، البالغ 300 433 36 فتـاة، يمثل 46.49 في المائة من مجمـوع الطلبة، في حين مثل عدد الفتيات في الإعداديات المهنية، البالغ 400 468 5 فتاة، نسبة 56.11 في المائة من المجموع. وفي الوقت ذاته، كانت الشابات البالغ عددهن 000 023 3 شابة في المدارس المهنية العليا يمثلن 42.04 في المائة من مجموع الطلبة في هذه المدارس. وبحلول نهاية عام 2000، كان معدل تغطية السنوات التسع من التعليم الإجباري على الصعيد الإقليمي يفوق 85 في المائة، وتقلص الفارق في متوسط عدد سنوات التعليم بين الفتيان والفتيات من 2.9 عاماً في سنة 1991 إلى 1.07 عاماً. وفي سنة 2000، كانت الرعاية الصحية متوفرة ل‍ 86 في المائة من الحوامل والنوافس على الصعيد الوطني، وانخفض معدل وفيات الأمهات من 61.9 إلى 53 من بين كل 000 100 امرأة في عام 1995. وتزايدت نسبة الأمهات اللائي يلدن في المستشفيات إلى 72.9 في المائة، مسجلة ارتفاعاً قدره 15 نقطة مئوية مقارنة بعام 1995. وفي عام 2001، كان معدل العمر المتوقع بالنسبة للنساء يبلغ 73.6 في المائة، وهو معدل تفوق نظيره لدى الرجال ب‍ 3.8 سنوات. ونظمت الحكومة على جميع مستوياتها حملات لاتخاذ مواقف أكثر صرامة إزاء الاعتداء البدني، وعُرضت على العدالة العديد من القضايا الجنائية التي انطوت على انتهاكات لحقوق المرأة. وقد ساهمت في حماية وضع المرأة المتزوجة الحملات التي نظمت لمكافحة انتهاك حقوق المرأة والإخلال بالنظام القانوني الذي لا يسمح سوى بزوج واحد (وزوجة واحدة)، وتأييداً للمساواة والثقافة والانسجام والاستقرار في العلاقات الأسرية. وقد وقعت الصين على اتفاقية القضاء على جميع أشكال التمييز ضد المرأة وحضرت جميع المؤتمرات الدولية عن المرأة وجميع الملتقيات الدولية التي تنظمها الأمم المتحدة بشأن النهوض بالمرأة. وقد نجحت الصين على وجه الخصوص، في عام 1995،، في استضافة المؤتمر العالمي الرابع المعني بالمرأة ومنتدى المنظمات غير الحكومية المعني بالمرأة.</w:t>
      </w:r>
    </w:p>
    <w:p w:rsidR="00000000" w:rsidRDefault="00000000">
      <w:pPr>
        <w:spacing w:line="380" w:lineRule="exact"/>
        <w:jc w:val="both"/>
        <w:rPr>
          <w:rFonts w:hint="cs"/>
          <w:spacing w:val="2"/>
          <w:rtl/>
          <w:lang w:eastAsia="en-US"/>
        </w:rPr>
      </w:pPr>
      <w:r>
        <w:rPr>
          <w:rFonts w:hint="cs"/>
          <w:spacing w:val="2"/>
          <w:rtl/>
          <w:lang w:eastAsia="en-US"/>
        </w:rPr>
        <w:t>22-</w:t>
      </w:r>
      <w:r>
        <w:rPr>
          <w:rFonts w:hint="cs"/>
          <w:spacing w:val="2"/>
          <w:rtl/>
          <w:lang w:eastAsia="en-US"/>
        </w:rPr>
        <w:tab/>
        <w:t>ثم إن حكومة الصين، إذ تضع الخطوط العريضة للسياسة الوطنية، تلتزم بتنفيذ مبادئ المشاركة على قدم المساواة والتنمية المشتركة والمزايا المشتركة بين الرجال والنساء، مع التركيز على المشاركة على قدم المساواة في الشؤون الوطنية والحياة الاجتماعية بغض النظر عن نوع الجنس، وتشجيع التعاون بين الجنسين في تحقيق التقدم والتنمية في المجال الاجتماعي. ونظراً إلى مستوى التنمية الاقتصادية والاجتماعية المحدود لدى المرأة في الصين، وفي إطار تأثير المواقف التقليدية، فإن الإعمال الكامل للمساواة بينها وبين الرجل في الحقوق السياسية والاقتصادية والاجتماعية والأسرية سيكون عملية طويلة الأجل، كما أن المحيط الاجتماعي للنهوض بالمرأة يقتضي المزيد من التحسين. ولا يزال على عاتق الصين واجب كبير وطويل الأمد لتخطي الحواجز واستئصال المظاهر الرسمية للتمييز ضد المرأة.</w:t>
      </w:r>
    </w:p>
    <w:p w:rsidR="00000000" w:rsidRDefault="00000000">
      <w:pPr>
        <w:spacing w:line="380" w:lineRule="exact"/>
        <w:jc w:val="center"/>
        <w:rPr>
          <w:rFonts w:hint="cs"/>
          <w:b/>
          <w:bCs/>
          <w:spacing w:val="2"/>
          <w:rtl/>
          <w:lang w:eastAsia="en-US"/>
        </w:rPr>
      </w:pPr>
      <w:r>
        <w:rPr>
          <w:rFonts w:hint="cs"/>
          <w:b/>
          <w:bCs/>
          <w:spacing w:val="2"/>
          <w:rtl/>
          <w:lang w:eastAsia="en-US"/>
        </w:rPr>
        <w:t>المادة 6</w:t>
      </w:r>
    </w:p>
    <w:p w:rsidR="00000000" w:rsidRDefault="00000000">
      <w:pPr>
        <w:spacing w:line="380" w:lineRule="exact"/>
        <w:jc w:val="center"/>
        <w:rPr>
          <w:rFonts w:hint="cs"/>
          <w:b/>
          <w:bCs/>
          <w:spacing w:val="2"/>
          <w:rtl/>
          <w:lang w:eastAsia="en-US"/>
        </w:rPr>
      </w:pPr>
      <w:r>
        <w:rPr>
          <w:rFonts w:hint="cs"/>
          <w:b/>
          <w:bCs/>
          <w:spacing w:val="2"/>
          <w:rtl/>
          <w:lang w:eastAsia="en-US"/>
        </w:rPr>
        <w:t>الحق في العمل</w:t>
      </w:r>
    </w:p>
    <w:p w:rsidR="00000000" w:rsidRDefault="00000000">
      <w:pPr>
        <w:spacing w:line="380" w:lineRule="exact"/>
        <w:jc w:val="both"/>
        <w:rPr>
          <w:rFonts w:hint="cs"/>
          <w:spacing w:val="0"/>
          <w:rtl/>
          <w:lang w:eastAsia="en-US"/>
        </w:rPr>
      </w:pPr>
      <w:r>
        <w:rPr>
          <w:rFonts w:hint="cs"/>
          <w:spacing w:val="0"/>
          <w:rtl/>
          <w:lang w:eastAsia="en-US"/>
        </w:rPr>
        <w:t>23-</w:t>
      </w:r>
      <w:r>
        <w:rPr>
          <w:rFonts w:hint="cs"/>
          <w:spacing w:val="0"/>
          <w:rtl/>
          <w:lang w:eastAsia="en-US"/>
        </w:rPr>
        <w:tab/>
        <w:t>ونظراً إلى عدد السكان الضخم ووفرة اليد العاملة وتطبيق سياسات التكيف الهيكلي على الاقتصاد، فإن الصين تواجه ضغوطاً هائلة في مجال العمالة. وقد كانت حكومة الصين ولا تزال تعتبر تشجيع التوظيف واجباً استراتيجياً في التنمية الوطنية الاقتصادية والاجتماعية. ومن الأهداف الرئيسية لتنظيم الاقتصاد الكلي زيادة فرص التوظيف، والحفاظ على الاستقرار الأساسي لوضع العمالة ككل لأن النمو الاقتصادي يدفع تلك الزيادة في فرص التوظيف.</w:t>
      </w:r>
    </w:p>
    <w:p w:rsidR="00000000" w:rsidRDefault="00000000">
      <w:pPr>
        <w:spacing w:line="380" w:lineRule="exact"/>
        <w:jc w:val="both"/>
        <w:rPr>
          <w:rFonts w:hint="cs"/>
          <w:rtl/>
          <w:lang w:eastAsia="en-US"/>
        </w:rPr>
      </w:pPr>
      <w:r>
        <w:rPr>
          <w:rFonts w:hint="cs"/>
          <w:rtl/>
          <w:lang w:eastAsia="en-US"/>
        </w:rPr>
        <w:t>24-</w:t>
      </w:r>
      <w:r>
        <w:rPr>
          <w:rFonts w:hint="cs"/>
          <w:rtl/>
          <w:lang w:eastAsia="en-US"/>
        </w:rPr>
        <w:tab/>
        <w:t>ولما كانت الصين تعزز الاستثمار في البنية التحتية الأساسية وتحافظ على تنمية اقتصادية سريعة عن طريق زيادة الطلب المحلي، فإن التكيف مع السياسات الصناعية يميل إلى تفضيل التطوير المكثّف للمشاريع التي تستخدم اليد العاملة التي تتوافر لديها الخصائص والإمكانات السوقية المثلى، ولا سيما المؤسسات الصغيرة والمتوسطة والمؤسسات التي تعمل في قطاع الخدمات والتي هي أقدر على إيجاد فرص العمل. وإذا كان الاستثمار الأجنبي يحظى بالتشجيع، فكذلك تطوير المشاريع الجماعية والخاصة والحرة، مما يوجِد وضعاً وظيفياً متنوعاً ونابضاً بالحياة، ويزيد فرص العمل، ويوسع قنوات التوظيف.</w:t>
      </w:r>
    </w:p>
    <w:p w:rsidR="00000000" w:rsidRDefault="00000000">
      <w:pPr>
        <w:spacing w:line="380" w:lineRule="exact"/>
        <w:jc w:val="both"/>
        <w:rPr>
          <w:rFonts w:hint="cs"/>
          <w:rtl/>
          <w:lang w:eastAsia="en-US"/>
        </w:rPr>
      </w:pPr>
      <w:r>
        <w:rPr>
          <w:rFonts w:hint="cs"/>
          <w:rtl/>
          <w:lang w:eastAsia="en-US"/>
        </w:rPr>
        <w:t>25-</w:t>
      </w:r>
      <w:r>
        <w:rPr>
          <w:rFonts w:hint="cs"/>
          <w:rtl/>
          <w:lang w:eastAsia="en-US"/>
        </w:rPr>
        <w:tab/>
      </w:r>
      <w:r>
        <w:rPr>
          <w:rFonts w:hint="eastAsia"/>
          <w:rtl/>
          <w:lang w:eastAsia="en-US"/>
        </w:rPr>
        <w:t>ويمكن</w:t>
      </w:r>
      <w:r>
        <w:rPr>
          <w:rtl/>
          <w:lang w:eastAsia="en-US"/>
        </w:rPr>
        <w:t xml:space="preserve"> التعبير عن سياسات التوظيف الأساسية في الصين على النحو التالي: "يتمتع </w:t>
      </w:r>
      <w:r>
        <w:rPr>
          <w:rFonts w:hint="eastAsia"/>
          <w:rtl/>
          <w:lang w:eastAsia="en-US"/>
        </w:rPr>
        <w:t>العامل</w:t>
      </w:r>
      <w:r>
        <w:rPr>
          <w:rtl/>
          <w:lang w:eastAsia="en-US"/>
        </w:rPr>
        <w:t xml:space="preserve"> با</w:t>
      </w:r>
      <w:r>
        <w:rPr>
          <w:rFonts w:hint="cs"/>
          <w:rtl/>
          <w:lang w:eastAsia="en-US"/>
        </w:rPr>
        <w:t>لاستقلال في</w:t>
      </w:r>
      <w:r>
        <w:rPr>
          <w:rtl/>
          <w:lang w:eastAsia="en-US"/>
        </w:rPr>
        <w:t xml:space="preserve"> اختيار الوظيفة؛ و</w:t>
      </w:r>
      <w:r>
        <w:rPr>
          <w:rFonts w:hint="cs"/>
          <w:rtl/>
          <w:lang w:eastAsia="en-US"/>
        </w:rPr>
        <w:t>ق</w:t>
      </w:r>
      <w:r>
        <w:rPr>
          <w:rtl/>
          <w:lang w:eastAsia="en-US"/>
        </w:rPr>
        <w:t>وى السوق</w:t>
      </w:r>
      <w:r>
        <w:rPr>
          <w:rFonts w:hint="cs"/>
          <w:rtl/>
          <w:lang w:eastAsia="en-US"/>
        </w:rPr>
        <w:t xml:space="preserve"> هي التي تنظم العمالة</w:t>
      </w:r>
      <w:r>
        <w:rPr>
          <w:rtl/>
          <w:lang w:eastAsia="en-US"/>
        </w:rPr>
        <w:t xml:space="preserve">؛ </w:t>
      </w:r>
      <w:r>
        <w:rPr>
          <w:rFonts w:hint="cs"/>
          <w:rtl/>
          <w:lang w:eastAsia="en-US"/>
        </w:rPr>
        <w:t xml:space="preserve">فيما </w:t>
      </w:r>
      <w:r>
        <w:rPr>
          <w:rtl/>
          <w:lang w:eastAsia="en-US"/>
        </w:rPr>
        <w:t xml:space="preserve">تشجع الحكومة </w:t>
      </w:r>
      <w:r>
        <w:rPr>
          <w:rFonts w:hint="eastAsia"/>
          <w:rtl/>
          <w:lang w:eastAsia="en-US"/>
        </w:rPr>
        <w:t>التوظيف</w:t>
      </w:r>
      <w:r>
        <w:rPr>
          <w:rtl/>
          <w:lang w:eastAsia="en-US"/>
        </w:rPr>
        <w:t>".</w:t>
      </w:r>
      <w:r>
        <w:rPr>
          <w:rFonts w:hint="cs"/>
          <w:rtl/>
          <w:lang w:eastAsia="en-US"/>
        </w:rPr>
        <w:t xml:space="preserve"> ويشجَّع العمال على الحصول على الوظائف عن طريق المنافسة الشريفة، وتُتخذ التدابير لتيسير وضع آليات ذات توجه سوقي في مجال العمالة. وقد وضعت الحكومة في جميع مدن الصين الرئيسية مراكز اختبار لممارسة نهج علمي وموحَّد وحديث في مجال سوق العمل. وقد أنشئت شبكة تحتوي على بيانات سوق العمل لتسهيل تبادل المعلومات بشأن عروض وطلبات العمل ومساعدة العمال على إيجاد وظائف وتغييرها عبر سوق العمل. وشرعت الحكومة في السنوات الأخيرة في استكشاف سبل وضع آليات لتشكيل الأسعار في سوق العمل، مستعملة آليات السوق في توزيع اليد العاملة وتحديد معدلات الأجور، وبصفتها آليات التنظيم الأساسية لحركة اليد العاملة.</w:t>
      </w:r>
    </w:p>
    <w:p w:rsidR="00000000" w:rsidRDefault="00000000">
      <w:pPr>
        <w:spacing w:line="380" w:lineRule="exact"/>
        <w:jc w:val="both"/>
        <w:rPr>
          <w:rFonts w:hint="cs"/>
          <w:rtl/>
          <w:lang w:eastAsia="en-US"/>
        </w:rPr>
      </w:pPr>
      <w:r>
        <w:rPr>
          <w:rFonts w:hint="cs"/>
          <w:rtl/>
          <w:lang w:eastAsia="en-US"/>
        </w:rPr>
        <w:t>26-</w:t>
      </w:r>
      <w:r>
        <w:rPr>
          <w:rFonts w:hint="cs"/>
          <w:rtl/>
          <w:lang w:eastAsia="en-US"/>
        </w:rPr>
        <w:tab/>
        <w:t>ووضعت الصين واستكملت منذ الثمانينات نظاماً لخدمات التوظيف يشمل معلومات مهنية وتدريباً مهنياً وتأميناً من البطالة ومشاريع تقديم خدمات التوظيف لأغراض التوجيه والإعلام وتوفير خدمات تمهيدية للباحثين عن العمل وأرباب العمل، ولأغراض التدريب المهني لمن يبحثون عن عمل لأول مرة وإعادة تدريب العاطلين عن العمل لتغيير مهنهم. كما يوفر النظام التأمين من البطالة بغية توفير فرص العمل للمجموعات المحرومة مهنياً. وتشجع الحكومة إنشاء منظمات جماهيرية تقدم معلومات مهنية، مما يسمح بتوفير خدمات التوظيف في المجتمعات المحلية وإقامة شبكة متعددة المستويات لتلك الخدمات.</w:t>
      </w:r>
    </w:p>
    <w:p w:rsidR="00000000" w:rsidRDefault="00000000">
      <w:pPr>
        <w:spacing w:line="380" w:lineRule="exact"/>
        <w:jc w:val="both"/>
        <w:rPr>
          <w:rFonts w:hint="cs"/>
          <w:rtl/>
          <w:lang w:eastAsia="en-US"/>
        </w:rPr>
      </w:pPr>
      <w:r>
        <w:rPr>
          <w:rFonts w:hint="cs"/>
          <w:rtl/>
          <w:lang w:eastAsia="en-US"/>
        </w:rPr>
        <w:t>27-</w:t>
      </w:r>
      <w:r>
        <w:rPr>
          <w:rFonts w:hint="cs"/>
          <w:rtl/>
          <w:lang w:eastAsia="en-US"/>
        </w:rPr>
        <w:tab/>
        <w:t>ويتوافر لدى المجتمعات المحلية المزارعة موارد ذات شأن من اليد العاملة، مما قاد إلى نشوء مشاكل مع نقل فائض العمالة. وتعمل الحكومة بهمة، من خلال الجمع بين استراتيجيتها العمرانية واستراتيجيتها الإنمائية لفائدة غرب البلاد، على استكشاف سبل جديدة للتوظيف في المدن والضواحي على السواء. فهي أولاً تشجع توظيف اليد العاملة الريفية محلياً. ويمكن تطوير المشاريع الريفية، وإقامة البنية التحتية المجتمعية الريفية عن طريق الاستفادة بالكامل من فائض اليد العاملة في المجتمعات المحلية الريفية، وتنفيذ خطط التوزيع الإقليمية بالنسبة إلى المنتجات الزراعية الرئيسية، وتكييف الهياكل الاقتصادية. وتشمل التدابير التي تسهم في هذا الصدد تطوير زراعة خارج نطاق السوق ومربحة وتستخدم اليد العاملة بكثافة، فضلاً عن تطوير صناعات غير زراعية. وتشمل مشاريع أخرى بموازاة ذلك توسيع نطاق أعمال الري وشبكات الطرق والشبكة الكهربائية في الريف وغير ذلك من البنى التحتية الأساسية، والتدريب على المهارات الأساسية التعليمية والمهنية في المجتمعات المحلية في الأرياف. وتوجِّه الحكومة ثانياً التنقل العقلاني لليد العاملة الريفية عبر الحدود الإقليمية. ثم إن الحكومة، إذ تنتهج سياسة للمعاملة المنصفة للعمال الريفيين الذين ينزحون إلى المدن بحثاً عن الشغل وتتبع قيادة عقلانية وإدارة جيدة وتوفر خدمات ملائمة، تسعى إلى إزالة العقبات البنيوية من أمام انتقال اليد العاملة الريفية إلى المدن ومن ثم خفض التكاليف الشخصية لأولئك العاملين. وتحسين خدمات التوظيف وتدريب العمال الريفيين على المهارات المهنية يعزز قدرتهم على إيجاد عمل خارج مناطقهم الأصلية. ثم إن المساعدة على إقامة علاقات على أساس طلبات سوق العمل بين المناطق النامية التي تكثر فيها تكثر تلك الطلبات والمناطق الأقل نمواً التي يوجد فيها فائض في اليد العامل يسمح بخفض التنقل "الأعمى" والعشوائي لليد العاملة.</w:t>
      </w:r>
    </w:p>
    <w:p w:rsidR="00000000" w:rsidRDefault="00000000">
      <w:pPr>
        <w:spacing w:line="380" w:lineRule="exact"/>
        <w:jc w:val="both"/>
        <w:rPr>
          <w:rFonts w:hint="cs"/>
          <w:rtl/>
          <w:lang w:eastAsia="en-US"/>
        </w:rPr>
      </w:pPr>
      <w:r>
        <w:rPr>
          <w:rFonts w:hint="cs"/>
          <w:rtl/>
          <w:lang w:eastAsia="en-US"/>
        </w:rPr>
        <w:t>28-</w:t>
      </w:r>
      <w:r>
        <w:rPr>
          <w:rFonts w:hint="cs"/>
          <w:rtl/>
          <w:lang w:eastAsia="en-US"/>
        </w:rPr>
        <w:tab/>
        <w:t>وقد فقد عدد كبير من العمال الزائدين عن الحاجة وظائفهم في القطاع الصناعي في السنوات الأخيرة عقب التكييفات الهيكلية التي أجريت على الاقتصاد الوطني. وأغلب العمال الذي سرحوا عن العمل في قطاع الصناعات التابعة للدولة إما مسنّون بعض الشيء أو لديهم مهارة واحدة أو مستواهم التعليمي ضعيف أو يجدون صعوبة كبيرة في العثور على وظائف أخرى. ولحل مشكلة توظيف المسرّحين عن العمل والعاطلين، وضعت الحكومة ونفذت سياسات لدعم إعادة التوظيف. فقد ساعدت الحكومة العمال المسرحين والعاطلين على إنشاء مشاريعهم الخاصة بصفتهم أفراداً أو منظمات عن طريق برامج من قبيل التدريب المجاني، والتخفيضات الضريبية، والقروض الصغيرة، وتعزيز الرعاية الاجتماعية، وتبسيط إجراءات تسجيل المشاريع التجارية الجديدة، وتوفير أماكن للأعمال التجارية. ثم إن تركيز تلك الجهود بشكل رئيسي على إيجاد وظائف في المجتمعات المحلية والعمل بهمة على إنشاء مشاريع صغيرة قادرة على إيجاد وظائف ومشاريع التوظيف يساعد على إقامة سوق للعمل نشطة ومتنوعة. كما أن "حملة المساعدة على إعادة التوظيف"، وما تنطوي عليه من تدابير داعمة مختلفة، تمكن العمال المسرحين من الحصول على دعم فعال وفي الوقت المناسب وعلى خدمات لإعادة التوظيف والحفاظ على مكاسبهم في مجال التأمين الاجتماعي. وفيما يتعلق بالمشاريع التي توقفت عن العمل والتي أفلست، ووضع عدد من الترتيبات المناسبة الخاصة بالعمال المسرحين، وتتراوح بين التقاعد المبكر والاستمرار في استخدام الموظفين المعاد هيكلة وظائفهم. وقد عالجت الحكومة مشاكل الفقراء العاطلين عن العمل في المدن والكهول المسرحين عن العمل والعاطلين بوضع نظام لخدمات التوظيف العامة. ويوفر ذلك التمويلَ اللازم لهيئات التوظيف المعنية بالمجتمعات المحلية التي توفر وظائف مضمونة للأشخاص الذين يعانون ظروفاً صعبة من خلال الخدمات البيئية وأمن المجتمعات المحلية والخدمات المقدمة لهذه المجتمعات. كما توفر خدمات توظيف مجانية وقد تبين أنها فعالة بشكل خاص.</w:t>
      </w:r>
    </w:p>
    <w:p w:rsidR="00000000" w:rsidRDefault="00000000">
      <w:pPr>
        <w:spacing w:line="380" w:lineRule="exact"/>
        <w:jc w:val="both"/>
        <w:rPr>
          <w:rFonts w:hint="cs"/>
          <w:spacing w:val="4"/>
          <w:rtl/>
          <w:lang w:eastAsia="en-US"/>
        </w:rPr>
      </w:pPr>
      <w:r>
        <w:rPr>
          <w:rFonts w:hint="cs"/>
          <w:spacing w:val="4"/>
          <w:rtl/>
          <w:lang w:eastAsia="en-US"/>
        </w:rPr>
        <w:t>29-</w:t>
      </w:r>
      <w:r>
        <w:rPr>
          <w:rFonts w:hint="cs"/>
          <w:spacing w:val="4"/>
          <w:rtl/>
          <w:lang w:eastAsia="en-US"/>
        </w:rPr>
        <w:tab/>
        <w:t>وما انفكّ نطاق التوظيف في الصين يتّسع وما انفكت هياكله تتحسّن بالتدريج بفضل تضافر جهود الحكومة وجميع شرائح المجتمع. ففي نهاية عام 2001، بلغ عدد الموظفين على الصعيد الوطني 730.25 مليون شخص، ويمثل هذا العدد معدلاً للمشاركة في قوة العمل (أي نسبة اليد العاملة الموظفة بالفعل) قدرها 77 في المائة، كان 32.8 في المائة منهم عمالاً حضريين و67.2 في المائة عمالاً ريفيين. وكانت نسبة البطالة المسجلة بين عمال الحضر 3.6 في المائة. وارتفع عدد العمال في الوسطين الحضري والريفي معاً بواقع 328.73 مليون شخص منذ عام 1978، أُوجدت 144.26 مليون فرصة من فرص العمل الجديدة تلك في المدن. وفي عام 2001، كان التوزيع الهيكلي للعمالة كما يلي: 50 في المائة و22.3 في المائة و27.7 في المائة في قطاعات الزراعة والصناعة والخدمات على التوالي. ومقارنة بالاتجاهات السابقة، فقد انخفضت النسبة الموظفة في قطاع الزراعة انخفاضاً حاداً، في حين سجل قطاعا الصناعة والخدمات ارتفاعاً. وسجل قطاع الخدمات بوجه خاص نمواً سريعاً مقارنة بالقطاع الصناعي. وفي أثناء ذلك، انخفضت نسبة اليد العاملة الحضرية التي تعمل في الكيانات التابعة للدولة والكيانات الجماعية من 99.8 في المائة في عام 1978 إلى 37.3 في المائة في عام 2001، في حين شهدت نسبة الأعمال الحرة والعمالة في المشاريع الخاصة والمشاريع التي يمولها رأس المال الأجنبي ارتفاعاً ملحوظاً. وفي المجتمعات الريفية، تزايد بسرعة التوظيف غير الزراعي وانتقال اليد العاملة الريفية مع تنفيذ استراتيجية التحضير وتطوير المشاريع غير الزراعية. وفي نهاية 2001، كانت المشاريع في المدن الصغيرة تستخدم نحو 130.86 مليون شخص. وبلغ عدد العمال الذين انتقلوا من المناطق الريفية إلى المناطق الحضرية منذ التسعينات نحو 80 مليون شخص. وسرحت الشركات المملوكة للدولة في الصين بين عامي 1998 و2001 نحو 25.5 مليون عامل، عثر 16.8 مليون منهم على عمل.</w:t>
      </w:r>
    </w:p>
    <w:p w:rsidR="00000000" w:rsidRDefault="00000000">
      <w:pPr>
        <w:spacing w:line="380" w:lineRule="exact"/>
        <w:jc w:val="both"/>
        <w:rPr>
          <w:rFonts w:hint="cs"/>
          <w:rtl/>
          <w:lang w:eastAsia="en-US"/>
        </w:rPr>
      </w:pPr>
      <w:r>
        <w:rPr>
          <w:rFonts w:hint="cs"/>
          <w:rtl/>
          <w:lang w:eastAsia="en-US"/>
        </w:rPr>
        <w:t>30-</w:t>
      </w:r>
      <w:r>
        <w:rPr>
          <w:rFonts w:hint="cs"/>
          <w:rtl/>
          <w:lang w:eastAsia="en-US"/>
        </w:rPr>
        <w:tab/>
        <w:t xml:space="preserve">وسعياً إلى زيادة مستوى الثقافة العامة والمهارات المهنية لدى اليد العاملة، استعملت الحكومة عدداً من النهج لإنشاء مرافق تعليمية مختلفة، كما أنها تنظر إلى الشهادات الجامعية وشهادات التأهيل المهني على قدم المساواة من حيث الأهمية. وبحلول نهاية عام 2001، تجاوز معدل تغطية سنوات التعليم الإجباري التسع نسبة 90 </w:t>
      </w:r>
      <w:r>
        <w:rPr>
          <w:rFonts w:hint="cs"/>
          <w:spacing w:val="2"/>
          <w:rtl/>
          <w:lang w:eastAsia="en-US"/>
        </w:rPr>
        <w:t>في المائة من السكان، وانخفضت الأمية لدى الشباب والكهول بنسبة 5 في المائة. ويوجد على الصعيد الوطني 396 1</w:t>
      </w:r>
      <w:r>
        <w:rPr>
          <w:rFonts w:hint="cs"/>
          <w:rtl/>
          <w:lang w:eastAsia="en-US"/>
        </w:rPr>
        <w:t xml:space="preserve"> مدرسة عادية للتعليم العالي يتردد إليها 9.03 ملايين من الطلاب؛ و607 مدارس للتعليم العالي للكبار يبلغ عدد طلبتها 5.59 ملايين؛ و968 93 مدرسة إعدادية يبلغ عدد تلاميذها 94.15 مليوناً. كما أنشأت الحكومة شبكة تتألف من معاهد عليا مهنية وتكنولوجية وإعداديات مهنية ومراكز للتدريب المهني ومؤسسات مهنية خاصة وأخرى على صعيد المشاريع بغية وضع نظام للتعليم المهني والتدريب متكامل ومتعدد المستويات يلبي احتياجات الباحثين عن العمل لأول مرة والمسرحين من أعمالهم والعاطلين على السواء. أما المتخرجون من مدارس التعليم الثانوي الذين لا يلتحقون بالتعليم العالي، فقد وُفرت لهم نُظُم للتلمذة تدوم بين سنة وثلاث سنوات. وقد أعيد تنظيم مؤسسات التدريب المهني مثل المدارس التقنية ومراكز التدريب المهني بإدخال قواعد شاملة للتدريب واستحداث أفرقة للتدريب المهني. كما نظمت دورات تدريبية موجهة نحو السوق والتوظيف. وفي أثناء ذلك، وضع نظام للمؤهلات المهنية مرتب بحسب الدرجات والشهادات المهنية لفائدة العمال، من العامل الماهر الأساسي إلى التقني المتقدم. وفي الوقت الراهن، نجد أن نحو 80 في المائة من الوافدين الجدد إلى قوة العمل الحضرية قد تلقوا التعليم الثانوي فما فوق، أو تلقوا تدريباً مهنياً؛ وحصل نحو 40 مليون عامل على شهادة تأهيل مناسبة.</w:t>
      </w:r>
    </w:p>
    <w:p w:rsidR="00000000" w:rsidRDefault="00000000">
      <w:pPr>
        <w:spacing w:line="380" w:lineRule="exact"/>
        <w:jc w:val="both"/>
        <w:rPr>
          <w:rFonts w:hint="cs"/>
          <w:rtl/>
          <w:lang w:eastAsia="en-US"/>
        </w:rPr>
      </w:pPr>
      <w:r>
        <w:rPr>
          <w:rFonts w:hint="cs"/>
          <w:rtl/>
          <w:lang w:eastAsia="en-US"/>
        </w:rPr>
        <w:t>31-</w:t>
      </w:r>
      <w:r>
        <w:rPr>
          <w:rFonts w:hint="cs"/>
          <w:rtl/>
          <w:lang w:eastAsia="en-US"/>
        </w:rPr>
        <w:tab/>
        <w:t>وقد أنشأت الصين مراكز لخدمات التوظيف في جميع الشركات التابعة للدولة التي سرحت عمالاً. وبمجرد أن يتسجل العمال المسرحون، يمدهم المركز ببعض المال بما يحقق لهم الكفاف، ويدفع لهم مستحقات المعاش والبطالة وأقساط التأمين الصحي والاجتماعي. كما تزودهم أجهزة خدمات التوظيف التابعة للدولة بتوجيهات ومعلومات مهنية وخدمات التدريب المهني لمساعدتهم على إيجاد عمل سريعاً. ففي عام 1998، وضعت الحكومة أول خطة بعنوان "3 سنوات، 10 ملايين"، وهي عبارة عن برنامج يرمي إلى توفير إعادة التدريب لعشرة ملايين شخص عاطل عن العمل في ظرف ثلاث سنوات. ويُستحث أولئك العمال للمشاركة في إعادة التدريب من خلال حشد موارد المجتمع في مجال التدريب ونظام "تشتري" الحكومة مِن طريقه نتائج إعادة التدريب. وخلال فترة السنوات الثلاث من 1998 إلى 2000، وُفر التدريب لأكثر من 13 مليون عامل مسرح وعاطل على الصعيد الوطني، ووصل معدل التوظيف إلى 60 في المائة بعد مضي نصف سنة بالنسبة إلى العمال الذين استفادوا من البرنامج. ووضعت الخطة الثانية "3 سنوات، 10 ملايين" في عام 2001. ويجري حالياً تنفيذ خطة "الأعمال الناشئة" في 30 مدينة. وتوفر هذه الخطة التدريب للعمال المسرحين والعاطلين الذين يرغبون في إنشاء مشاريع خاصة، وتساعدهم، بعد انقضاء التدريب، على تسجيل مشاريعهم والحصول على قروض صغيرة. ويوفر تطوير هذه الأعمال الصغيرة فرص عمل لمسرحين وعاطلين آخرين.</w:t>
      </w:r>
    </w:p>
    <w:p w:rsidR="00000000" w:rsidRDefault="00000000">
      <w:pPr>
        <w:spacing w:line="380" w:lineRule="exact"/>
        <w:jc w:val="both"/>
        <w:rPr>
          <w:rFonts w:hint="cs"/>
          <w:rtl/>
          <w:lang w:eastAsia="en-US"/>
        </w:rPr>
      </w:pPr>
      <w:r>
        <w:rPr>
          <w:rFonts w:hint="cs"/>
          <w:rtl/>
          <w:lang w:eastAsia="en-US"/>
        </w:rPr>
        <w:t>32-</w:t>
      </w:r>
      <w:r>
        <w:rPr>
          <w:rFonts w:hint="cs"/>
          <w:rtl/>
          <w:lang w:eastAsia="en-US"/>
        </w:rPr>
        <w:tab/>
        <w:t>ويحظى توظيف المرأة في الصين بعناية خاصة. فهناك مجموعة من القوانين واللوائح، بما فيها الدستور وقانون العمل، وقانون حقوق المرأة ومصالحها، واللوائح الخاصة بحماية العاملات والموظفات، واللوائح المتعلقة بمجالات التوظيف المحظورة على المرأة، تمنع التمييز المباشر وغير المباشر ضد المرأة في العمل وشروط العمل، بما في ذلك التدريب والترقية والرعاية والسلامة في مجال الصحة والإقالة والضمان الاجتماعي. وقد أوْلت الحكومة عناية خاصة للفروق في مدى نهوض المرأة أثناء الانتقال من الاقتصاد الموجَّه إلى اقتصاد السوق، وركزت على مساعدة العاملات المسرحات على إيجاد وظائف جديدة وطبقت سياسات تفضيلية مثل تنظيم دورات تدريبية للتطوير الوظيفي للنساء وتوفير الدوائر المعنية بالعمل لدورات تدريبية مهنية مجاناً وتوصيات في مجال العمل. وتسعى الحكومة، على مستويات عدة ومن خلال العديد من القنوات، إلى إيجاد فرص عمل مع التركيز بوجه خاص على تطوير صناعات قطاع الخدمات وشبكات الخدمات المجتمعية بغية توفير فرص العمل المناسبة لبعض النساء الأكبر سناً أو اللواتي لديهن مهارة واحدة أو اللائي لم يتلقين سوى الحد الأدنى من التعليم. وتبين الإحصاءات أن 70 في المائة من الذين وجدوا عملاً في المجتمعات المحلية في عام 2000 هم من النساء.</w:t>
      </w:r>
    </w:p>
    <w:p w:rsidR="00000000" w:rsidRDefault="00000000">
      <w:pPr>
        <w:spacing w:line="380" w:lineRule="exact"/>
        <w:jc w:val="both"/>
        <w:rPr>
          <w:rFonts w:hint="cs"/>
          <w:rtl/>
          <w:lang w:eastAsia="en-US"/>
        </w:rPr>
      </w:pPr>
      <w:r>
        <w:rPr>
          <w:rFonts w:hint="cs"/>
          <w:rtl/>
          <w:lang w:eastAsia="en-US"/>
        </w:rPr>
        <w:t>33-</w:t>
      </w:r>
      <w:r>
        <w:rPr>
          <w:rFonts w:hint="cs"/>
          <w:rtl/>
          <w:lang w:eastAsia="en-US"/>
        </w:rPr>
        <w:tab/>
        <w:t>وتحمي الدولة تمتع المرأة بنفس حقوق العمل التي يتمتع بها الرجل، ضامنة تساوي الأجر على العمل المتساوي القيمة، ومؤمِّنة الرعاية الخاصة المناسبة أثناء الحيض والحمل والنفاس والرضاعة. وسعياً إلى دعم إنشاء لجان العاملات، عدلت اللجنة الدائمة للمؤتمر الشعبي الوطني التاسع قانون النقابات في تشرين الأول/أكتوبر 2001 للتصدي لمسألة انتهاك الحقوق الخاصة للعاملات. فقد جاء في المادة 22 من القانون أنه، في حال انتهاك الحقوق الخاصة التي تتمتع بها النساء أو الفتيات العاملات، ينبغي لنقاباتهن تمثيلهن لمطالبة الشركة أو رب العمل المعني باتخاذ الإجراءات اللازمة لتسوية الوضع. وعلى الشركة أو رب العمل بعدئذ التدقيق في الوضع واتخاذ الترتيبات المناسبة وتقديم تقرير إلى النقابة، وإلا فللنقابة أن تقدم طلباً باللجوء القانوني إلى المحاكم المحلية.</w:t>
      </w:r>
    </w:p>
    <w:p w:rsidR="00000000" w:rsidRDefault="00000000">
      <w:pPr>
        <w:spacing w:line="380" w:lineRule="exact"/>
        <w:jc w:val="both"/>
        <w:rPr>
          <w:rFonts w:hint="cs"/>
          <w:spacing w:val="4"/>
          <w:rtl/>
          <w:lang w:eastAsia="en-US"/>
        </w:rPr>
      </w:pPr>
      <w:r>
        <w:rPr>
          <w:rFonts w:hint="cs"/>
          <w:spacing w:val="4"/>
          <w:rtl/>
          <w:lang w:eastAsia="en-US"/>
        </w:rPr>
        <w:t>34-</w:t>
      </w:r>
      <w:r>
        <w:rPr>
          <w:rFonts w:hint="cs"/>
          <w:spacing w:val="4"/>
          <w:rtl/>
          <w:lang w:eastAsia="en-US"/>
        </w:rPr>
        <w:tab/>
        <w:t>ويوجد على الصعيد الوطني 174 3 مؤسسة ترصد على جميع المستويات حماية حقوق العمال، وهي توظف نحو 000 40 مفتش يشرفون على تنفيذ قانون العمل وقانون حقوق المرأة ومصالحها. وتعزز هذه المؤسسات ترتيبات الإشراف الاعتيادية، وتركز على ساعات العمل ونظام العطل والحماية أثناء "المراحل الأربع" المتمثلة في الحيض والحمل والنفاس والرضاعة، والتحقق من تساويهن في الأجر على العمل المتساوي القيمة. ومتى كُشف عن وجود مشاكل، اتُّخذت إجراءات عاجلة لحلها. وقد تم وضع وتوحيد نظام لعقود العمل والاتفاقات الجماعية؛ وتطالب المؤسسات والعمال، متى وقعوا تلك الاتفاقات، بمراعاة السمات الخاصة التي تتسم بها العاملات مراعاة تامة مع إضافة عبارات عن حقوق العاملات ومصالحهن بوضوح. وتدرس الدوائر المسؤولة عن حماية العمال الاتفاقات الجماعية وتحقق في تنفيذ جميع البنود المتعلقة بحماية حقوق العاملات ومصالحهن. ويقدم المزيد من التوجيه إلى الشركات التي تجرى إصلاحات على نُظم توزيع العمل داخلياً للتأكد من أن الرجال والنساء متساوون في الأجر على العمل المتساوي القيمة. وفي نهاية عام 2002، كانت عقود العمل متاحة في أكثر من 95 في المائة من الشركات الحضرية، وكان أكثر من 70 مليون عامل يتمتعون بالحماية التي توفرها الاتفاقات الجماعية.</w:t>
      </w:r>
    </w:p>
    <w:p w:rsidR="00000000" w:rsidRDefault="00000000">
      <w:pPr>
        <w:spacing w:line="380" w:lineRule="exact"/>
        <w:jc w:val="both"/>
        <w:rPr>
          <w:rFonts w:hint="cs"/>
          <w:spacing w:val="2"/>
          <w:rtl/>
          <w:lang w:eastAsia="en-US"/>
        </w:rPr>
      </w:pPr>
      <w:r>
        <w:rPr>
          <w:rFonts w:hint="cs"/>
          <w:rtl/>
          <w:lang w:eastAsia="en-US"/>
        </w:rPr>
        <w:t>35-</w:t>
      </w:r>
      <w:r>
        <w:rPr>
          <w:rFonts w:hint="cs"/>
          <w:rtl/>
          <w:lang w:eastAsia="en-US"/>
        </w:rPr>
        <w:tab/>
        <w:t xml:space="preserve">وتعتبر الصين أن من الأهمية بمكان توظيف المعوقين وتوفر لهم شتى السبل لبلوغ هذه الغاية. ففي المناطق الحضرية، توجد ثلاث سبل رئيسية للتوظيف أمام المعوقين. فمن المطلوب أولاً من جميع الكيانات الاجتماعية، قانوناً، أن تستخدم نسبة معينة من المعوقين، فإن لم تفعل تعيَّن عليها دفع مبالغ مالية لصندوق خاص بضمان العمل لفائدة المعوقين. ويعمل حالياً في إطار نظام التناسب هذا نحو 1.11 مليون شخص. وأما السبيل الثانية فهي إنشاء مشاريع للرعاية الاجتماعية مكرسة خصيصاً لتوظيف المعوقين تستفيد من سياسة تخفيض الضرائب والإعفاء الضريبي. وأما السبيل الثالثة فعبارة عن نظام من التفضيلات وسياسات الدعم يشجع على ممارسة المعوقين للمهن الحرة، ويبلغ حالياً عدد المعوقين الموظفين في إطار هذا النظام زهاء 000 448 1 شخص. وإجمالاً، فإن نحو 3.52 ملايين معوق يعملون في الوقت الراهن في المدن والبلْدات، وتتحسن بالتدريج الظروف والأوضاع التي يعملون فيها. وفي المناطق الريفية، يقوم المعوقون عادةً بأعمال تلائم وضعهم الخاص مثل الغرس وتربية الحيوانات والصناعة التقليدية وما شابه ذلك. ويعمل نحو 000 795 15 شخص في تلك المجالات. ويوجد على الصعيد </w:t>
      </w:r>
      <w:r>
        <w:rPr>
          <w:rFonts w:hint="cs"/>
          <w:spacing w:val="2"/>
          <w:rtl/>
          <w:lang w:eastAsia="en-US"/>
        </w:rPr>
        <w:t>الوطني 012 3 مؤسسة مخصصة لتقديم خدمات التوظيف للمعوقين. فهي توفر التدريب والتوجيه المهنيين وتقدم معلومات عن التوظيف. وقد ارتفعت نسبة توظيف المعوقين من 50 في المائة في عام 1987 إلى أكثر من 80 في المائة حالياً. وبفضل الوظائف المجزية، يكسب المعوقون دخلاً أفضل، بما يحسن ظروفهم المعيشة ويسهم في ازدهار المجتمع.</w:t>
      </w:r>
    </w:p>
    <w:p w:rsidR="00000000" w:rsidRDefault="00000000">
      <w:pPr>
        <w:spacing w:line="380" w:lineRule="exact"/>
        <w:jc w:val="both"/>
        <w:rPr>
          <w:rFonts w:hint="cs"/>
          <w:rtl/>
          <w:lang w:eastAsia="en-US"/>
        </w:rPr>
      </w:pPr>
      <w:r>
        <w:rPr>
          <w:rFonts w:hint="cs"/>
          <w:rtl/>
          <w:lang w:eastAsia="en-US"/>
        </w:rPr>
        <w:t>36-</w:t>
      </w:r>
      <w:r>
        <w:rPr>
          <w:rFonts w:hint="cs"/>
          <w:rtl/>
          <w:lang w:eastAsia="en-US"/>
        </w:rPr>
        <w:tab/>
        <w:t>وبغية إعمال الحق في العمل إعمالاً كاملاً وتحقيق الاستقرار في تنمية البلد اقتصادياً واجتماعياً وثقافياً، وتحقيق العمالة الكاملة المنتجة، استنبطت حكومة الصين في عام 2001 خطة الشعب الخماسية العاشرة للتنمية الاقتصادية والاجتماعية (المشار إليها أدناه ب‍ "الخطة") ووضعتها موضع التنفيذ، وهي الخطة التي تتلخص أهدافها في تحقيق الاستقرار في التنمية الاقتصادية والاجتماعية والثقافية والعمالة الكاملة. وتشير الخطة إلى أن السنوات الخمس إلى العشر المقبلة ستكون فترة مهمة في تنمية الصين اقتصادياً واجتماعياً. وأثناء الفترة التي شملتها الخطة الخماسية العاشرة (2001-2005)، سيحافظ الاقتصاد الصيني على وتيرة سريعة في التنمية؛ وسيكون للتكيفات الاستراتيجية مع البنى الاقتصادية آثار ملحوظة، كما ستتحسن نوعية النمو الاقتصادي وتزداد مزاياه بوضوح. وبحلول عام 2010، من المتوقع أن يتضاعف الناتج المحلي الإجمالي مقارنة بعام 2000. ومن المرتقب أن تحرز الصناعات التابعة للدولة، بعد أن تكون قد اعتمدت الممارسات الحديثة للشركات، تقدماً كبيراً، كما أن نظام الرعاية الاجتماعية سيكتمل، وستُتخذ إجراءات مهمة لتحسين اقتصاد السوق الاشتراكي، بالإضافة إلى تزايد وتوسع مشاركة الصين في التعاون والمنافسة الاقتصادية الدولية. وسيتاح المزيد من قنوات التوظيف، وسيتواصل ارتفاع دخل الفرد في المناطق الريفية والحضرية على السواء، وستتحسن الأوضاع المعيشية مادياً وثقافياً، في حين ستتعزز حماية البيئة والضمانات البيئية. كما ستزيد وتيرة التطور التكنولوجي والتعليم، مما يعزز مستوى الثقافة العامة لدى الشعب، فضلاً عن إحراز الثقافة الروحية وسيادة الديمقراطية تقدماً ملحوظاً.</w:t>
      </w:r>
    </w:p>
    <w:p w:rsidR="00000000" w:rsidRDefault="00000000">
      <w:pPr>
        <w:spacing w:line="380" w:lineRule="exact"/>
        <w:jc w:val="both"/>
        <w:rPr>
          <w:rFonts w:hint="cs"/>
          <w:rtl/>
          <w:lang w:eastAsia="en-US"/>
        </w:rPr>
      </w:pPr>
      <w:r>
        <w:rPr>
          <w:rFonts w:hint="cs"/>
          <w:rtl/>
          <w:lang w:eastAsia="en-US"/>
        </w:rPr>
        <w:t>37-</w:t>
      </w:r>
      <w:r>
        <w:rPr>
          <w:rFonts w:hint="cs"/>
          <w:rtl/>
          <w:lang w:eastAsia="en-US"/>
        </w:rPr>
        <w:tab/>
        <w:t xml:space="preserve">وتشمل الأهداف الكلية للحكومة أثناء الخطة الخماسية العاشرة ما يلي: (أ) تحقيق معدل نمو اقتصادي سنوي بنسبة 7 في المائة، بما يفضي في عام 2005 إلى ناتج محلي إجمالي قدره 500 12 مليار يوان (بالقيمة الثابتة لعام 2000)، وناتج محلي إجمالي للفرد الواحد قدره 400 9 يوان؛ (ب) إيجاد 40 مليون فرصة عمل جديدة في المدن في غضون خمسة أعوام، وانتقال 40 مليون شخص من اليد العاملة الريفية، مع إبقاء معدل البطالة المسجل في المدن على مستوى 5 في المائة تقريباً؛ (ج) تحقيق استقرار الأسعار الإجمالية الأساسية؛ (د) تحقيق توازن ميزان المدفوعات الدولي. وتشمل الأهداف الأساسية للتكيفات مع البنى الاقتصادية الآتي: (أ) تحسين البنى الصناعية لزيادة القدرة التنافسية في الأسواق الدولية، ومن المتوقع أن تبلغ القيمة المضافة في قطاعات الزراعة والصناعة والخدمات بحلول عام 2005، على التوالي، نسب 13 في المائة و51 في المائة و36 في المائة من الناتج المحلي الإجمالي، وستستخدم تلك القطاعات 44 في المائة و23 في المائة و33 في المائة من اليد العاملة، على التوالي؛ </w:t>
      </w:r>
      <w:r>
        <w:rPr>
          <w:rtl/>
          <w:lang w:eastAsia="en-US"/>
        </w:rPr>
        <w:br/>
      </w:r>
      <w:r>
        <w:rPr>
          <w:rFonts w:hint="cs"/>
          <w:rtl/>
          <w:lang w:eastAsia="en-US"/>
        </w:rPr>
        <w:t xml:space="preserve">(ب) حدوث تحسن ملحوظ في المستوى الاقتصادي الوطني وكميات المعلومات المتاحة داخل المجتمع؛ (ج) حصول تحسن ملحوظ في البنية التحتية الأساسية؛ (د) المراقبة الفعالة للاتجاه الحالي نحو توسُّع الفجوة الإنمائية بين المناطق؛ (ه‍) تعزيز تزايد مستوى التحضّر. وبالنسبة إلى التطور التكنولوجي والتعليمي، تشمل الأهداف الرئيسية ما يلي: (أ) زيادة الإنفاق على البحث والتطوير على الصعيد الوطني بحلول عام 2005 بنسبة تفوق 1.5 في المائة من الناتج المحلي الإجمالي وتزامن ذلك مع زيادات في القدرة على الإبداع التكنولوجي ووتيرة سريعة للتقدم التكنولوجي؛ (ب) تطور سريع في مجال التعليم على جميع المستويات وبجميع الأنواع، مع تحقيق المزيد على صعيد توطيد التعليم الأساسي الإجباري العام الذي يدوم تسع سنوات، وتحقيق فائض في معدل الالتحاق الإجمالي بالمدارس الإعدادية بنسبة 90 في المائة، يليها المعدلات الإجمالية للالتحاق بالمدارس الثانوية والتعليم العالي بنسبة 60 في المائة و15 في المائة على التوالي. وتشمل الأهداف الأساسية للتنمية المستدامة ما يلي: (أ) احتواء معدل زيادة السكان الطبيعي في حدود 9 في الألف وتحديد عدد السكان في 1.33 مليار شخص بحلول 2005؛ </w:t>
      </w:r>
      <w:r>
        <w:rPr>
          <w:rtl/>
          <w:lang w:eastAsia="en-US"/>
        </w:rPr>
        <w:br/>
      </w:r>
      <w:r>
        <w:rPr>
          <w:rFonts w:hint="cs"/>
          <w:rtl/>
          <w:lang w:eastAsia="en-US"/>
        </w:rPr>
        <w:t>(ب) احتواء الاتجاهات الراهنة للتدهور البيئي بزيادة الغطاء الحرجي بنسبة 18.2 في المائة وزيادة في المناطق الخضراء في المناطق الحضرية التي شيدت مؤخراً بنسبة 35 في المائة؛ (ج) تحسين نوعِي في البيئتين الحضرية والريفية بتخفيض مستويات انبعاث الملوثات الإجمالي بنسبة 10 في المائة عمّا كانت عليه في سنة 2000؛ (د) إنجازات ملحوظة في الاقتصاد في استعمال الموارد وحمايتها. وتشمل أوجه التقدم الأساسية المتوقعة في المستوى المعيشي للشعب ما يلي: (أ) تحسن ملحوظ في نوعية الحياة بفضل زيادة جودة الخدمات العامة الأساسية؛ (ب) زيادة المعدل السنوي للفرد بنسبة 5 في المائة في الدخل المتاح لسكان الحضر والدخل الصافي لسكان الريف؛ وزيادة المساحة السكنية للفرد من سكان المدن لتصل إلى قرابة 23 متراً مربعاً بحلول عام 2005؛ (ج) تركيب التلفزيون السلكي في 40 في المائة من المساكن على الصعيد الوطني؛ (د) الاستمرار في تحسين الخدمات الصحية وخدمات الإصحاح في المدن ومرافق الخدمات الطبية في الأرياف لتحسين المعايير الصحية العامة؛ (ه‍) زيادة المرافق الثقافية والرياضية في المناطق الحضرية والريفية على السواء بغية إغناء الحياة الثقافية من خلال توفير المزيد من الفضاءات؛ (و) توجيه أفضل لنسق المجتمع ونظامه عموماً.</w:t>
      </w:r>
    </w:p>
    <w:p w:rsidR="00000000" w:rsidRDefault="00000000">
      <w:pPr>
        <w:spacing w:line="380" w:lineRule="exact"/>
        <w:jc w:val="both"/>
        <w:rPr>
          <w:rFonts w:hint="cs"/>
          <w:rtl/>
          <w:lang w:eastAsia="en-US"/>
        </w:rPr>
      </w:pPr>
      <w:r>
        <w:rPr>
          <w:rFonts w:hint="cs"/>
          <w:rtl/>
          <w:lang w:eastAsia="en-US"/>
        </w:rPr>
        <w:t>38-</w:t>
      </w:r>
      <w:r>
        <w:rPr>
          <w:rFonts w:hint="cs"/>
          <w:rtl/>
          <w:lang w:eastAsia="en-US"/>
        </w:rPr>
        <w:tab/>
        <w:t>وتستهدف الصين تعزيز المكانة المركزية التي تحتلها الزراعة بغية تعزيز التنمية الاقتصادية الشاملة في المجتمعات المحلية الريفية والقضاء على الفقر. وستطبق بدقة نظاماً لحماية الأراضي الزراعية، محافِظة على التوازن في توافر الأراضي الصالحة للزراعة بحيث لا تقل تلك الأراضي عن 128 مليون هكتار على الصعيد الوطني بحلول عام 2005. وستضمن الاستقرار في القدرة على إنتاج الحبوب عن طريق تنفيذ خطة "هندسة البذور"</w:t>
      </w:r>
      <w:r>
        <w:rPr>
          <w:rFonts w:hint="cs"/>
          <w:vertAlign w:val="superscript"/>
          <w:rtl/>
          <w:lang w:eastAsia="en-US"/>
        </w:rPr>
        <w:t>(1)</w:t>
      </w:r>
      <w:r>
        <w:rPr>
          <w:rFonts w:hint="cs"/>
          <w:rtl/>
          <w:lang w:eastAsia="en-US"/>
        </w:rPr>
        <w:t>، وتحسين مرافق ري الحقول، وتطوير الحقول ذات المردودية المنخفضة والمتوسطة، والتكيف مع المرافق في مراكز الحبوب وتوزُّع تلك المراكز. وستعزَّز ديناميات الدعم في المناطق التي تنتج الحبوب بغية حماية نظام إنتاجي قوي، وسيشجَّع على إقامة علاقات مستقرة بين المنتجين وأسواقهم. وسيؤمَّن إيجاد توازن أساسي بين العرض والطلب على الحبوب الغذائية. وسيركَّز على العمل المفضي إلى تخفيف وطأة الفقر في المناطق التي تقطنها أقليات في غرب البلاد، والمناطق الثورية الأصلية، والمناطق الحدودية، والمناطق المنكوبة بالفقر، بغرض ضمان الخروج السريع من الفقر لمن لا يزال يعانيه. وسيحافَظ على النهج الإنمائي في مجال التخفيف من الفقر مع زيادة حجم التحويلات المالية إلى المناطق الفقيرة، وزيادة الأموال المخصصة للتخفيف من الفقر على جميع المستويات وزيادة فعالية تلك الأموال من حيث التكاليف والفوائد. وستعزز البنية التحتية الأساسية في المناطق الفقيرة، وستولى الأولوية لتطوير المرافق التعليمية والثقافية ومرافق الإصحاح. وسيوسع نطاق خطط "العمل من أجل الرفاهية" بحيث تدخل تحسينات على شبكات الطرق الريفية، وإمداد الإنسان والحيوان بالماء الصالح للشرب، والعمل الميداني الأساسي، ونظم الري الصغيرة النطاق. ومن شأن ذلك أن يحسن ظروف المعيشة الأساسية والزراعة في المناطق الفقيرة. وفي العدد القليل من المناطق حيث فقرُ البيئة المعيشية، ستوجَد الظروف الضرورية لتنمية الأراضي بأفضل ما يمكن. وفي ذات الوقت، سيستمر تقديم الدعم إلى المناطق والسكان الذين انزلقوا مرة أخرى إلى الفقر.</w:t>
      </w:r>
    </w:p>
    <w:p w:rsidR="00000000" w:rsidRDefault="00000000">
      <w:pPr>
        <w:spacing w:line="380" w:lineRule="exact"/>
        <w:jc w:val="both"/>
        <w:rPr>
          <w:rFonts w:hint="cs"/>
          <w:rtl/>
          <w:lang w:eastAsia="en-US"/>
        </w:rPr>
      </w:pPr>
      <w:r>
        <w:rPr>
          <w:rFonts w:hint="cs"/>
          <w:rtl/>
          <w:lang w:eastAsia="en-US"/>
        </w:rPr>
        <w:t>39-</w:t>
      </w:r>
      <w:r>
        <w:rPr>
          <w:rFonts w:hint="cs"/>
          <w:rtl/>
          <w:lang w:eastAsia="en-US"/>
        </w:rPr>
        <w:tab/>
        <w:t>وستستمر الصين في تكثيف عمليات إصلاح الصناعات المملوكة للدولة، واستخدام البنى التحتية الصناعية استخداماً أمثل، وزيادة الانفتاح على العالم الخارجي، وفتح الاقتصاد، وتعزيز قدرة الصين التنافسية على الصعيد الدولي. ويجري إدخال إصلاحات على الصناعات الكبرى والمتوسطة المملوكة للدولة لتشجيع الممارسات الموحدة للمؤسسات. وباستثناء الأقلية المتبقية من الشركات الاحتكارية المملوكة للدولة التي ستتحول إلى شركات مملوكة للدولة بالكامل، فإن المشاريع الكبيرة والمتوسطة المملوكة للدولة ستحظى بالتشجيع للتسجيل في قائمة أسواق الأوراق المالية بحسب النماذج الموحدة، وتدخل في مشاريع مشتركة مع الشركات الأجنبية وتشارك في مخططات تبادل الأسهم وما شابه ذلك لكي تتحول تدريجياً إلى شركات متعددة الاستثمارات محدودة المسؤولية أو شركات عامة محدودة المسؤولية. وسيوضع نظام محدد الوظائف تحديداً واضحاً لتدبير أصول الدولة وإدارتها والإشراف عليها بغرض تمكين المستثمرين في تلك الأصول من اتخاذ مركز لها سريعاً. وفي تلك الأثناء، ستستكشف الدولة سبل الترخيص بشروط للشركات المملوكة للدولة أو الشركات التي تدير أصول الدولة بأن تمارس وظائف المستثمر، وستعزز الإشراف الخارجي لنظام إدارة أصول الدولة برمته. وستُجرَى المزيد من الإصلاحات الداخلية وستوضع إجراءات من أجل تحقيق إدارة علمية ووضع آليات متكاملة وفعالة للتحفيز والتقييد. ومن المتوقع تحقيق المزيد من التقدم في عملية إنعاش المؤسسات الصغيرة والمتوسطة المملوكة للدولة من خلال إعادة التنظيم والتشغيل المشترك والاندماج والتأجير والإدارة من الباطن وآليات تبادل الأسهم والبيع المباشر، مما يسمح بإصلاح إدارة حقوق الملكية ونظم الإدارة عموماً. ومن المزمع تحسين آليات الانسحاب من السوق بتوضيح القنوات الضرورية ووضع معايير تدريجية للمؤسسات، ولا سيما المؤسسات التي تتكبد خسائر، لتسهيل التبادل التجاري. وستظل السياسات الراهنة بشأن الاندماج والإفلاس في المؤسسات التابعة للدولة سارية المفعول. وسيشجع الأفراد والكيانات غير التابعة للدولة والمستثمرون الأجانب على المشاركة في إعادة تشكيل المؤسسات التابعة للدولة، وستُواصَل التغيرات في هيكل الأسهم ووسائل تبادل الأسهم في تلك المؤسسات غير المدرجة في سوق الأسهم بغية إنشاء مؤسسات متعددة الملكية. وستبذل كل الجهود لزيادة النوعية الإجمالية والقدرة التنافسية الدولية للصناعة الصينية من خلال تبني اقتصاد يوجهه السوق ونظام يقوم على المشاريع، وكل ذلك مدعوم بالتقدم التكنولوجي الذي يسمح بالتحول مع التشديد على مواطن القوة. وتمشياً مع تنمية البلد اقتصادياً واجتماعياً، والتكيفات الهيكلية الضرورية، والتعهدات التي قطعتها الصين بالانضمام إلى منظمة التجارة العالمية، ستخفض التعريفات الجمركية تدريجياً، وستفتح على مراحل صناعات الخدمات من قبيل المصارف والتأمين والاتصالات والتبادل التجاري الخارجي والمحلي والسفر. وستتمتع الشركات الاستثمارية الأجنبية تدريجياً بنفس ظروف المعاملة التي تحظى بها الشركات الوطنية في أثناء وضع السياسات الاستثمارية الموحدة والشفافة. وباستثناء الصناعات أو المؤسسات الحساسة في مجال الدفاع عن الوطن أو ديمومته الاقتصادية، التي يجب أن تظل ملكيتها بين يدي الدولة، ستُرفع القيود عن النِّسب التي يمكن الحصول عليها من ملكية الشركات. وفي الختام، سيولى الاهتمام لوضع قوانين تتعلق بالمواطنين الأجانب وشؤونهم الاقتصادية وتحسينها بغرض رفع المستوى العام للإدارة القانونية في هذا الصدد.</w:t>
      </w:r>
    </w:p>
    <w:p w:rsidR="00000000" w:rsidRDefault="00000000">
      <w:pPr>
        <w:spacing w:line="380" w:lineRule="exact"/>
        <w:jc w:val="both"/>
        <w:rPr>
          <w:rFonts w:hint="cs"/>
          <w:rtl/>
          <w:lang w:eastAsia="en-US"/>
        </w:rPr>
      </w:pPr>
      <w:r>
        <w:rPr>
          <w:rFonts w:hint="cs"/>
          <w:rtl/>
          <w:lang w:eastAsia="en-US"/>
        </w:rPr>
        <w:t>40-</w:t>
      </w:r>
      <w:r>
        <w:rPr>
          <w:rFonts w:hint="cs"/>
          <w:rtl/>
          <w:lang w:eastAsia="en-US"/>
        </w:rPr>
        <w:tab/>
        <w:t>وستستمر الصين في تطوير قطاع صناعة الخدمات، وسترفع مستوى معايير العرض والخدمة. ومن جوانب هذا الالتزام استحداث خدمات تعنى بقضايا المستهلكين اليومية. وتشمل تلك الخدمات ما يلي: (أ) المزيد من إصلاح نظم السكن في المناطق الحضرية، وتنفيذ السياسات النقدية لتوزيع السكن، وتطوير العقارات والنهوض بصناعات صيانة المباني والزخرفة، مع التركيز على الأحياء السكنية وإدارة الممتلكات؛ (ب) توسيع سوق السفر من خلال تشجيع ووضع منتجات جديدة بغية جعل هذه السوق مجالاً جديداً للنمو الاقتصادي؛ (ج) تحسين مرافق الخدمات المقدمة إلى المجتمعات المحلية وتوزيعها الأمثل بقصد توسيع صناعة الخدمات المقدمة إلى هذه المجتمعات؛ (د) تحقيق المزيد من التطور في المبادلات التجارية وتجارة التجزئة والمطاعم؛ (ه‍) العمل بهمة على تعزيز الخدمات المالية وخدمات التأمين الموجهة للمستهلك؛ (و) تطوير قطاعي الترفيه الشعبي السليم والمفيد، واللياقة البدنية، بغية تطوير الصناعات الثقافية وتلك الموجهة نحو اللياقة البدنية. ومن الجوانب الأخرى من ذلك الالتزام تطوير صناعات الخدمات الموجهة نحو الإنتاج. ويشمل ذلك (أ) استحداث أنواع وتقنيات جديدة في مجال الأعمال، وتشجيع حقوق الامتياز، ونظم التوزيع، وخدمات النقل وتنوّع مرافقه ووسائله، وإصلاح وتحسين النقل التقليدي، وصناعات خدمات التوزيع والبريد؛ (ب) تطور سريع في قطاع المال والتأمين، ودعم توسيع الخدمات الائتمانية من طرف المصارف التجارية، وتوسيع قنوات استعمال أموال التأمين، وتحسين قدرة شركات التأمين على قبول مطالبات التأمين والتعويض عنها، وتشجيع الإبداع في الخدمات المالية والتأمينية، والتحسين العام للخدمات؛ (ج) توحيد وتطوير خدمات المحاسبة، والخدمات القانونية، والاستشارة الإدارية، والاستشارة الهندسية، وغيرها من صناعات الخدمات الوسيطة؛ (د) تطوير صناعة خدمات تكنولوجيا المعلومات، ولا سيما الشبكات، والاستشارة في مجال تكنولوجيا معالجة البيانات التطبيقية، وصناعة خدمات قواعد البيانات.</w:t>
      </w:r>
    </w:p>
    <w:p w:rsidR="00000000" w:rsidRDefault="00000000">
      <w:pPr>
        <w:spacing w:line="380" w:lineRule="exact"/>
        <w:jc w:val="both"/>
        <w:rPr>
          <w:rFonts w:hint="cs"/>
          <w:rtl/>
          <w:lang w:eastAsia="en-US"/>
        </w:rPr>
      </w:pPr>
      <w:r>
        <w:rPr>
          <w:rFonts w:hint="cs"/>
          <w:rtl/>
          <w:lang w:eastAsia="en-US"/>
        </w:rPr>
        <w:t>41-</w:t>
      </w:r>
      <w:r>
        <w:rPr>
          <w:rFonts w:hint="cs"/>
          <w:rtl/>
          <w:lang w:eastAsia="en-US"/>
        </w:rPr>
        <w:tab/>
        <w:t>وتسعى الصين إلى تسريع تطوير مختلف صناعات تكنولوجيا المعلومات بوصف ذلك خطوة هامة نحو إدماج تلك التكنولوجيا في المجتمع. ويتمثل أحد جوانب هذا التوجه في التطبيق الشامل لتكنولوجيا المعلومات الذي يشمل الآتي: (أ) تنفيذ مشاريع كبيرة تعزز استعمال تكنولوجيا المعلومات في قطاعات من قبيل القطاع الحكومي وقطاع المال والتجارة الخارجية والبث الإذاعي والتلفزي والتعليم والتكنولوجيا والصحة والإصحاح والضمان الاجتماعي والخدمات العامة؛ (ب) تطوير الخدمات التجارية الإلكترونية، مع تسريع إدخال نظم التوثيق الإلكتروني، ونظم الدفع الحديثة، والتسهيلات الائتمانية؛ (ج) التركيز على تطبيق تكنولوجيات المعلومات الشبكية على تجارة السلع الزراعية ونشر التكنولوجيا الزراعية الجديدة؛ (د) تشجيع إدماج تكنولوجيا المعلومات في صلب الصناعات الثقافية المعنية؛ (ه‍) توسيع استعمال شفرات الخطوط العمودية والشفرات الرقمية وغير ذلك من تطبيقات المعلومات الموحدة الأساسية؛ (و) تعزيز تعميم استيعاب التكنولوجيات الحاسوبية والشبكية؛ (ز) وضع معايير وطنية في مجال نظم المعلومات. ويشمل جانب ثانٍ من هذه المبادرة إنشاء بنية تحتية أساسية في مجال تكنولوجيا المعلومات: شبكات عريضة النطاق عالية السرعة، مع التركيز على النفاذ عريض النطاق، وعند الاقتضاء إقامة شبكات للاتصالات المتنقلة من الجيل الثالث؛ ونظم محكمة لأمن الشبكات والبيانات؛ ومصادر المعلومات الأساسية الوطنية والعامة، وقواعد البيانات الاقتصادية، وغير ذلك من أشكال تبادل البيانات ونظم البيانات الجغرافية؛ وزيادة تكامل شبكات الاتصالات والتلفزة والحاسوب. ويتعلق الجانب الثالث بتطوير صناعات تحويلية تنتج معدات إلكترونية مناسبة. ومن شأن تطوير التكنولوجيات الأساسية أن يعزز القدرة على تصنيع المنتجات الحاسوبية والشبكية وتلك المتعلقة بالاتصالات، والأجهزة السمعية البصرية الرقمية، ومكونات الأجهزة الجديدة. وستدفع جهود مماثلة إلى تطوير صناعات الدوائر المتكاملة والبرمجيات، وعموماً تحسين بنية البلد التحتية في مجال تكنولوجيا المعلومات وقدرات التكامل بين النظم.</w:t>
      </w:r>
    </w:p>
    <w:p w:rsidR="00000000" w:rsidRDefault="00000000">
      <w:pPr>
        <w:spacing w:line="380" w:lineRule="exact"/>
        <w:jc w:val="both"/>
        <w:rPr>
          <w:rFonts w:hint="cs"/>
          <w:rtl/>
          <w:lang w:eastAsia="en-US"/>
        </w:rPr>
      </w:pPr>
      <w:r>
        <w:rPr>
          <w:rFonts w:hint="cs"/>
          <w:rtl/>
          <w:lang w:eastAsia="en-US"/>
        </w:rPr>
        <w:t>42-</w:t>
      </w:r>
      <w:r>
        <w:rPr>
          <w:rFonts w:hint="cs"/>
          <w:rtl/>
          <w:lang w:eastAsia="en-US"/>
        </w:rPr>
        <w:tab/>
        <w:t>وتواصل الصين تعزيز بنيتها التحتية الأساسية، فهي تحسن توزيع وهيكلة المرافق. ومن جوانب ذلك تحسين مرافق حفظ المياه. واستناداً إلى سياسة ترمي إلى الانتفاع بالموارد المائية والتصدي في نفس الوقت للأضرار المحتملة، وبذل المزيد من الجهود لمنع الفيضانات والجفاف وما يقترن بها من كوارث، يجب إيلاء اهتمام خاص لمعالجة قضيتي نقص إمدادات المياه وتلوث المياه. ويتمثل الجانب الثاني في استكمال نظام شامل للنقل. وسيُعمد إلى تعجيل بناء الشبكة الوطنية الرئيسية للطرق السريعة المعروفة باسم "</w:t>
      </w:r>
      <w:r>
        <w:rPr>
          <w:szCs w:val="22"/>
          <w:lang w:eastAsia="en-US"/>
        </w:rPr>
        <w:t>5 Down and 7 Across</w:t>
      </w:r>
      <w:r>
        <w:rPr>
          <w:rFonts w:hint="cs"/>
          <w:rtl/>
          <w:lang w:eastAsia="en-US"/>
        </w:rPr>
        <w:t>"</w:t>
      </w:r>
      <w:r>
        <w:rPr>
          <w:rFonts w:hint="cs"/>
          <w:vertAlign w:val="superscript"/>
          <w:rtl/>
          <w:lang w:eastAsia="en-US"/>
        </w:rPr>
        <w:t>(2)</w:t>
      </w:r>
      <w:r>
        <w:rPr>
          <w:rFonts w:hint="cs"/>
          <w:rtl/>
          <w:lang w:eastAsia="en-US"/>
        </w:rPr>
        <w:t xml:space="preserve"> في حين </w:t>
      </w:r>
      <w:r>
        <w:rPr>
          <w:rFonts w:hint="cs"/>
          <w:spacing w:val="0"/>
          <w:rtl/>
          <w:lang w:eastAsia="en-US"/>
        </w:rPr>
        <w:t>ستُستكمل وتفتح من بينها</w:t>
      </w:r>
      <w:r>
        <w:rPr>
          <w:rFonts w:hint="cs"/>
          <w:spacing w:val="0"/>
          <w:vertAlign w:val="superscript"/>
          <w:rtl/>
          <w:lang w:eastAsia="en-US"/>
        </w:rPr>
        <w:t>(3)</w:t>
      </w:r>
      <w:r>
        <w:rPr>
          <w:rFonts w:hint="cs"/>
          <w:spacing w:val="0"/>
          <w:rtl/>
          <w:lang w:eastAsia="en-US"/>
        </w:rPr>
        <w:t xml:space="preserve"> بالكامل ثلاث طرق سريعة أساسية شمال - جنوب</w:t>
      </w:r>
      <w:r>
        <w:rPr>
          <w:rFonts w:hint="cs"/>
          <w:rtl/>
          <w:lang w:eastAsia="en-US"/>
        </w:rPr>
        <w:t xml:space="preserve"> وطريقان سريعتان شرق - غرب. وبحلول عام 2005، سيتاح 1.6 مليون كيلومتر من الطرق السريعة، من بينها نحو 000 25 كيلومتر من طرق النقل السريع. وستشمل أشغال إقامة شبكة السكك الحديدية الخط سينغخاي - تبت، والخط السريع بكين </w:t>
      </w:r>
      <w:r>
        <w:rPr>
          <w:rtl/>
          <w:lang w:eastAsia="en-US"/>
        </w:rPr>
        <w:br/>
      </w:r>
      <w:r>
        <w:rPr>
          <w:rFonts w:hint="cs"/>
          <w:rtl/>
          <w:lang w:eastAsia="en-US"/>
        </w:rPr>
        <w:t>- شانغهاي، والسكك الحديدية التي تعبر الحدود الشمالية الغربية والجنوبية الغربية. وبحلول عام 2005، سيدخل نحو 000 75 كيلومتر من السكك الحديدية طور العمل. وفي أثناء ذلك، ستطور البنية التحتية للسكك الحديدية في المدن الكبرى. وعلى طول السواحل، ستطور نظم النقل بالحاويات ومرافق البضائع السائبة المتخصصة في الموانئ الرئيسية؛ وستحسن المعدات في المرافئ والممرات. والجانب الثالث من تطوير البنية التحتية يركز على الإدارة المثلى لبنية الطاقة في البلد. ولمّا أصبح الفحم مصدر الطاقة الأساسي المتبقي، فسيزيد إنتاج النوعيات الممتازة بالتناسب، في حين سيجري التركيز على البحث، والتطوير، وتطبيق تكنولوجيات الفحم النظيف. ومن المزمع تنمية الموارد النفطية، مع التركيز على زيادة استكشاف واستغلال الغاز الطبيعي، في الوقت الذي يستمر فيه تطوير بدائل النفط مثل الوقود الكحولي. وفي أثناء ذلك، ستستمر الإمدادات الخارجية، مع إنشاء قواعد للإمداد بالنفط والغاز الطبيعي في الخارج وتنويع الواردات النفطية.</w:t>
      </w:r>
    </w:p>
    <w:p w:rsidR="00000000" w:rsidRDefault="00000000">
      <w:pPr>
        <w:spacing w:line="380" w:lineRule="exact"/>
        <w:jc w:val="both"/>
        <w:rPr>
          <w:rFonts w:hint="cs"/>
          <w:rtl/>
          <w:lang w:eastAsia="en-US"/>
        </w:rPr>
      </w:pPr>
      <w:r>
        <w:rPr>
          <w:rFonts w:hint="cs"/>
          <w:rtl/>
          <w:lang w:eastAsia="en-US"/>
        </w:rPr>
        <w:t>43-</w:t>
      </w:r>
      <w:r>
        <w:rPr>
          <w:rFonts w:hint="cs"/>
          <w:rtl/>
          <w:lang w:eastAsia="en-US"/>
        </w:rPr>
        <w:tab/>
        <w:t>وستواصل الصين تنفيذ استراتيجيتها الإنمائية في غرب البلاد واستراتيجيتها في مجال التحضير بتعزيز تنسيق التنمية بين مختلف المقاطعات والمدن والمناطق الريفية في البلاد في سبيل تحقيق تقدم مشترك. وسيولى اهتمام خاص على مدى السنوات الخمس إلى العشر القادمة لتحقيق إنجازات كبيرة في تطوير البنية التحتية الأساسية والبيئة الطبيعية في الغرب، مع إدخال تحسينات على التكنولوجيا والتعليم. وستُعتمد آليات جديدة لتحسين بيئة الاستثمار وفتح المجال للمصالح المحلية والخارجية بغية إنشاء اقتصاد يقوم على نظم متنوعة من الملكية وجلب كل من الاستثمار الأجنبي والمحلي في التنمية والبناء. وسيركَّز بوجه خاص على تطوير المدن والبلْدات الصغيرة والمتوسطة وتحسين سير المراكز الإقليمية، في الوقت الذي ستؤثر المدن الكبرى تأثيراً بالغاً في التنمية الإقليمية وستشجّع تطوير المناطق الحضرية المركزة تطويراً منهجياً. ومن شأن تكثيف تنمية المدن والبلْدات اقتصادياً أن يعزز قدرتها على توفير فرص العمل، في حين أن من شأن تطوير البنية التحتية الحضرية أن يُحسن ظروف السكن وسير الخدمات العامة والمجتمعية. وبالتركيز على إيجاد بيئة معيشية ملائمة لسكان الحضر، ستتحسن حماية البيئة الحضرية ومكافحة التلوث. وفي النهاية، فإن من شأن التحسين العام لمعايير الإدارة الحضرية أن يفيد تنسيق عمليات التخطيط والتصميم والبناء مما يمنح كل بلْدة ومدينة طابعها الخاص.</w:t>
      </w:r>
    </w:p>
    <w:p w:rsidR="00000000" w:rsidRDefault="00000000">
      <w:pPr>
        <w:spacing w:line="380" w:lineRule="exact"/>
        <w:jc w:val="both"/>
        <w:rPr>
          <w:rFonts w:hint="cs"/>
          <w:rtl/>
          <w:lang w:eastAsia="en-US"/>
        </w:rPr>
      </w:pPr>
      <w:r>
        <w:rPr>
          <w:rFonts w:hint="cs"/>
          <w:rtl/>
          <w:lang w:eastAsia="en-US"/>
        </w:rPr>
        <w:t>44-</w:t>
      </w:r>
      <w:r>
        <w:rPr>
          <w:rFonts w:hint="cs"/>
          <w:rtl/>
          <w:lang w:eastAsia="en-US"/>
        </w:rPr>
        <w:tab/>
        <w:t xml:space="preserve">وستعجّل الصين تطوير المنشآت التعليمية والصحية ومنشآت اللياقة البدنية. وتشمل الأهداف التعليمية تشجيع البرامج التعليمية التي تضمن تنمية الطلاب الأخلاقية والفكرية والبدنية، في الوقت الذي تشجَّع فيه المواهب الطبيعية وتنمّي الإبداع والقدرات العملية. ويحظى تعزيز التعليم الأساسي بتركيز خاص لأن الصين مستمرة في رفع مستوى التعليم العام لدى السكان. وتشمل المبادرات ما يلي: (أ) توسيع نطاق التعليم الإجباري ليشمل المناطق الفقيرة في الغرب وفي المناطق التي تقطنها أقليات، وتنفيذ "البرنامج الوطني للتعليم الإجباري الخاص بالمناطق الفقيرة"، وهو الثاني من نوعه، و"برنامج استبدال البنى التحتية الخطرة في المدارس الريفية"؛ (ب) زيادة تغطية التعليم الثانوي زيادة مطردة حتى يصبح هو القاعدة في المدن الكبرى والمناطق المتقدمة اقتصادياً؛ </w:t>
      </w:r>
      <w:r>
        <w:rPr>
          <w:rtl/>
          <w:lang w:eastAsia="en-US"/>
        </w:rPr>
        <w:br/>
      </w:r>
      <w:r>
        <w:rPr>
          <w:rFonts w:hint="cs"/>
          <w:rtl/>
          <w:lang w:eastAsia="en-US"/>
        </w:rPr>
        <w:t>(ج) اعتماد العديد من التدابير الرامية إلى تطوير التعليم العالي وتوسيع نطاق الفرص التعليمية وضمان جودة التعليم؛ (د) الاستمرار في تنفيذ "البرنامج 211"</w:t>
      </w:r>
      <w:r>
        <w:rPr>
          <w:rFonts w:hint="cs"/>
          <w:vertAlign w:val="superscript"/>
          <w:rtl/>
          <w:lang w:eastAsia="en-US"/>
        </w:rPr>
        <w:t>(4)</w:t>
      </w:r>
      <w:r>
        <w:rPr>
          <w:rFonts w:hint="cs"/>
          <w:rtl/>
          <w:lang w:eastAsia="en-US"/>
        </w:rPr>
        <w:t xml:space="preserve"> الذي يركز على إنشاء عدد من الجامعات العالية المستوى وذات ميادين الدراسة المتنوعة. وفي أثناء ذلك، سيُكرس المزيد من الجهود للتعليم والتدريب المهنيين، وإنشاء مرافق تعليم الكبار وغيره من أشكال التعليم المستمر، وإقامة نظام للتعليم مدى الحياة، والتعليم في مرحلة الطفولة المبكرة. وتشمل المبادرات ذات الأغراض الصحية ما يلي: (أ) إصلاح وتحسين الخدمات الصحية، والأمن الطبي، ونظم رصد الصحة والسلامة، وتطوير العلاج الطبي الأساسي، والرعاية الوقائية، وخدمات النقاهة؛ (ب) تنفيذ التخطيط الصحي الإقليمي والتوزيع الأمثل للموارد الصحية؛ (ج) التركيز الشديد على النظافة والوقاية من الأمراض، وبذل المزيد من الجهود لمنع ومكافحة الأمراض الكثيرة الحدوث، والأمراض المهنية والأمراض المعدية؛ (د) تطوير الطب التقليدي الصيني، وفي نفس الوقت تشجيع التكامل بين الطب الصيني والطب الغربي؛ (ه‍) بذل الجهود لمعالجة أهم القضايا الأساسية في مجالي الصحة والرعاية الطبية المستمرة في المجتمعات المحلية الريفية عن طريق تحسين خدمات الرعاية الصحية الأولية في تلك المجتمعات، وذلك بزيادة المرافق الأساسية وتشجيع الاشتراك في استعمال المرافق حيثما سمحت العوامل الجغرافية. وفي أثناء ذلك، سيتم التركيز على توفير مرافق الرياضة واللياقة العامة، وتشجيع حملات اللياقة البدنية على الصعيد الوطني ونظم تقدير مستويات اللياقة البدنية. كما ستتطور البرامج التي تشجع الألعاب الرياضية القائمة على المنافسة وألعاب القوى.</w:t>
      </w:r>
    </w:p>
    <w:p w:rsidR="00000000" w:rsidRDefault="00000000">
      <w:pPr>
        <w:spacing w:line="380" w:lineRule="exact"/>
        <w:jc w:val="both"/>
        <w:rPr>
          <w:rFonts w:hint="cs"/>
          <w:rtl/>
          <w:lang w:eastAsia="en-US"/>
        </w:rPr>
      </w:pPr>
      <w:r>
        <w:rPr>
          <w:rFonts w:hint="cs"/>
          <w:rtl/>
          <w:lang w:eastAsia="en-US"/>
        </w:rPr>
        <w:t>45-</w:t>
      </w:r>
      <w:r>
        <w:rPr>
          <w:rFonts w:hint="cs"/>
          <w:rtl/>
          <w:lang w:eastAsia="en-US"/>
        </w:rPr>
        <w:tab/>
        <w:t xml:space="preserve">وتعمل الصين بفعالية على زيادة فرص العمل واستكمال نظام الرعاية الاجتماعية. وبفضل رسم وتطبيق سياسات ملائمة، تُبذل جهود في سبيل إقامة صناعات تستخدم اليد العاملة بكثافة، وصناعات الخدمات التي تستخدم عدداً كبيراً من القوى العاملة، ومؤسسات صغيرة ومتوسطة لا تملكها الدولة. كما تبذل جهود في مجال التدريب في مكان العمل، والتدريب في مجال إعادة التوظيف بغية تطوير مهارات اليد العاملة وتعزيز فرص إيجاد العاطلين لعمل أو </w:t>
      </w:r>
      <w:r>
        <w:rPr>
          <w:rtl/>
          <w:lang w:eastAsia="en-US"/>
        </w:rPr>
        <w:t xml:space="preserve">إنشاء </w:t>
      </w:r>
      <w:r>
        <w:rPr>
          <w:rFonts w:hint="cs"/>
          <w:rtl/>
          <w:lang w:eastAsia="en-US"/>
        </w:rPr>
        <w:t>أعمالهم الخاصة بهم. وتحظى نماذج التوظيف المرنة بالتشجيع، كما يشجَّع العمال على تغيير مهنهم والقبول بالعمل بعض الوقت أو بصورة موسمية والاشتغال بالأعمال الحرة. هذا فضلاً عن أن الصين تفتح سوقاً دولية في مجال العمالة وتوسع نطاق تصدير العمالة. وتسعى جاهدة إلى إعداد العمال للعمل عموماً وإلى استحداث نظام للمؤهلات المهنية تتكلل بمنح شهادات، في الوقت الذي تُنْفَذ فيه برامج للتقاعد بدقة. وفيما يتعلق ببرامج الرعاية الاجتماعية، تعمل الصين على توسيع نطاق مخططاتها في مجال معاش المسنين، وتُواصل تدقيق مخططات تأمين المسنين لفائدة العاملين في الحضر، وتشتمل على مزيج بين برنامج تموله السلطات العامة وبرنامج للادخار الفردي. وتشجع السلطات برنامجاً مشابهاً يستعمل ذات النموذج الخاص بالتأمين الطبي لفائدة عمال الحضر بغية التأكد من مراعاة احتياجات العمال الطبية الأساسية. كما تعمل على إدخال تحسينات على التأمين من البطالة، ومنها مشاريع نموذجية تستهدف تحقيق الانسجام تدريجياً بين نظام الرعاية الاجتماعية لفائدة المسرحين عن العمل في القطاع العام وبين نظام التأمين من البطالة، وتوسيع نطاق التغطية التي يتحملها التأمين من البطالة. كما يتوسع نطاق مخطَّطي تعويض العمال والتأمين على الأمومة. ويشجَّع أرباب العمل الذين يستوفون بعض الشروط على استحداث مكافآت سنوية ووضع نظام تأمين صحي إضافي لفائدة موظفيهم، مما يسمح بأن يكمل نظام التأمين التجاري نظام الرعاية الاجتماعية.</w:t>
      </w:r>
    </w:p>
    <w:p w:rsidR="00000000" w:rsidRDefault="00000000">
      <w:pPr>
        <w:spacing w:line="380" w:lineRule="exact"/>
        <w:jc w:val="center"/>
        <w:rPr>
          <w:rFonts w:hint="cs"/>
          <w:b/>
          <w:bCs/>
          <w:rtl/>
          <w:lang w:eastAsia="en-US"/>
        </w:rPr>
      </w:pPr>
      <w:r>
        <w:rPr>
          <w:rFonts w:hint="cs"/>
          <w:b/>
          <w:bCs/>
          <w:rtl/>
          <w:lang w:eastAsia="en-US"/>
        </w:rPr>
        <w:t>المادة 7</w:t>
      </w:r>
    </w:p>
    <w:p w:rsidR="00000000" w:rsidRDefault="00000000">
      <w:pPr>
        <w:spacing w:line="380" w:lineRule="exact"/>
        <w:jc w:val="center"/>
        <w:rPr>
          <w:rFonts w:hint="cs"/>
          <w:b/>
          <w:bCs/>
          <w:rtl/>
          <w:lang w:eastAsia="en-US"/>
        </w:rPr>
      </w:pPr>
      <w:r>
        <w:rPr>
          <w:rFonts w:hint="cs"/>
          <w:b/>
          <w:bCs/>
          <w:rtl/>
          <w:lang w:eastAsia="en-US"/>
        </w:rPr>
        <w:t>الحق في ظروف عمل ملائمة</w:t>
      </w:r>
    </w:p>
    <w:p w:rsidR="00000000" w:rsidRDefault="00000000">
      <w:pPr>
        <w:spacing w:line="380" w:lineRule="exact"/>
        <w:jc w:val="both"/>
        <w:rPr>
          <w:rFonts w:hint="cs"/>
          <w:rtl/>
          <w:lang w:eastAsia="en-US"/>
        </w:rPr>
      </w:pPr>
      <w:r>
        <w:rPr>
          <w:rFonts w:hint="cs"/>
          <w:rtl/>
          <w:lang w:eastAsia="en-US"/>
        </w:rPr>
        <w:t>46-</w:t>
      </w:r>
      <w:r>
        <w:rPr>
          <w:rFonts w:hint="cs"/>
          <w:rtl/>
          <w:lang w:eastAsia="en-US"/>
        </w:rPr>
        <w:tab/>
        <w:t>يعد المبدأ العادل القائل "أجر الإنسان بحسب عمله"، المعمول به في الصين المبدأ الرئيسي الذي يتأسس عليه نظام متنوع للأجور. والنتيجة عبارة عن نظام ينصب فيه التركيز على الإنصاف والفعالية على السواء. وقد نجم عن الإصلاحات التي أُدخلت على طرائق دفع الأجور، التي تشمل تطبيق العوامل الموازِنة لقوى السوق على مستويات الأجور، نظامٌ تزيد فيه مستويات دخل العمال بزيادة النمو الاقتصادي ونمو أرباح الشركات. وينص قانون العمل، وتنص لوائح الحد الأدنى للأجور، واللوائح المؤقتة بشأن دفع الأجور، وغيرها من التشريعات، على قرارات واضحة بشأن توزيع الأجور. وتعمد الحكومة دورياً إلى وضع وتكييف معايير الحد الأدنى للأجور، وتعرض طرائق الدفع المعتمدة، وتنشر بانتظام بيانات عن المبادئ التوجيهية في مجال الأجور، والأجور السائدة في السوق وتكاليف اليد العاملة، وتشجع الشركات على أن تجرب اتفاقات الأجور الجماعية، وتحثها على اعتماد أنظمة للأجور ونماذج لتوزيعها تتسم بالتنوع والمرونة، وتصون حق الشركات في وضع أنظمتها في مجال الأجور وحقوق العمال في الحصول على أجر معقول مقابل العمل الذي يقومون به وفقاً للقانون.</w:t>
      </w:r>
    </w:p>
    <w:p w:rsidR="00000000" w:rsidRDefault="00000000">
      <w:pPr>
        <w:spacing w:line="380" w:lineRule="exact"/>
        <w:jc w:val="both"/>
        <w:rPr>
          <w:rFonts w:hint="cs"/>
          <w:rtl/>
          <w:lang w:eastAsia="en-US"/>
        </w:rPr>
      </w:pPr>
      <w:r>
        <w:rPr>
          <w:rFonts w:hint="cs"/>
          <w:rtl/>
          <w:lang w:eastAsia="en-US"/>
        </w:rPr>
        <w:t>47-</w:t>
      </w:r>
      <w:r>
        <w:rPr>
          <w:rFonts w:hint="cs"/>
          <w:rtl/>
          <w:lang w:eastAsia="en-US"/>
        </w:rPr>
        <w:tab/>
        <w:t>ويوجد في الصين نظامان رئيسيان لتحديد مستويات الأجور. ينطبق الأول على الشركات التابعة للدولة، حيث تحدد الأجور الإجمالية طبقاً للربحية العامة للشركة المعنية. وتنطبق خطط إدارة الأجور، ولها علاقة بكفاءة العمل. كما أن الشركات، إذ تحدد مجمل نفقات الأجور، تعمل في إطار الأساسين المنطقيين المتمثلين في شرط "أقل من"، أي أن نمو إجمالي تكاليف العمالة يجب أن يظل أقل من نمو الأرباح، وفي كون نمو معدل الأجور يجب أن يظل أقل من نمو الإنتاجية. وفي أثناء ذلك، تحدد الشركات غير التابعة للدولة عادة مستويات الأجور الخاصة بها بصفتها دالة على المعدلات السائدة في سوق العمل وربحيتها الخاصة بها. وتحدد بعض الشركات مستويات الأجور عن طريق الاتفاقات الجماعية؛ وتجرب أكثر من 000 30 شركة في الصين حالياً اتفاقات الأجور الجماعية. وتتمتع الشركات باستقلال داخلي تام في مجال توزيع الأجور وإن كانت الحكومة قد أشارت إليها بإجراء إصلاحات بحيث تربط الأجر بالعمل المضطلع به في المقام الأول. وفيما يتعلق بسياسة الأجور، عُمم تنفيذ مبدأي "كل إنسان بحسب عمله" وتساوي الأجر على العمل المتساوي القيمة، ولا يوجد تمييز على أساس نوع الجنس أو الانتماء العرقي أو الإثني.</w:t>
      </w:r>
    </w:p>
    <w:p w:rsidR="00000000" w:rsidRDefault="00000000">
      <w:pPr>
        <w:spacing w:line="380" w:lineRule="exact"/>
        <w:jc w:val="both"/>
        <w:rPr>
          <w:rFonts w:hint="cs"/>
          <w:rtl/>
          <w:lang w:eastAsia="en-US"/>
        </w:rPr>
      </w:pPr>
      <w:r>
        <w:rPr>
          <w:rFonts w:hint="cs"/>
          <w:rtl/>
          <w:lang w:eastAsia="en-US"/>
        </w:rPr>
        <w:t>48-</w:t>
      </w:r>
      <w:r>
        <w:rPr>
          <w:rFonts w:hint="cs"/>
          <w:rtl/>
          <w:lang w:eastAsia="en-US"/>
        </w:rPr>
        <w:tab/>
        <w:t>وأصدرت الحكومة في عام 1993 "لوائح الحد الأدنى للأجور"، وفي عام 1994 نشرت الدائرة المعنية "توجيهات بشأن تطبيق نظام الحد الأدنى للأجور المضمون". وجاء في المادة 48 من قانون العمل لعام 1994 أن:</w:t>
      </w:r>
    </w:p>
    <w:p w:rsidR="00000000" w:rsidRDefault="00000000">
      <w:pPr>
        <w:spacing w:line="380" w:lineRule="exact"/>
        <w:ind w:left="720"/>
        <w:jc w:val="both"/>
        <w:rPr>
          <w:rFonts w:hint="cs"/>
          <w:rtl/>
          <w:lang w:eastAsia="en-US"/>
        </w:rPr>
      </w:pPr>
      <w:r>
        <w:rPr>
          <w:rFonts w:hint="cs"/>
          <w:rtl/>
          <w:lang w:eastAsia="en-US"/>
        </w:rPr>
        <w:t xml:space="preserve">"الدولة تطبق نظاماً للحد الأدنى للأجور المضمون. ويجب على حكومات مقاطعات الشعب أو المناطق المستقلة أو البلديات التي تقع مباشرة تحت سلطة الحكومة المركزية تحديد معايير معينة بشأن الحد الأدنى للأجور وإبلاغ مجلس الدولة بذلك بغرض تسجيلها. ويجب ألا تقل الأجور التي تدفعها الوحدة الموظِّفة عن المعايير المحلية بشأن الحد الأدنى للأجور". </w:t>
      </w:r>
    </w:p>
    <w:p w:rsidR="00000000" w:rsidRDefault="00000000">
      <w:pPr>
        <w:spacing w:line="380" w:lineRule="exact"/>
        <w:jc w:val="both"/>
        <w:rPr>
          <w:rFonts w:hint="cs"/>
          <w:rtl/>
          <w:lang w:eastAsia="en-US"/>
        </w:rPr>
      </w:pPr>
      <w:r>
        <w:rPr>
          <w:rFonts w:hint="cs"/>
          <w:rtl/>
          <w:lang w:eastAsia="en-US"/>
        </w:rPr>
        <w:t>وينطبق نظام الحد الأدنى للأجور المضمون على جميع الشركات وآحاد الكيانات الاقتصادية ضمن حدود جمهورية الصين الشعبية وعلى العمال الذين يعملون في تلك المؤسسات.كما أن على المؤسسات والهيئات والجمعيات التابعة للدولة والعمال الذين يعملون فيها أن يتبعوا تلك اللوائح.</w:t>
      </w:r>
    </w:p>
    <w:p w:rsidR="00000000" w:rsidRDefault="00000000">
      <w:pPr>
        <w:spacing w:line="380" w:lineRule="exact"/>
        <w:jc w:val="both"/>
        <w:rPr>
          <w:rFonts w:hint="cs"/>
          <w:rtl/>
          <w:lang w:eastAsia="en-US"/>
        </w:rPr>
      </w:pPr>
      <w:r>
        <w:rPr>
          <w:rFonts w:hint="cs"/>
          <w:rtl/>
          <w:lang w:eastAsia="en-US"/>
        </w:rPr>
        <w:t>49-</w:t>
      </w:r>
      <w:r>
        <w:rPr>
          <w:rFonts w:hint="cs"/>
          <w:rtl/>
          <w:lang w:eastAsia="en-US"/>
        </w:rPr>
        <w:tab/>
        <w:t>ثم إن الصين، وقد وضعت نظاماً للحد الأدنى للأجور المضمون، تهدف أساساً إلى تأمين سبل المعيشة الأساسية للعمال وأسرهم. وتضطلع الإدارات التي تدير نظام ضمانات العمل بوضع نظام للحد الأدنى للأجور، وتسهر الإدارات المعنية في كل مقاطعة ومنطقة مستقلة وبلدية تدار مباشرة على وضع معايير الحد الأدنى للأجور وتكييفها ونشرها وتنفيذها كل في مجالها. وتنص "لوائح الحد الأدنى للأجور" على الآتي: "إن الإدارات المعنية بإدارة نظام ضمانات العمل، عندما تضع معايير الحد الأدنى للأجور، تجري دراسات بالاشتراك مع النقابات وجمعيات أرباب العمل، وتستشير الجمعيات التجارية والصناعية المحلية والإدارات المالية والمدنية والإحصائية". وبناء عليه، فإن سلطات حكومة الشعب على صعيد المقاطعات، عندما تضع معايير الحد الأدنى للأجور، تأخذ في الاعتبار عوامل من قبيل مستويات دخل العمال ذوي الدخل المنخفض في المناطق التي تديرها، ومؤشرات أسعار المستهلكين، وتكاليف دعم أسر العمال، ومعدل الأجور، والعرض والطلب في أسواق العمل المحلية، وإنتاجية العمال، وأداء المنطقة الاقتصادي ككل. ويسري في الوقت الراهن نظام الحد الأدنى للأجور المضمون في 30 من مقاطعات الصين ومناطقها المستقلة وبلدياتها التي تدار إدارة مباشرة.</w:t>
      </w:r>
    </w:p>
    <w:p w:rsidR="00000000" w:rsidRDefault="00000000">
      <w:pPr>
        <w:spacing w:line="380" w:lineRule="exact"/>
        <w:jc w:val="both"/>
        <w:rPr>
          <w:rFonts w:hint="cs"/>
          <w:rtl/>
          <w:lang w:eastAsia="en-US"/>
        </w:rPr>
      </w:pPr>
      <w:r>
        <w:rPr>
          <w:rFonts w:hint="cs"/>
          <w:rtl/>
          <w:lang w:eastAsia="en-US"/>
        </w:rPr>
        <w:t>50-</w:t>
      </w:r>
      <w:r>
        <w:rPr>
          <w:rFonts w:hint="cs"/>
          <w:rtl/>
          <w:lang w:eastAsia="en-US"/>
        </w:rPr>
        <w:tab/>
        <w:t>وتعتبر الصين أن الأشخاص الذين تبين أنهم أخلوا بنظام الحد الأدنى للأجور مسؤولون قانوناً. وتدعو السلطة المحلية المسؤولة عن شؤون العمل الطرف المعني إلى تصحيح الوضع في أجل محدد؛ ومتى لم تُتخذ أي إجراءات بعد انقضاء الأجل، صدَرت مذكرة انتقاد وتعرضت المؤسسة (وحدة العمل) الموظِّفة وتعرّض الأفراد المسؤولون لعقوبات اقتصادية.</w:t>
      </w:r>
    </w:p>
    <w:p w:rsidR="00000000" w:rsidRDefault="00000000">
      <w:pPr>
        <w:spacing w:line="380" w:lineRule="exact"/>
        <w:jc w:val="both"/>
        <w:rPr>
          <w:rFonts w:hint="cs"/>
          <w:rtl/>
          <w:lang w:eastAsia="en-US"/>
        </w:rPr>
      </w:pPr>
      <w:r>
        <w:rPr>
          <w:rFonts w:hint="cs"/>
          <w:rtl/>
          <w:lang w:eastAsia="en-US"/>
        </w:rPr>
        <w:t>51-</w:t>
      </w:r>
      <w:r>
        <w:rPr>
          <w:rFonts w:hint="cs"/>
          <w:rtl/>
          <w:lang w:eastAsia="en-US"/>
        </w:rPr>
        <w:tab/>
        <w:t>ومنذ بداية عصر الإصلاحات الاقتصادية، وتمشياً مع التنمية الاقتصادية، ما فتئت مستويات دخل العاملين في الحضر تتزايد باطراد. وفـي نهاية عـام 2001، كان معدل الدخل النقدي السنوي للعمال في الحضر يبلغ 870 10 يوان، أي نحو 16.3 ضعف ما كان عليه في عام 1978. وبعد احتساب التضخم، كان المعدل السنوي للزيادة الفعلية في دخل العمال يبلغ 5.5 في المائة.</w:t>
      </w:r>
    </w:p>
    <w:p w:rsidR="00000000" w:rsidRDefault="00000000">
      <w:pPr>
        <w:spacing w:line="380" w:lineRule="exact"/>
        <w:jc w:val="both"/>
        <w:rPr>
          <w:rFonts w:hint="cs"/>
          <w:rtl/>
          <w:lang w:eastAsia="en-US"/>
        </w:rPr>
      </w:pPr>
      <w:r>
        <w:rPr>
          <w:rFonts w:hint="cs"/>
          <w:rtl/>
          <w:lang w:eastAsia="en-US"/>
        </w:rPr>
        <w:t>52-</w:t>
      </w:r>
      <w:r>
        <w:rPr>
          <w:rFonts w:hint="cs"/>
          <w:rtl/>
          <w:lang w:eastAsia="en-US"/>
        </w:rPr>
        <w:tab/>
        <w:t>وتولي حكومة الصين أهمية كبيرة لحق العمال في الراحة والعطلة، وأصدرت في هذا الصدد عدداً من القوانين واللوائح. وتشمل اللوائح الحالية التي تستند إلى أحكام قانون العمل "لوائح مجلس الدولة بشأن ساعات العمل" و"لوائح مجلس الدولة بشأن الزيارات العائلية" و"ترتيبات الإجازات الخاصة بالعطل والأعياد الوطنية". ويجري تحسين هذه اللوائح وتكييفها بانتظام لتتمشى مع التنمية الاقتصادية والاجتماعية.</w:t>
      </w:r>
    </w:p>
    <w:p w:rsidR="00000000" w:rsidRDefault="00000000">
      <w:pPr>
        <w:spacing w:line="380" w:lineRule="exact"/>
        <w:jc w:val="both"/>
        <w:rPr>
          <w:rFonts w:hint="cs"/>
          <w:rtl/>
          <w:lang w:eastAsia="en-US"/>
        </w:rPr>
      </w:pPr>
      <w:r>
        <w:rPr>
          <w:rFonts w:hint="cs"/>
          <w:rtl/>
          <w:lang w:eastAsia="en-US"/>
        </w:rPr>
        <w:t>53-</w:t>
      </w:r>
      <w:r>
        <w:rPr>
          <w:rFonts w:hint="cs"/>
          <w:rtl/>
          <w:lang w:eastAsia="en-US"/>
        </w:rPr>
        <w:tab/>
        <w:t>وبغية التأكد من أن العمال يتمتعون بحقوقهم الطبيعية في العمل والراحة والعطل، تشترط الصين حالياً ألا يتجاوز يوم العمل 8 ساعات وألا يتجاوز معدل ساعات العمل 40 ساعة في الأسبوع. وتضع الحكومة قيوداً على المستخدِمين (وحدات العمل) الذين يرغبون في زيادة ساعات العمل، إذ تشترط التفاوض مع النقابات والعمال المعنيين. وعموماً، لا يمكن أن تتجاوز هذه الزيادة ساعة واحدة في اليوم؛ وفي حالات استثنائية، يمكن زيادة عدد الساعات لكن في حدود 3 ساعات في اليوم أو 36 ساعة في الشهر. والحكومة، إذ تنفذ نظام ساعات العمل الموحد، قد أخذت في الحسبان مختلف الظروف السائدة في شتى الشركات، وتسمح للشركات التي تستوفي الشروط اللازمة بأن تضع ترتيبات خاصة لساعات العمل. وباختصار، فإن النظام المعمول به حالياً في الصين حصيلة فترة طويلة من التطوير. فهو نظام متدرج وعلمي بطبيعته ويتماشى مع الاتجاهات الدولية الراهنة في مجال معايير ساعات العمل.</w:t>
      </w:r>
    </w:p>
    <w:p w:rsidR="00000000" w:rsidRDefault="00000000">
      <w:pPr>
        <w:spacing w:line="380" w:lineRule="exact"/>
        <w:jc w:val="both"/>
        <w:rPr>
          <w:rFonts w:hint="cs"/>
          <w:rtl/>
          <w:lang w:eastAsia="en-US"/>
        </w:rPr>
      </w:pPr>
      <w:r>
        <w:rPr>
          <w:rFonts w:hint="cs"/>
          <w:rtl/>
          <w:lang w:eastAsia="en-US"/>
        </w:rPr>
        <w:t>54-</w:t>
      </w:r>
      <w:r>
        <w:rPr>
          <w:rFonts w:hint="cs"/>
          <w:rtl/>
          <w:lang w:eastAsia="en-US"/>
        </w:rPr>
        <w:tab/>
        <w:t xml:space="preserve">وينص قانون العمل على حق العمال في عطل رسمية وما لا يقل عن يوم راحة في الأسبوع. وجاء في "ترتيبات الإجازات الخاصة بالعطل والأعياد الوطنية" الصادرة في عام 1999 أن العطل الرسمية في الصين 10 أيام في السنة، وهي: يوم بمناسبة رأس السنة الميلادية (1 كانون الثاني/يناير)؛ وثلاثة أيام بمناسبة عيد العمال </w:t>
      </w:r>
      <w:r>
        <w:rPr>
          <w:rtl/>
          <w:lang w:eastAsia="en-US"/>
        </w:rPr>
        <w:br/>
      </w:r>
      <w:r>
        <w:rPr>
          <w:rFonts w:hint="cs"/>
          <w:rtl/>
          <w:lang w:eastAsia="en-US"/>
        </w:rPr>
        <w:t>(1 أيار/مايو)؛ وثلاثة أيام بمناسبة العيد الوطني الصيني؛ وثلاثة أيام بمناسبة السنة الصينية الجديدة. وأصدرت وزارة العمل والضمان الاجتماعي في عام 2000 بياناً بشأن معدل ساعات العمل الشهرية خلال السنة ومشاكل تحويل الأجـور يحدد متوسط عدد أيـام وساعات العمـل شهرياً خلال سنة كاملة بواقع 20.92 يوماً و167.4 ساعة على التوالي. كما ينص قانون العمل على الإجازات السنوية المدفوعة الأجر، حيث جاء أن من حق الموظفين الذين عملوا باستمرار لأكثر من سنة الحصول على إجازة سنوية مدفوعة الأجر. كما جاء فيه أنه يجب ألا تتجاوز الإجازة المدفوعة الأجر أسبوعين.</w:t>
      </w:r>
    </w:p>
    <w:p w:rsidR="00000000" w:rsidRDefault="00000000">
      <w:pPr>
        <w:spacing w:line="380" w:lineRule="exact"/>
        <w:jc w:val="both"/>
        <w:rPr>
          <w:rFonts w:hint="cs"/>
          <w:rtl/>
          <w:lang w:eastAsia="en-US"/>
        </w:rPr>
      </w:pPr>
      <w:r>
        <w:rPr>
          <w:rFonts w:hint="cs"/>
          <w:rtl/>
          <w:lang w:eastAsia="en-US"/>
        </w:rPr>
        <w:t>55-</w:t>
      </w:r>
      <w:r>
        <w:rPr>
          <w:rFonts w:hint="cs"/>
          <w:rtl/>
          <w:lang w:eastAsia="en-US"/>
        </w:rPr>
        <w:tab/>
        <w:t>وتعير حكومة الصين دائماً لمسألة السلامة في العمل وحماية العمال أهمية كبيرة. فقد جاء في المادة 42 من الدستور أن من حق مواطني جمهورية الصين الشعبية وواجبهم أن يعملوا. وتهيّئ الدولة عبر قنوات متعددة ظروف العمل وتعزز السلامة والصحة المهنيتين وتحسن ظروف العمل. وقد جاء في المادة 3 من قانون العمل أن من حق العمال التمتع بالسلامة والصحة المهنيتين. ويتضمن قانون النقابات وقانون السلامة في المناجم وقانون الموارد المعدنية وقانون الفحم وقانون الكهرباء وقانون البناء لوائح تتعلق بصحة العمال وسلامتهم. وعجّلت حكومة الصين الإجراءات المتخذة لإنفاذ السلامة في العمل بوصفها وسيلة لتعزيز الرقابة الرسمية على عملية الإنتاج، والوقاية من الحوادث والحدّ منها، وحماية حياة الناس والممتلكات، وتعزيز التنمية الاقتصادية. وأصدرت في عام 2002 قانون السلامة في العمل. وبما أن هذا القانون وضع خصيصاً لمعالجة قضايا السلامة في العمل، فإن مختلف مواده تمثل نظاماً شاملاً من الأحكام المحددة التي تضمن حق العمال في السلامة أثناء العمل، في الوقت الذي تنص فيه على شروط صارمة للمسؤولية القانونية لتعزيز حقوق العمال بمجموعة من القوانين النظامية. ويمكن تلخيص حقوق العمال الأساسية في السلامة في العمل على النحو الآتي: (أ) الحق في التدرّب على العمل في ظروف آمنة؛ (ب) الحق في تقديم توصيات بشأن قضايا السلامة لرب العمل (وحدة العمل)؛ (ج) الحق في الحصول على معدات للسلامة تتقيد بالمعايير الوطنية أو التجارية؛ (د) الحق في الاستفادة من "تأمين تعويض العمال" ومن التعويض في حالة الإصابة أو الوفاة؛ (ه‍) الحق في الإحاطة علماً بالأخطار الممكنة وتدابير الطوارئ المحتملة؛ (و) الحق في الانتقاد أو تقديم تقارير أو مقاضاة أولي الأمر بشأن إدارة شؤون السلامة؛ (ز) الحق في رفض تنفيذ أمر يتعارض مع اللوائح أو يرغم العامل على العمل وسط ظروف محفوفة بالمخاطر؛ (ح) الحق في التوقف عن العمل في حالات الطوارئ والفرار.</w:t>
      </w:r>
    </w:p>
    <w:p w:rsidR="00000000" w:rsidRDefault="00000000">
      <w:pPr>
        <w:spacing w:line="380" w:lineRule="exact"/>
        <w:jc w:val="both"/>
        <w:rPr>
          <w:rFonts w:hint="cs"/>
          <w:rtl/>
          <w:lang w:eastAsia="en-US"/>
        </w:rPr>
      </w:pPr>
      <w:r>
        <w:rPr>
          <w:rFonts w:hint="cs"/>
          <w:rtl/>
          <w:lang w:eastAsia="en-US"/>
        </w:rPr>
        <w:t>56-</w:t>
      </w:r>
      <w:r>
        <w:rPr>
          <w:rFonts w:hint="cs"/>
          <w:rtl/>
          <w:lang w:eastAsia="en-US"/>
        </w:rPr>
        <w:tab/>
        <w:t>وبغرض تعزيز آليات التفتيش والإدارة في مجال السلامة في العمل، أنشأت الحكومة في عام 2000 المكتب الوطني للسلامة في مناجم الفحم، وهو عبارة عن نظام يدار عمودياً ويتألف من 20 فرعاً على مستوى المقاطعات و71 مكتب تفتيش على الصعيد المحلي، وهو يوظف 800 2 مفتش مكلف بالسلامة في مناجم الفحم. وفي عام 2001، أنشأت المفتشية الوطنية المعنية بالسلامة في العمل (المكتب الوطني للسلامة في مناجم الفحم)، كما أنشأت لجنة السلامة في العمل التابعة لمجلس الدولة والمكاتب التابعة لها بغية توحيد عمليات المفتشيات المعنية بالسلامة في العمل وفي مناجم الفحم على الصعيد الوطني. ولتعزيز إدارة شؤون السلامة في العمل، غيرت الحكومة في عام 2003 نظام التفتيش الخاص بالسلامة لتصبح المفتشية الوطنية المعنية بالسلامة في العمل هيئة تابعة لمجلس الدولة مباشرة، وحلّت لجنةَ السلامة في العمل التابعة لمجلس الدولة وحوَّلت وظائفها إلى الهيئة الجديدة. والمفتشية، وقد منحت سلطات إنفاذ جديدة، تمثل قوة استقرار وتسهم في تحسين السلامة في العمل. وبالمثل، فقد ضاعفت الحكومات المحلية والأقسام الإدارية على الصعيد الوطني عدد هيئات التفتيش المعنية بالسلامة في العمل، وقد نجم عن ذلك اكتمال نظام للتفتيش والإدارة في مجال السلامة في العمل على الصعيد الوطني.</w:t>
      </w:r>
    </w:p>
    <w:p w:rsidR="00000000" w:rsidRDefault="00000000">
      <w:pPr>
        <w:spacing w:line="380" w:lineRule="exact"/>
        <w:jc w:val="both"/>
        <w:rPr>
          <w:rFonts w:hint="cs"/>
          <w:rtl/>
          <w:lang w:eastAsia="en-US"/>
        </w:rPr>
      </w:pPr>
      <w:r>
        <w:rPr>
          <w:rFonts w:hint="cs"/>
          <w:rtl/>
          <w:lang w:eastAsia="en-US"/>
        </w:rPr>
        <w:t>57-</w:t>
      </w:r>
      <w:r>
        <w:rPr>
          <w:rFonts w:hint="cs"/>
          <w:rtl/>
          <w:lang w:eastAsia="en-US"/>
        </w:rPr>
        <w:tab/>
        <w:t>وشددت حكومة الصين منذ عام 2001 على أهمية السلامة في العمل بوصفها جانباً منظماً وموحَّداً من جوانب نظام اقتصاد السوق. وتتمثل مجالات الاهتمام الرئيسية الخمسة في ميدان السلامة التي تتطلب إجراءات إصلاحية في المتفجرات لأغراض الاستعمال المدني والألعاب النارية، والنقل البري والمائي، ومناجم الفحم، والمواد الكيماوية الخطرة، والمناطق التي تكتظ بالناس. وفي إطار حملة إصلاحية، أغلق عدد كبير من المصانع الصغيرة والمناجم الصغيرة والمؤسسات التجارية وشركات النقل، تعمل بصورة غير شرعية، بعد أن تبين أنها لا تتقيد بمعايير السلامة الأساسية. وكان من بينها 400 15 منجم صغير للفحم و700 23 منجم صغير آخر و000 237 مصنع يُنتج مواد قابلة للاشتعال ومواد متفجرة. كما تمت تصفية 000 20 مشروع تجاري أخل بالشروط اللازمة لمناولة مواد كيماوية خطرة، في حين مُنع من العمل أكثر من 000 10 مرقص ومقهى إنترنت وغيرها من أماكن الترفيه بسبب عدم تقيدها باللوائح المتعلقة بالحرائق. كما مُنعت 000 27 مركبة من العمل بعد أن تبين أنها مخلّة بالمعايير التقنية.</w:t>
      </w:r>
    </w:p>
    <w:p w:rsidR="00000000" w:rsidRDefault="00000000">
      <w:pPr>
        <w:spacing w:line="380" w:lineRule="exact"/>
        <w:jc w:val="both"/>
        <w:rPr>
          <w:rFonts w:hint="cs"/>
          <w:rtl/>
          <w:lang w:eastAsia="en-US"/>
        </w:rPr>
      </w:pPr>
      <w:r>
        <w:rPr>
          <w:rFonts w:hint="cs"/>
          <w:rtl/>
          <w:lang w:eastAsia="en-US"/>
        </w:rPr>
        <w:t>58-</w:t>
      </w:r>
      <w:r>
        <w:rPr>
          <w:rFonts w:hint="cs"/>
          <w:rtl/>
          <w:lang w:eastAsia="en-US"/>
        </w:rPr>
        <w:tab/>
        <w:t xml:space="preserve">وأصدرت حكومة الصين في عام 2001 لوائح مجلس الدولة بشأن "الإقرار بالمسؤولية الإدارية في الحوادث الخطرة"؛ وأصدرت المقاطعات والمناطق المستقلة والبلديات التي تدار مباشرة نصوصاً خاصة بها من هذه اللوائح. وهذه التدابير، إذ وضعت إطاراً قانونياً يقر بالمسؤولية، فقد عززت نظام مسؤولية الحكومة برمته في مجال السلامة في العمل على جميع المستويات. والهدف من ذلك ليس إثبات مسؤولية الأفراد الضالعين في حادث معين فحسب، بل مسؤولية المسؤولين الحكوميين الذين يفترض أن يقوموا بدورهم القيادي، طبقاً للقانون. وأثناء التحقيق في حادث، على سبيل المثال، من اللازم الالتزام بأربعة مبادئ من "عدم التسامح"، فلا يُسمح بما يلي: </w:t>
      </w:r>
      <w:r>
        <w:rPr>
          <w:rtl/>
          <w:lang w:eastAsia="en-US"/>
        </w:rPr>
        <w:br/>
      </w:r>
      <w:r>
        <w:rPr>
          <w:rFonts w:hint="cs"/>
          <w:rtl/>
          <w:lang w:eastAsia="en-US"/>
        </w:rPr>
        <w:t xml:space="preserve">(أ) أن يظل سبب حادث ما مجهولاً؛ (ب) ألاّ يتعرض الشخص أو الأشخاص المسؤولين عن الحادث لعقاب شديد؛ (ج) ألا يكون الأشخاص المسؤولون في مؤسسة من المؤسسات ومجموع الموظفين قد أُعطوا التوجيهات الملائمة؛ (د) ألا تُتخذ الإجراءات الضرورية لمنع تكرار الحادث. هذا، ويتعرض المسؤولون عن الحوادث لعقاب شديد وفقاً للقانون. </w:t>
      </w:r>
    </w:p>
    <w:p w:rsidR="00000000" w:rsidRDefault="00000000">
      <w:pPr>
        <w:spacing w:line="380" w:lineRule="exact"/>
        <w:jc w:val="both"/>
        <w:rPr>
          <w:rFonts w:hint="cs"/>
          <w:rtl/>
          <w:lang w:eastAsia="en-US"/>
        </w:rPr>
      </w:pPr>
      <w:r>
        <w:rPr>
          <w:rFonts w:hint="cs"/>
          <w:rtl/>
          <w:lang w:eastAsia="en-US"/>
        </w:rPr>
        <w:t>59-</w:t>
      </w:r>
      <w:r>
        <w:rPr>
          <w:rFonts w:hint="cs"/>
          <w:rtl/>
          <w:lang w:eastAsia="en-US"/>
        </w:rPr>
        <w:tab/>
        <w:t>وبغرض تشجيع التحولات التقنية التي تقود إلى السلامة في العمل، تُستحث المؤسسات على وضع نُظمها الخاصة بها في مجال الانضباط. وقد تعاونت حكومة الصين مع الصناعة في السنوات الأخيرة لزيادة الاستثمار في التحول التكنولوجي الذي يراعي مسألة السلامة. ففي صناعة الفحم وحدها، نظمت أربع حملات خلال السنتين الماضيتين. ووفرت مبالغ لتمويل 151 مشروعاً لإدخال تحسينات تكنولوجية في مجال السلامة في العمل. فقد بلغ مجموع الاستثمارات في هذه المشاريع 3.92 مليارات من اليوان، 1.27 مليار يوان منها عبارة عن إعانات في شكل سندات حكومية، و1.57 مليار يوان عبارة عن قروض مصرفية، و1.08 مليار يوان من أموال المؤسسات نفسها. ووظفت تلك الأموال في معدات جديدة وتحسينات تكنولوجية في العمليات المنجمية الرئيسية. وطُلب من المؤسسات في ذات الوقت تعزيز التزامها الأساسي بالسلامة في العمل والاستثمار فيها. ووضعت المؤسسات الصينية، ولا سيما الشركات الكبرى والمتوسطة التابعة للدولة، نظماً متينة للسلامة في العمل ونقحتها، وحصلت مئات المؤسسات على شهادات على ترتيباتها في مجالي الصحة والسلامة المهنيتين، وكل ذلك بتوجيه الحكومة ومراقبتها.</w:t>
      </w:r>
    </w:p>
    <w:p w:rsidR="00000000" w:rsidRDefault="00000000">
      <w:pPr>
        <w:spacing w:line="380" w:lineRule="exact"/>
        <w:jc w:val="both"/>
        <w:rPr>
          <w:rFonts w:hint="cs"/>
          <w:rtl/>
          <w:lang w:eastAsia="en-US"/>
        </w:rPr>
      </w:pPr>
      <w:r>
        <w:rPr>
          <w:rFonts w:hint="cs"/>
          <w:rtl/>
          <w:lang w:eastAsia="en-US"/>
        </w:rPr>
        <w:t>60-</w:t>
      </w:r>
      <w:r>
        <w:rPr>
          <w:rFonts w:hint="cs"/>
          <w:rtl/>
          <w:lang w:eastAsia="en-US"/>
        </w:rPr>
        <w:tab/>
        <w:t>وشجعت الدولة بقوة التثقيف والتدريب في مجال السلامة. وظلت الصين، تحتفل كل سنة، منذ التسعينات، ب‍ "أسبوع السلامة في العمل"، ثم توسع ذلك في عام 2002 ليصبح "شهر السلامة في العمل" بالتزامن مع "المشي مسافة 000 10 كيلومتر من أجل السلامة في العمل". ومن بين الحملات الشعبية المتعلقة بالسلامة المنظمة على الصعيد الوطني مسابقة ألعاب القوى التي تتكلل بمنح "كأس الصحة" و"فرقة البيان العملي لسلامة الشباب في أماكن العمل". وهناك خطوط هاتفية مباشرة وصناديق بريد ومكتب للأخبار عن السلامة في العمل ينشر "أخبار السلامة في العمل في الصين" ويستعين بالبث التلفزي والإذاعي ووسائط الإعلام المطبوعة والإنترنت لتشجيع مراقبة الناس لقضايا السلامة. وأنشئت هيئة معنية بالتدريب في مجال السلامة في العمل لتعزيز التدريب الموجود أصلاً لجميع فئات العمال. ففي عام 2002 وحده، وفرت هذه الهيئة تدريباً متخصصاً لنحو 000 220 مشرف على السلامة في العمل، و000 550 مدير معني بالسلامة في العمل، و1.57 مليون متخصص من جميع أنواع المؤسسات. وفي المؤسسات الكبرى، تنظم حملات التوعية عادة في المصنع أو الورشة أو على مستوى الفريق.</w:t>
      </w:r>
    </w:p>
    <w:p w:rsidR="00000000" w:rsidRDefault="00000000">
      <w:pPr>
        <w:spacing w:line="380" w:lineRule="exact"/>
        <w:jc w:val="both"/>
        <w:rPr>
          <w:rFonts w:hint="cs"/>
          <w:rtl/>
          <w:lang w:eastAsia="en-US"/>
        </w:rPr>
      </w:pPr>
      <w:r>
        <w:rPr>
          <w:rFonts w:hint="cs"/>
          <w:rtl/>
          <w:lang w:eastAsia="en-US"/>
        </w:rPr>
        <w:t>61-</w:t>
      </w:r>
      <w:r>
        <w:rPr>
          <w:rFonts w:hint="cs"/>
          <w:rtl/>
          <w:lang w:eastAsia="en-US"/>
        </w:rPr>
        <w:tab/>
        <w:t>وتواصل الصين تعزيز علاقات التبادل والتعاون على الصعيد الدولي في مجال السلامة في العمل. فهي تربطها حالياً علاقات رسمية مع مؤسسات مهتمة بهذا الموضوع في أكثر من 20 بلداً وإقليماً. فقد تلقى 867 عاملاً تدريباً متخصصاً في كل من الصين واليابان في عام 2002 في إطار خطة خماسية مشتركة بين الصين واليابان من أجل تدريب التقنيين المعنيين بالسلامة في مناجم الفحم. وأقيمت علاقات تعاون رسمية بواسطة مذكرات تعاون وُقعت مع منظمات معنية بالسلامة في العمل في الولايات المتحدة والاتحاد الروسي والمملكة المتحدة وأستراليا. وفي آب/أغسطس 2002، شاركت الصين في المسابقة الدولية الثالثة للإنقاذ في المناجم التي نظمت في الولايات المتحدة، وهي المشاركة الأولى، وتُوّجت بالفوز بالمرتبة الأولى في مسابقة معدات التنفس والمرتبة الثالثة في الإنقاذ في حالات الطوارئ. واستضافت الصين في تشرين الأول/أكتوبر 2002، بالتعاون مع منظمة العمل الدولية، حلقة دراسية دولية عن السلامة في العمل بالتزامن مع "معرض تكنولوجيا ومعدات السلامة والصحة المهنيتين" الذي نظم في بكين. وقد عُرض في المعرض، الذي حضره نحو 600 مندوب من 30 بلداً وإقليماً، منتجات وتكنولوجيات جديدة من 140 صانعاً من الصين والخارج. كما استضافت الصين، بالتعاون مع منظمة العمل الدولية ومكتب هونغ كونغ للسلامة المهنية، حلقات دراسية عن بناء أحياء سالمة وعن ثقافة السلامة.</w:t>
      </w:r>
    </w:p>
    <w:p w:rsidR="00000000" w:rsidRDefault="00000000">
      <w:pPr>
        <w:spacing w:line="380" w:lineRule="exact"/>
        <w:jc w:val="both"/>
        <w:rPr>
          <w:rFonts w:hint="cs"/>
          <w:rtl/>
          <w:lang w:eastAsia="en-US"/>
        </w:rPr>
      </w:pPr>
      <w:r>
        <w:rPr>
          <w:rFonts w:hint="cs"/>
          <w:rtl/>
          <w:lang w:eastAsia="en-US"/>
        </w:rPr>
        <w:t>62-</w:t>
      </w:r>
      <w:r>
        <w:rPr>
          <w:rFonts w:hint="cs"/>
          <w:rtl/>
          <w:lang w:eastAsia="en-US"/>
        </w:rPr>
        <w:tab/>
        <w:t xml:space="preserve">وقد خطت الصين خطوات كبيرة في مجال السلامة في العمل بفضل التشريعات والتدابير الإدارية الواردة أعلاه. ففي عام 2001 انخفض عدد الحوادث المسفرة عن وفاة 10 أشخاص أو أكثر وإجمالي عدد الأشخاص ضحايا الحوادث، بنسبتي 18 في المائة و27.6 في المائة على التوالي مقارنة بالعام السابق. وانخفض معدل الحوادث ومجموع القتلى في المناجم والصناعات التحويلية بنسبة 30 في المائة و20.6 في المائة على التوالي، بما فيها انخفاض في عدد الحوادث في مناجم الفحم بنسبة 37 في المائة وفي عدد الوفيات بنسبة 30 في المائة. وانخفض عدد الحرائق الخطيرة وما ينجم عنها من قتلى بنسبتي 77.8 في المائة و92.4 في المائة على التوالي، في حين كان الانخفاض بنسبتي 23 في المائة و43 في المائة على التوالي في انفجارات مصانع الألعاب النارية. وانخفض عدد حوادث السير الخطيرة على الطرق بنسبة 32.8 في المائة وعدد القتلى بنسبة 29.8 في المائة. وفي عام 2002، كانت حالة السلامة في العمل في الصين مستقرة جداً مع استمرار انخفاض أعداد الحوادث الخطرة. فقد انخفض عدد الحوادث التي تسفر عن وفاة 10 أشخاص أو أكثر، وإجمالي عدد الأشخاص الذين يلقون حتفهم، بنسبتي 8.6 في المائة </w:t>
      </w:r>
      <w:r>
        <w:rPr>
          <w:rtl/>
          <w:lang w:eastAsia="en-US"/>
        </w:rPr>
        <w:br/>
      </w:r>
      <w:r>
        <w:rPr>
          <w:rFonts w:hint="cs"/>
          <w:rtl/>
          <w:lang w:eastAsia="en-US"/>
        </w:rPr>
        <w:t>و8.4 في المائة على التوالي مقارنة بعام 2001. كما تحسن وضع السلامة في العمل في العديد من الصناعات ومجالات النشاط الاقتصادي الرئيسية، في حين تم التحكم بفعالية في الاتجاه نحو كثرة الحوادث في بعض المجتمعات المحلية.</w:t>
      </w:r>
    </w:p>
    <w:p w:rsidR="00000000" w:rsidRDefault="00000000">
      <w:pPr>
        <w:spacing w:line="380" w:lineRule="exact"/>
        <w:jc w:val="both"/>
        <w:rPr>
          <w:rFonts w:hint="cs"/>
          <w:rtl/>
          <w:lang w:eastAsia="en-US"/>
        </w:rPr>
      </w:pPr>
      <w:r>
        <w:rPr>
          <w:rFonts w:hint="cs"/>
          <w:rtl/>
          <w:lang w:eastAsia="en-US"/>
        </w:rPr>
        <w:t>63-</w:t>
      </w:r>
      <w:r>
        <w:rPr>
          <w:rFonts w:hint="cs"/>
          <w:rtl/>
          <w:lang w:eastAsia="en-US"/>
        </w:rPr>
        <w:tab/>
        <w:t>ومع أن الوضع ككل في مجال السلامة في العمل في الصين قد تحسن، فإنه يظل يبعث على القلق ويقتضي التزاماً مسؤولاً وعلى الأجل الطويل، وذلك بسبب عوامل متعددة: ضعف الأسس التي انبنى عليها في أول الأمر؛ ووضع الاقتصاد الذي يوجد في مرحلة تحول؛ والبناء والتنمية؛ والمستويات السائدة في القدرة الإنتاجية والتطور العلمي؛ وضرورة إذكاء وعي السكان بالسلامة في العمل. ويعتبر تحقيق السلامة الحقيقية في العمل وحفظ حياة العمال وصحتهم من الأهداف الهامة والمنطلقات الأساسية في سبيل إيجاد مجتمع يتمتع فيه الجميع بالرفاهية. وستواصل الحكومة العمل على منطلق "السلامة والوقاية أولاً"، مبدية تصميماً أشد ومتخذة تدابير أقوى لضمان أن تعمّ ظروف سالمة في كل مكان عمل. ويرد أدناه موجز للمشاريع القادمة.</w:t>
      </w:r>
    </w:p>
    <w:p w:rsidR="00000000" w:rsidRDefault="00000000">
      <w:pPr>
        <w:spacing w:line="380" w:lineRule="exact"/>
        <w:jc w:val="both"/>
        <w:rPr>
          <w:rFonts w:hint="cs"/>
          <w:rtl/>
          <w:lang w:eastAsia="en-US"/>
        </w:rPr>
      </w:pPr>
      <w:r>
        <w:rPr>
          <w:rFonts w:hint="cs"/>
          <w:rtl/>
          <w:lang w:eastAsia="en-US"/>
        </w:rPr>
        <w:t>64-</w:t>
      </w:r>
      <w:r>
        <w:rPr>
          <w:rFonts w:hint="cs"/>
          <w:rtl/>
          <w:lang w:eastAsia="en-US"/>
        </w:rPr>
        <w:tab/>
        <w:t>وتعتزم الدولة تعزيز الأسس القانونية والنظامية للسلامة في العمل عن طريق تنفيذ قانون السلامة في العمل تنفيذاً شاملاً، وعن طريق إنشاء آليات ثابتة لضمان السلامة في العمل. ويشمل ذلك وضع مجموعات من اللوائح ملحقة بالقانون: ففي عام 2003، سيصدر نحو 30 مجموعة من القواعد واللوائح، في حين سيوضع ويعدَّل 38 معياراً وطنياً لتعزيز السلامة في أماكن العمل وتوفير ضمانات قانونية لهذا الغرض. ويتعيّن، بموجب القانون، تعزيز تحديد سلّم المسؤولية في مجال السلامة في العمل على صعيد الحكومة والإدارة وعلى الصعيد الصناعي، بغية ضمان أن تتحقق فعلاً السلامة في أماكن العمل على المستوى الشعبي. وسيشترط على المؤسسات تعزيز التزامها بالسلامة في العمل وتوفير مرافق أساسية أفضل. ومن المزمع وضع نظام لتوثيق تدابير الصحة والسلامة المهنيتين، وتعزيز الجهود الرامية إلى الوقاية من الأخطار المهنية، واتخاذ المزيد من الإجراءات لإقامة نظام متين في مجال تأمين تعويض العمال.</w:t>
      </w:r>
    </w:p>
    <w:p w:rsidR="00000000" w:rsidRDefault="00000000">
      <w:pPr>
        <w:spacing w:line="380" w:lineRule="exact"/>
        <w:jc w:val="both"/>
        <w:rPr>
          <w:rFonts w:hint="cs"/>
          <w:rtl/>
          <w:lang w:eastAsia="en-US"/>
        </w:rPr>
      </w:pPr>
      <w:r>
        <w:rPr>
          <w:rFonts w:hint="cs"/>
          <w:rtl/>
          <w:lang w:eastAsia="en-US"/>
        </w:rPr>
        <w:t>65-</w:t>
      </w:r>
      <w:r>
        <w:rPr>
          <w:rFonts w:hint="cs"/>
          <w:rtl/>
          <w:lang w:eastAsia="en-US"/>
        </w:rPr>
        <w:tab/>
        <w:t xml:space="preserve">وستستمر الصين في التركيز على تبديد أوجه القلق إزاء السلامة في العمل في مجالات معينة ومحددة. ويتجلى أحدها في الصناعات المتميزة، حيث يجب التشديد على وضع نظم سليمة لإدارة السلامة في العمل تتقيد بالقانون في مناجم الفحم والنقل والمواد الكيميائية الخطرة. وعلى أساس العمل في مثل هذه المجالات المحددة، سيُحرز تقدم صوب تقييس نظم إدارة السلامة ككل. ويتجلى الوجه الثاني في مناطق وميادين محددة </w:t>
      </w:r>
      <w:r>
        <w:rPr>
          <w:rtl/>
          <w:lang w:eastAsia="en-US"/>
        </w:rPr>
        <w:t>–</w:t>
      </w:r>
      <w:r>
        <w:rPr>
          <w:rFonts w:hint="cs"/>
          <w:rtl/>
          <w:lang w:eastAsia="en-US"/>
        </w:rPr>
        <w:t xml:space="preserve"> من مقاطعات ومدن وطرق سريعة ومجار مائية، حيث كانت نسبة الحوادث مرتفعة في السنوات الأخيرة - إذ ينبغي أن يفضي تعزيز الرصد والمراقبة واتخاذ الإجراءات الوقائية إلى تقليص احتمال حصول حوادث خطيرة. ويتجلى الوجه الثالث في المؤسسات الرئيسية، ولا سيما تلك التي تعمل في مناجم الفحم، حيث يُعتاد حدوث كوارث يتسبب فيها الغاز. وقد وضعت سياسة صارمة في هذا المجال: " تنظيف الهواء أولاً قبل العمل في المنجم؛ رصد صارم ومراقبة دقيقة؛ التهوية تقرر الإنتاج"، أي أن الحد من الحوادث الخطيرة في صناعة مناجم الفحم يعد من المبادئ الأساسية. ويتعلق الوجه الرابع من أوجه القلق بتعزيز رصد قضايا السلامة ومعالجتها في المؤسسات الصغيرة والمتوسطة. أما الوجه الخامس فيتمثل في فرض عقوبات قاسية على انتهاك القوانين واللوائح المتعلقة بالسلامة في أماكن العمل، وهي ضرورية لضمان أن تنفَّذ القوانين تنفيذاً شاملاً وأن يتقيّد بها الجميع.</w:t>
      </w:r>
    </w:p>
    <w:p w:rsidR="00000000" w:rsidRDefault="00000000">
      <w:pPr>
        <w:spacing w:line="380" w:lineRule="exact"/>
        <w:jc w:val="both"/>
        <w:rPr>
          <w:rFonts w:hint="cs"/>
          <w:rtl/>
          <w:lang w:eastAsia="en-US"/>
        </w:rPr>
      </w:pPr>
      <w:r>
        <w:rPr>
          <w:rFonts w:hint="cs"/>
          <w:rtl/>
          <w:lang w:eastAsia="en-US"/>
        </w:rPr>
        <w:t>66-</w:t>
      </w:r>
      <w:r>
        <w:rPr>
          <w:rFonts w:hint="cs"/>
          <w:rtl/>
          <w:lang w:eastAsia="en-US"/>
        </w:rPr>
        <w:tab/>
        <w:t>وستواصل الحكومة تعزيز قدراتها في مجال رصد السلامة في العمل والتحقيق بشأنها في الوقت الذي تشجع تنفيذ جميع تدابير السلامة وتحدد مجالات المسؤولية. وسيطلب من جميع السلطات الحكومية المحلية والإدارات ووحدات العمل بجميع أنواعها أن تحدد وتعالج بدقة مصادر الحوادث المحتملة والأخطار الخفية، خاصة في المناطق المكتظة مثل محطات الحافلات والقطارات والموانئ والمطارات والمراكز التجارية ومراكز الترفيه والمواقع السياحية. ويجب تقييم هذه المجالات بدقة من حيث المخاطر المحتملة؛ ومتى تم تحديد أي منها لزم معالجته في غضون مدة محددة ووجب تعيين المسؤولية لأغراض المحاكمة. ومتى لم تُستوف شروط السلامة الأساسية، أمكن وقف العمل أو حركة المرور ريثما تُتخذ الإجراءات التصحيحية اللازمة، بل إن المؤسسة الجانية قد تتعرض للإغلاق. ويجري حالياً وضع نظم للإخطار بالمخاطر ولإشراف الجمهور على السلامة في أماكن العمل.</w:t>
      </w:r>
    </w:p>
    <w:p w:rsidR="00000000" w:rsidRDefault="00000000">
      <w:pPr>
        <w:spacing w:line="380" w:lineRule="exact"/>
        <w:jc w:val="both"/>
        <w:rPr>
          <w:rFonts w:hint="cs"/>
          <w:rtl/>
          <w:lang w:eastAsia="en-US"/>
        </w:rPr>
      </w:pPr>
      <w:r>
        <w:rPr>
          <w:rFonts w:hint="cs"/>
          <w:rtl/>
          <w:lang w:eastAsia="en-US"/>
        </w:rPr>
        <w:t>67-</w:t>
      </w:r>
      <w:r>
        <w:rPr>
          <w:rFonts w:hint="cs"/>
          <w:rtl/>
          <w:lang w:eastAsia="en-US"/>
        </w:rPr>
        <w:tab/>
        <w:t>واستناداً إلى سياسة تتوخى الحذر، ستجدّ الصين في وضع آليات ثابتة لضمان السلامة في العمل، وستسرّع العمل على "الأهداف الثلاثة الكبرى" (وهي إقامة نظم وآليات عمل في مجال إدارة السلامة؛ وتطوير الهياكل القانونية؛ وتنمية القدرات البشرية) في الوقت الذي تسرِّع تطوير "نظم الدعم الستة" (وهي قوانين السلامة في العمل؛ وموارد المعلومات؛ والمرافق التقنية؛ والتثقيف والإعلان؛ والتدريب؛ ونظم الإنقاذ في المناجم) وإنشاء هيكل جديد للسلامة في العمل مع توفير الحكومة لقيادة موحدة، وتنفيذ الإدارات لواجباتها في مجال الإشراف طبقاً للقانون، وتحمل المؤسسات لمسؤولياتها، وتوفير المجتمع ككل للمراقبة والدعم. ومن جوانب هذا الالتزام تعزيز القيادة بإنشاء نظم للإشراف ونظام قانوني بشأن الموضوع. ويجري إدماج السلامة في العمل في التخطيط الاقتصادي ونظام تقييم الأهداف، في حين توضع آليات متينة في مجال الإدارة متاحة للقيادة وتنسيق أفرقة العمل بشأن الموضوع. والجانب الثاني هو اتخاذ المزيد من الإجراءات لوضع نظام للتوجيه يتولاه المسؤولون في الإدارات الحكومية على جميع المستويات بحيث تحدَّد مجالات المسؤولية عن السلامة في أماكن العمل في الإدارات الحكومية وداخل المؤسسات ويُتقيد بها. ويسمح ذلك بالتحقيق الدقيق وتحديد المسؤوليات، ويشجع كل المعنيين على الوفاء بمسؤولياتهم. والجانب الثالث هو استيعاب مسائل السلامة في المؤسسات، وبذل جهود متواصلة لتحسين آليات السلامة في العمل، في الوقت الذي ترُصد ويُتحقق من تقيدها بمختلف نظم ضمانات السلامة. ويتعلق الجانب الرابع ببذل المزيد من الجهود في مجال التثقيف بقضايا السلامة والتدريب عليها، بغية زيادة الوعي بالسلامة في أماكن العمل ووعي السكان ككل.</w:t>
      </w:r>
    </w:p>
    <w:p w:rsidR="00000000" w:rsidRDefault="00000000">
      <w:pPr>
        <w:spacing w:before="180" w:after="180" w:line="360" w:lineRule="exact"/>
        <w:jc w:val="both"/>
        <w:rPr>
          <w:rFonts w:hint="cs"/>
          <w:rtl/>
          <w:lang w:eastAsia="en-US"/>
        </w:rPr>
      </w:pPr>
      <w:r>
        <w:rPr>
          <w:rFonts w:hint="cs"/>
          <w:rtl/>
          <w:lang w:eastAsia="en-US"/>
        </w:rPr>
        <w:t>68-</w:t>
      </w:r>
      <w:r>
        <w:rPr>
          <w:rFonts w:hint="cs"/>
          <w:rtl/>
          <w:lang w:eastAsia="en-US"/>
        </w:rPr>
        <w:tab/>
        <w:t xml:space="preserve">وستواصل الصين تعزيز علاقاتها الدولية في مجالي التبادل والتعاون، وستستند إلى تجارب البلدان الأخرى الأكثر تقدما وتتعلم منها بتفانٍ في مجال السلامة في العمل مع تكييف المعلومات المستقاة من تلك التجارب مع الواقع الصيني بحيث تُستعمل الاستعمال الحسن على الصعيد الوطني. وستعمل بهمة على تطوير تعاونها في مجال السلامة في العمل مع منظمة العمل الدولية والرابطة الدولية للضمان الاجتماعي وغيرهما من المنظمات، وتسريع الترويج للتدريب على السلامة، والدراسات القانونية في مجال السلامة في العمل، ونظم إحصاء الحوادث والإبلاغ عنها، ونظم الإدارة في مجالي السلامة والصحة المهنيتين، وغيرها من البرامج الدولية. وستوطد علاقات التعاون الثنائي مع الولايات المتحدة الأمريكية وألمانيا والمملكة المتحدة وبولندا وأستراليا والهند وغيرها من البلدان، كما ستتعاون على وضع برامج مشتركة مع الولايات المتحدة في مجال السلامة في المناجم، ومع اليابان في مجال التدريب على السلامة في مناجم الفحم، ومع ألمانيا في مجال إدارة السلامة في مناجم الفحم وبشأن المواد الكيميائية. وستستمر الصين في تنظيم واستضافة مؤتمرات دولية بشأن السلامة في العمل والمشاركة في اللقاءات الأكاديمية والتقنية الدولية في مجال السلامة وبرامج التدريب والمسابقات. وباختصار، ستعزز الصين السلامة في العمل عن طريق الانفتاح أكثر فأكثر على العالم الخارجي واعتماد رؤية أشمل، وعن طريق الجَدّ في تعزيز مكامن قوتها وتدارك مواطن ضعفها. </w:t>
      </w:r>
    </w:p>
    <w:p w:rsidR="00000000" w:rsidRDefault="00000000">
      <w:pPr>
        <w:spacing w:before="180" w:after="180" w:line="360" w:lineRule="exact"/>
        <w:jc w:val="center"/>
        <w:rPr>
          <w:rFonts w:hint="cs"/>
          <w:b/>
          <w:bCs/>
          <w:rtl/>
          <w:lang w:eastAsia="en-US"/>
        </w:rPr>
      </w:pPr>
      <w:r>
        <w:rPr>
          <w:rFonts w:hint="cs"/>
          <w:b/>
          <w:bCs/>
          <w:rtl/>
          <w:lang w:eastAsia="en-US"/>
        </w:rPr>
        <w:t>المادة 8</w:t>
      </w:r>
    </w:p>
    <w:p w:rsidR="00000000" w:rsidRDefault="00000000">
      <w:pPr>
        <w:spacing w:before="180" w:after="180" w:line="360" w:lineRule="exact"/>
        <w:jc w:val="center"/>
        <w:rPr>
          <w:rFonts w:hint="cs"/>
          <w:b/>
          <w:bCs/>
          <w:rtl/>
          <w:lang w:eastAsia="en-US"/>
        </w:rPr>
      </w:pPr>
      <w:r>
        <w:rPr>
          <w:rFonts w:hint="cs"/>
          <w:b/>
          <w:bCs/>
          <w:rtl/>
          <w:lang w:eastAsia="en-US"/>
        </w:rPr>
        <w:t>الحق في الانضمام إلى النقابات</w:t>
      </w:r>
    </w:p>
    <w:p w:rsidR="00000000" w:rsidRDefault="00000000">
      <w:pPr>
        <w:spacing w:before="180" w:after="180" w:line="360" w:lineRule="exact"/>
        <w:jc w:val="both"/>
        <w:rPr>
          <w:rFonts w:hint="cs"/>
          <w:spacing w:val="0"/>
          <w:rtl/>
        </w:rPr>
      </w:pPr>
      <w:r>
        <w:rPr>
          <w:rFonts w:hint="cs"/>
          <w:rtl/>
        </w:rPr>
        <w:t>69-</w:t>
      </w:r>
      <w:r>
        <w:rPr>
          <w:rFonts w:hint="cs"/>
          <w:rtl/>
        </w:rPr>
        <w:tab/>
        <w:t>وكانت الصين ولا تزال تولي اهتماماً كبيراً لحماية حقوق العمال وتعزيزها. فالدستور في الصين، وكذلك القانون المتعلق بنقابات العمال، وقانون العمل، والنظم الأساسية ذات الصلة تمنح بوضوح العمال حرية تكوين الجمعيات</w:t>
      </w:r>
      <w:r>
        <w:rPr>
          <w:rFonts w:hint="cs"/>
          <w:spacing w:val="0"/>
          <w:rtl/>
        </w:rPr>
        <w:t xml:space="preserve">، والحق في إنشاء نقابات العمال والانتماء إليها بمحض إرادتهم. وتنص المادة 35 من الدستور على ما يلي: </w:t>
      </w:r>
    </w:p>
    <w:p w:rsidR="00000000" w:rsidRDefault="00000000">
      <w:pPr>
        <w:spacing w:before="180" w:after="180" w:line="360" w:lineRule="exact"/>
        <w:ind w:left="720" w:hanging="720"/>
        <w:jc w:val="both"/>
        <w:rPr>
          <w:rFonts w:hint="cs"/>
          <w:rtl/>
        </w:rPr>
      </w:pPr>
      <w:r>
        <w:rPr>
          <w:rFonts w:hint="cs"/>
          <w:rtl/>
        </w:rPr>
        <w:tab/>
        <w:t>"يتمتع المواطنون في جمهورية الصين الشعبية بحرية التعبير، والصحافة، والتجمُّع، وتكوين الجمعيات، وتنظيم المسيرات والمظاهرات"</w:t>
      </w:r>
    </w:p>
    <w:p w:rsidR="00000000" w:rsidRDefault="00000000">
      <w:pPr>
        <w:spacing w:before="180" w:after="180" w:line="360" w:lineRule="exact"/>
        <w:ind w:left="720" w:hanging="720"/>
        <w:jc w:val="both"/>
        <w:rPr>
          <w:rFonts w:hint="cs"/>
          <w:rtl/>
        </w:rPr>
      </w:pPr>
      <w:r>
        <w:rPr>
          <w:rFonts w:hint="cs"/>
          <w:rtl/>
        </w:rPr>
        <w:t>وتنص المادة 3 من القانون المتعلق بنقابات العمال على ما يلي:</w:t>
      </w:r>
    </w:p>
    <w:p w:rsidR="00000000" w:rsidRDefault="00000000">
      <w:pPr>
        <w:spacing w:before="180" w:after="180" w:line="360" w:lineRule="exact"/>
        <w:ind w:left="720" w:hanging="720"/>
        <w:jc w:val="both"/>
        <w:rPr>
          <w:rFonts w:hint="cs"/>
          <w:rtl/>
        </w:rPr>
      </w:pPr>
      <w:r>
        <w:rPr>
          <w:rFonts w:hint="cs"/>
          <w:rtl/>
        </w:rPr>
        <w:tab/>
        <w:t>"يحق للعمال بالساعد والفكر العاملين في المشاريع والمؤسسات والهيئات القائمة في الصين، الذي يعتمدون على أجورهم كمصدر رئيسي للدخل، بغض النظر عن جنسهم وعرقهم وجنسهم ومهنتهم وعقيدتهم الدينية ومستواهم التعليمي، أن يشتركوا في نقابات العمال ويؤسسوها وفقاً لأحكام القانون. ولا يجوز لأي منظمات أو أفراد عرقلة ممارسة هذا الحق أو تقييده".</w:t>
      </w:r>
    </w:p>
    <w:p w:rsidR="00000000" w:rsidRDefault="00000000">
      <w:pPr>
        <w:spacing w:before="180" w:after="180" w:line="360" w:lineRule="exact"/>
        <w:jc w:val="both"/>
        <w:rPr>
          <w:rFonts w:hint="cs"/>
          <w:rtl/>
        </w:rPr>
      </w:pPr>
      <w:r>
        <w:rPr>
          <w:rFonts w:hint="cs"/>
          <w:rtl/>
        </w:rPr>
        <w:t>وتنص الفقرة 1 من المادة 7 من قانون العمل على ما يلي: "يتمتع العمال بحق المشاركة في نقابات العمال وتأسيسها وفقاً لأحكام القانون". وفي تشرين الأول/أكتوبر 2001، أجرت اللجنة الدائمة لمجلس الشعب الوطني تعديلاً على القانون المتعلق بنقابات العمال، ينص على المسؤولية القانونية التي تنشأ عن انتهاك حق العمال في تشكيل النقابات والانضمام إليها". وتنص المادة 50 من القانون المنقح على ما يلي:</w:t>
      </w:r>
    </w:p>
    <w:p w:rsidR="00000000" w:rsidRDefault="00000000">
      <w:pPr>
        <w:spacing w:line="380" w:lineRule="exact"/>
        <w:ind w:left="720" w:hanging="720"/>
        <w:jc w:val="both"/>
        <w:rPr>
          <w:rFonts w:hint="cs"/>
          <w:rtl/>
        </w:rPr>
      </w:pPr>
      <w:r>
        <w:rPr>
          <w:rFonts w:hint="cs"/>
          <w:rtl/>
        </w:rPr>
        <w:tab/>
        <w:t>"إن أي منظمة أو فرد يعرقلان حق العمال في تأسيس نقابات والانضمام إليها وفقاً لما تنص عليه القوانين، أو الجهود التي تبذلها نقابات العمال على مستويات رفيعة لمساعدة العمال وتوجيههم في إنشاء نقابات العمال، خرقاً لأحكام المادتين 3 و11 من القانون، توجه لهما إدارة العمل أمراً بالكف عن ذلك؛ وإذا رفضا الإذعان، يمكن للإدارة المذكورة أن تطلب إلى الحكومة الشعبية في مستوى المقاطعة أو في مستوى أعلى معالجة المسألة؛ وإذا حصلت نتائج خطرة بسبب استخدام وسائل مثل العنف والتهديدات بدافع العرقلة أو لأغراض إجرامية، ينبغي إثبات المسؤولية الجنائية وفقاً للقانون".</w:t>
      </w:r>
    </w:p>
    <w:p w:rsidR="00000000" w:rsidRDefault="00000000">
      <w:pPr>
        <w:spacing w:line="380" w:lineRule="exact"/>
        <w:jc w:val="both"/>
        <w:rPr>
          <w:rFonts w:hint="cs"/>
          <w:rtl/>
        </w:rPr>
      </w:pPr>
      <w:r>
        <w:rPr>
          <w:rFonts w:hint="cs"/>
          <w:rtl/>
        </w:rPr>
        <w:t xml:space="preserve">وتنص المادة 53 على أن "حل منظمات نقابات العمال أو ضمها بطريقة غير مشروعة ينبغي أن يصحَّح بأمر من الحكومة الشعبية على مستوى المقاطعة أو مستوى أعلى، وأن يعالَج وفقاً لأحكام القانون". </w:t>
      </w:r>
    </w:p>
    <w:p w:rsidR="00000000" w:rsidRDefault="00000000">
      <w:pPr>
        <w:spacing w:line="380" w:lineRule="exact"/>
        <w:jc w:val="both"/>
        <w:rPr>
          <w:rFonts w:hint="cs"/>
          <w:rtl/>
        </w:rPr>
      </w:pPr>
      <w:r>
        <w:rPr>
          <w:rFonts w:hint="cs"/>
          <w:rtl/>
        </w:rPr>
        <w:t>70-</w:t>
      </w:r>
      <w:r>
        <w:rPr>
          <w:rFonts w:hint="cs"/>
          <w:rtl/>
        </w:rPr>
        <w:tab/>
        <w:t>وتجدر الملاحظة هنا أنه مراعاة للأمن الوطني وصيانة النظام العام، ونظراً لأن الخدمة العسكرية في الصين إلزامية، لا يُعتبَر أعضاء القوات المسلحة في الجيش والشرطة أثناء مباشرتهم للخدمة الفعلية عمالاً تمثل الأجور مصدر دخلهم الرئيسي، ولا يجوز لهم تأسيس نقابات عمال أو الانضمام إليها.</w:t>
      </w:r>
    </w:p>
    <w:p w:rsidR="00000000" w:rsidRDefault="00000000">
      <w:pPr>
        <w:spacing w:line="380" w:lineRule="exact"/>
        <w:jc w:val="both"/>
        <w:rPr>
          <w:rFonts w:hint="cs"/>
          <w:rtl/>
        </w:rPr>
      </w:pPr>
      <w:r>
        <w:rPr>
          <w:rFonts w:hint="cs"/>
          <w:rtl/>
        </w:rPr>
        <w:t>71-</w:t>
      </w:r>
      <w:r>
        <w:rPr>
          <w:rFonts w:hint="cs"/>
          <w:rtl/>
        </w:rPr>
        <w:tab/>
        <w:t xml:space="preserve">وتنص المادة 2 من القانون المتعلق بنقابات العمال على ما يلي: "نقابات العمال هي منظمات جماهيرية تابعة للطبقة العاملة يؤسسها العمال بمحض إرادتهم. ويمثل اتحاد نقابات العمال في عموم الصين، وكل منظمات نقابات العمال المنضوية تحت لوائه، مصالح العمال ويدافع عن حقوقهم المشروعة وفقاً للقوانين". وتنص الفقرة 2 من المادة 7 على أن نقابات العمال تمثل حقوق العمال المشروعة ومصالحهم، وتدافع عنها، وتضطلع بأنشطتها بصورة مستقلة وفقاً للقوانين. وتمشياً مع أحكام القانون، أنشأت الصين اتحاداً مركزياً، وهو اتحاد نقابات العمال في عموم الصين، وذلك كنتيجة طبيعية لتطور تاريخي لحركة العمال في الصين. وهو خيار يترجم إرادة مئات الملايين من العمال ويخدم مصلحة نقابات العمال بحيث تمثل وتحمي مصالح الجماهير الواسعة من العمال. ويقوم اتحاد نقابات العمال في عموم الصين والمنظمات النقابية العديدة المنضوية تحت لوائه بعمل رائع مكَّنه من اكتساب الثقة الواسعة لجماهير العمال العريضة. </w:t>
      </w:r>
    </w:p>
    <w:p w:rsidR="00000000" w:rsidRDefault="00000000">
      <w:pPr>
        <w:spacing w:line="380" w:lineRule="exact"/>
        <w:jc w:val="both"/>
        <w:rPr>
          <w:rFonts w:hint="cs"/>
          <w:rtl/>
        </w:rPr>
      </w:pPr>
      <w:r>
        <w:rPr>
          <w:rFonts w:hint="cs"/>
          <w:rtl/>
        </w:rPr>
        <w:t>72-</w:t>
      </w:r>
      <w:r>
        <w:rPr>
          <w:rFonts w:hint="cs"/>
          <w:rtl/>
        </w:rPr>
        <w:tab/>
        <w:t xml:space="preserve">تنشط نقابات العمال الصينية بمختلف مستوياتها، وتسعى جاهدة إلى تنظيم الجماهير العريضة من العمال داخل نقابات العمال، وذلك تمشياً مع القوانين. وفي موفى حزيران/يونيه 2002، بلغ عدد نقابات العمال الشعبية في البلد 000 658 1 نقابة تعد نحو 131 مليون عضو. وفي الوقت نفسه، قامت نقابات العمال بمختلف مستوياتها، في إطار تكيفها مع الإصلاحات الاقتصادية في الصين والتغيرات الهيكلية فيما يتعلق بنظم الملكية، بابتكارات جريئة فيما يتعلق بتنظيمها، وآليات عملها، وصيغ نشاطها، واضطلاعها بواجباتها، حيث أنشأت تدريجياً نظاماً لتوسيع نطاق التنظيم النقابي ليشمل المدن الصغيرة، والأحياء السكنية، والمجتمعات المحلية، ومناطق التنمية الاقتصادية والتقنية، والمناطق الصناعية، وحضائر التكنولوجيا العالية، والقرى الإدارية. وفي القرى الصغيرة، والأحياء المنتشرة في مختلف أنحاء البلاد، يبلغ عدد المؤسسات المنظَّمة نقابياً 784 37 مؤسسـة (94 فـي المائة) و300 5 مؤسسة (93 في المائة) على التوالي. </w:t>
      </w:r>
    </w:p>
    <w:p w:rsidR="00000000" w:rsidRDefault="00000000">
      <w:pPr>
        <w:spacing w:line="380" w:lineRule="exact"/>
        <w:jc w:val="both"/>
        <w:rPr>
          <w:rFonts w:hint="cs"/>
          <w:rtl/>
        </w:rPr>
      </w:pPr>
      <w:r>
        <w:rPr>
          <w:rFonts w:hint="cs"/>
          <w:rtl/>
        </w:rPr>
        <w:t>73-</w:t>
      </w:r>
      <w:r>
        <w:rPr>
          <w:rFonts w:hint="cs"/>
          <w:rtl/>
        </w:rPr>
        <w:tab/>
        <w:t>تنشط نقابات العمال في الصين، بمختلف مستوياتها، من خلال قنوات متعددة، مثل المؤتمرات المشتركة مع الأصعدة المماثلة للحكومة والإدارات ذات الصلة، لتنسيق علاقات العمل مع الحكومة ومنظمات أرباب العمل. وتؤكد المناقشات الثلاثية على تعزيز التنسيق بين القضايا المتعلقة برصد العمل والضمان الاجتماعي، ورصد نقابات العمال وقانون العمل. كما تشارك نقابات العمال في صياغة القوانين والسياسات العامة ذات الصلة بمعايير العمل الوطنية ومصالح العمال الحيوية، عارضة آراءها ومتقدمة باقتراحاتها فيما يتعلق بالسياسات العامة، بحيث تمكنت من تحقيق إنجازات كبرى فيما يتصل بمشاركة القاعدة وتوفير الضمانات على الصعيد الكلي. ومنذ إنشاء نظام المؤتمرات الوطنية الثلاثية المعنية بتنسيق علاقات العمل في آب/أغسطس 2001، عُقدت أربعة مؤتمرات وطنية. وعلى مستوى المقاطعات، أُنشئت نظم لمؤتمرات العمل الثلاثية في 30 مقاطعة ومنطقة مستقلة ذاتياً وبلدية خاضعة للحكم المباشر. واتخذت 17 منها ترتيبات لإنشاء مؤتمرات مشتركة، في حين تعمل في الوقت الراهن 21 من المقاطعات والمناطق والبلديات التي اتخذت تدابير لإنشاء المؤتمرات المشتركة على توسيع نطاقها لتشمل مدنها وأقاليمها. وخلال السنوات الخمس الأخيرة وحدها، ساعدت نقابات العمال في صياغة 264 1 من النظم الأساسية والسياسات العامة السارية المفعول ذات العلاقة بالمصالح الحيوية للعمال.</w:t>
      </w:r>
    </w:p>
    <w:p w:rsidR="00000000" w:rsidRDefault="00000000">
      <w:pPr>
        <w:spacing w:line="380" w:lineRule="exact"/>
        <w:jc w:val="both"/>
        <w:rPr>
          <w:rFonts w:hint="cs"/>
          <w:rtl/>
        </w:rPr>
      </w:pPr>
      <w:r>
        <w:rPr>
          <w:rFonts w:hint="cs"/>
          <w:rtl/>
        </w:rPr>
        <w:t>74-</w:t>
      </w:r>
      <w:r>
        <w:rPr>
          <w:rFonts w:hint="cs"/>
          <w:rtl/>
        </w:rPr>
        <w:tab/>
        <w:t xml:space="preserve">وتعمل الصين على تطوير نظام للمشاورات والاتفاقات الجماعية بين الأقران. وفي موفى حزيران/يونيه 2002، عملت على هذا النحو 000 635 مؤسسة في مختلف أنحاء البلد، تمثل 48.7 في المائة من المؤسسات المنظَّمة نقابياً ومجموع 80 مليون عامل. ومن أصل هذه المؤسسات هناك نحو 000 375 مؤسسة غير مملوكة للقطاع العام. كما تعمل النقابات في الصين بنشاط على تطوير هذا النظام في أقاليم ومهن محدَّدة؛ وقد جرى </w:t>
      </w:r>
      <w:r>
        <w:rPr>
          <w:rFonts w:hint="cs"/>
          <w:spacing w:val="0"/>
          <w:rtl/>
        </w:rPr>
        <w:t>التوقيع على نحو 500 25 اتفاق جماعي خاص بأقاليم أو مهن محددة في كامل أرجاء البلد شملت نحو 800</w:t>
      </w:r>
      <w:r>
        <w:rPr>
          <w:rFonts w:hint="cs"/>
          <w:rtl/>
        </w:rPr>
        <w:t xml:space="preserve"> 328 مؤسسة. وبالإضافة إلى ذلك، عقدت 000 30 مؤسسة موزعة على مختلف أنحاء البلد مفاوضات جماعية خاصة بالأجور، ووقَّعت على اتفاقات جماعية تتعلق بالأجور.</w:t>
      </w:r>
    </w:p>
    <w:p w:rsidR="00000000" w:rsidRDefault="00000000">
      <w:pPr>
        <w:spacing w:line="380" w:lineRule="exact"/>
        <w:jc w:val="both"/>
        <w:rPr>
          <w:rFonts w:hint="cs"/>
          <w:rtl/>
        </w:rPr>
      </w:pPr>
      <w:r>
        <w:rPr>
          <w:rFonts w:hint="cs"/>
          <w:rtl/>
        </w:rPr>
        <w:t>75-</w:t>
      </w:r>
      <w:r>
        <w:rPr>
          <w:rFonts w:hint="cs"/>
          <w:rtl/>
        </w:rPr>
        <w:tab/>
        <w:t xml:space="preserve">ينظَّم العمال في إطار النقابات لعقد انتخابات ديمقراطية، وصياغة السياسات العامة ديمقراطياً، والتصرف بطريقة ديمقراطية، والرصد بطريقة ديمقراطية. وتمشياً مع القوانين، تسعى نقابات العمال جاهدة إلى تعزيز الإدارة الديمقراطية على مستوى القاعدة. وفي المؤسسات المملوكة للقطاع العام، لا تزال نقابات العمال تحتفظ بالنظام القائم على جمعيات ممثلي العمال، في حين تسعى بثبات، في المؤسسات غير المملوكة للقطاع العام، إلى اتباع خط توجيهي يقوم على حماية الحقوق والمصالح الشرعية للعمال، وتتعاون في نفس الوقت فيما بينها من أجل تطوير المؤسسة. وتعمل بنشاط على استكشاف السبل التي تكفل لها التكيف مع واقع مؤسساتها، وتسعى إلى تعزيز الإدارة الديمقراطية لشؤون العمال في المؤسسات غير المملوكة للقطاع العام، بحيث تضمن، في إطار القضايا التي تتعلق بالمصالح الحيوية للعمال، الدفاع عن الحقوق التي تمنحها القوانين للعمال </w:t>
      </w:r>
      <w:r>
        <w:rPr>
          <w:rtl/>
        </w:rPr>
        <w:t>–</w:t>
      </w:r>
      <w:r>
        <w:rPr>
          <w:rFonts w:hint="cs"/>
          <w:rtl/>
        </w:rPr>
        <w:t xml:space="preserve"> وهي حقهم في أن يكونوا على علم تام بالحالات، وأن يتفاوضوا ويرصدوا مدى التزام المؤسسة بتنفيذ القوانين والسياسات الوطنية وبإعمال الاتفاقات الجماعية. وفي موفى حزيران/يونيه 2002، بلغ عدد المؤسسات التي لها مجالس ممثلي العمال000 327 مؤسسة في مختلف أنحاء البلاد؛ واتبعت أكثر من 000 251 مؤسسة سياسات تقوم على حرية تدفق المعلومات؛ وكان هناك نحو 000 187 مؤسسة مملوكة للقطاع العام تعتمد نظماً تقوم على تولي مجالس ممثلي العمال تقييم قادة المؤسسات بطريقة ديمقراطية؛ في حين كانت 000 189 مؤسسة تعتمد نظماً تبلَّغ في إطارها إلى مجالس ممثلي العمال المعلومات المتعلقة باستخدام نفقات الشركة المخصصة للترفيه، وهناك 350 38 مؤسسة مملوكة للقطاع العام فتحت للعمال باب العضوية في مجلس إدارتها، بينما اعتمدت 573 39 مؤسسة مملوكة للقطاع العام نظماً تخول للموظفين مراقبة شؤون الشركة.</w:t>
      </w:r>
    </w:p>
    <w:p w:rsidR="00000000" w:rsidRDefault="00000000">
      <w:pPr>
        <w:spacing w:line="380" w:lineRule="exact"/>
        <w:jc w:val="both"/>
        <w:rPr>
          <w:rFonts w:hint="cs"/>
          <w:rtl/>
        </w:rPr>
      </w:pPr>
      <w:r>
        <w:rPr>
          <w:rFonts w:hint="cs"/>
          <w:rtl/>
        </w:rPr>
        <w:t>76-</w:t>
      </w:r>
      <w:r>
        <w:rPr>
          <w:rFonts w:hint="cs"/>
          <w:rtl/>
        </w:rPr>
        <w:tab/>
        <w:t>تُعنى نقابات العمال بتوظيف العمال الذين يعانون أوضاعاً صعبة، وبأسباب معيشتهم. ولحماية حقوق هؤلاء العمال المشروعة ومصالحهم، تدير نقابات العمال "مشاريع رعاية"، وتشجع على إعادة توظيف العمال المسرَّحين، وتنشئ مراكز لمساندة العمال الذين يعانون أوضاعاً صعبة في المدن الرئيسية، وتدمج أنشطتها مع إدخال تحسينات على نظام الضمان الاجتماعي. وخلال السنوات الأخيرة، جمعت نقابات العمال بمختلف مستوياتها، من خلال قنوات متعددة، مساعدات مالية بلغ مجموعها 10.4 مليارات يوان، وقامت بتوزيعها، وأجرت زيارات تعاطف إلى 000 480 مؤسسة تواجه صعوبات و39.75 مليون أسرة تعاني أوضاعاً صعبة. وهناك في مختلف أنحاء البلد 447 نقابة تنشط على صعيد المدينة/المنطقة، ومعظمها من نقابات العمال التي تنشط على صعيد المقاطعة/الإقليم و000 180 نقابة على المستوى الشعبي، أنشأت ملفات خاصة بالعمال الذين يعانون أوضاعاً صعبة، في حين أقام أكثر من 000 80 من الكوادر علاقات مساعَدة واتصال مع زهاء مليون أسرة معيشية يعيلها عمال يعانون أوضاعاً صعبة. وأنشأت نقابات العمال نحو 000 6 من مراكز التدريب حيث حضر عمال مسرَّحون ما يزيد على 3.2 ملايين ساعة تدريس، كما أنشأت نحو 000 4 مركز عمل وأوجدت 3 ملايين فرصة عمل جديدة لصالح المسرَّحين والعاطلين عن العمل. وبفضل إنشاء أسواق تجارية تقوم على تقديم الغوث ومراكز إنتاج تعتمد على الجهود الذاتية، مكَّنت نقابات العمال 000 650 عامل آخر من الحصول على عمل جديد. وأثناء عطلة الربيع وعيد رأس السنة (رأس السنة الصينية)، بادرت نحو 600 نقابة تنشط على مستوى المدن وعلى مستويات أعلى، بتزويد العمال بخطوط هاتفية مباشرة لتمكينهم من الاتصال بأسرهم.</w:t>
      </w:r>
    </w:p>
    <w:p w:rsidR="00000000" w:rsidRDefault="00000000">
      <w:pPr>
        <w:spacing w:line="380" w:lineRule="exact"/>
        <w:jc w:val="both"/>
        <w:rPr>
          <w:rFonts w:hint="cs"/>
          <w:rtl/>
        </w:rPr>
      </w:pPr>
      <w:r>
        <w:rPr>
          <w:rFonts w:hint="cs"/>
          <w:rtl/>
        </w:rPr>
        <w:t>77-</w:t>
      </w:r>
      <w:r>
        <w:rPr>
          <w:rFonts w:hint="cs"/>
          <w:rtl/>
        </w:rPr>
        <w:tab/>
        <w:t>وفي إطار عملية إنشاء نظام شامل للضمان الاجتماعي، تمثل نقابات العمال الجماهير العريضة من العمال في دراسة وصياغة القوانين والسياسات المتعلقة بالضمان الاجتماعي. وتعبر النقابات من خلال تقديم آرائها واقتراحاتها عن رغبات العمال. وخلال السنوات الأخيرة، شاركت نقابات العمال في دراسة وصياغة قانون العمل، ومشروع قانون التأمين الاجتماعي، والتدابير المؤقتة المتعلقة بجمع تبرعات التأمين الاجتماعي، وخطط التأمين على الشيخوخة والمرض. وترصد عن كثب جمع التبرعات لصالح صندوق التأمين الاجتماعي والتصرف بها، كما ترصد تنفيذ السياسات العامة من جانب هذه الصناديق؛ وقد حثت الحكومة على توسيع نطاق تغطية الضمان الاجتماعي، وتوصلت إلى إعمال جميع الحقوق المتصلة بالتأمين الاجتماعي التي تخولها القوانين للعمال. كما عملت بنشاط على تطوير برامج للمساعدة التعاونية الطوعية تمولها التبرعات الفردية للعمال؛ وتوفر هذه البرامج مساعدة اقتصادية معينة بالإضافة إلى التأمين الاجتماعي الأساسي الذي توفره الدولة لصالح العمال ضحايا الأخطار أو الحوادث أو الكوارث. وفي موفى عام 2002، بلغ عدد برامج المساعدة التعاونية للعمال التي تديرها النقابات أكثر من 000 80 برنامج، يبلغ عدد الأعضاء فيها نحو 24 مليون عضو.</w:t>
      </w:r>
    </w:p>
    <w:p w:rsidR="00000000" w:rsidRDefault="00000000">
      <w:pPr>
        <w:spacing w:line="380" w:lineRule="exact"/>
        <w:jc w:val="both"/>
        <w:rPr>
          <w:rFonts w:hint="cs"/>
          <w:rtl/>
        </w:rPr>
      </w:pPr>
      <w:r>
        <w:rPr>
          <w:rFonts w:hint="cs"/>
          <w:rtl/>
        </w:rPr>
        <w:t>78-</w:t>
      </w:r>
      <w:r>
        <w:rPr>
          <w:rFonts w:hint="cs"/>
          <w:rtl/>
        </w:rPr>
        <w:tab/>
        <w:t xml:space="preserve">وتنشط نقابات العمال في مجال تطوير الخدمات القانونية الخاصة بالنقابات، وتقدم المساعدة القانونية وترصد تطبيق قانون العمل. وفي موفى حزيران/يونيه 2002، كان هناك 13 من الاتحادات النقابية العاملة على صعيد المقاطعات والمدن، تدير مجموع 739 منظمة معنية بالمساعدة القانونية والخدمات القانونية يبلغ عدد الموظفين الدائمين والمعارين بها 298 2 موظفاً، وتقدَّر الأموال المنفقة بها ب‍ 300 مليون يوان. وقدمت هذه المنظمات، التي تعمل على أساس طوعي، ردوداً على 000 178 من الاستفسارات القانونية؛ وعالجت المراسلات ونابت العمال في 000 14 حالة تندرج في إطار إجراءات تراضٍ؛ ومثلت العمال في 168 4 قضية </w:t>
      </w:r>
      <w:r>
        <w:rPr>
          <w:rFonts w:hint="cs"/>
          <w:spacing w:val="0"/>
          <w:rtl/>
        </w:rPr>
        <w:t xml:space="preserve">تتعلق بالتحكيم والتقاضي في مجال العمل، وقدمت المساعدة القانونية في إطار 000 196 قضية لصالح نحو 000 218 </w:t>
      </w:r>
      <w:r>
        <w:rPr>
          <w:rFonts w:hint="cs"/>
          <w:spacing w:val="20"/>
          <w:rtl/>
        </w:rPr>
        <w:t xml:space="preserve">عامل. وهناك في جميع أنحاء البلد 000 155 منظمة نقابية تعنى برصد تطبيق قوانين العمل، ولها ما يزيد على 000 33 مفتش. وأعارت الحكومة 800 3 من المفتشين المختصين في مجال العمل </w:t>
      </w:r>
      <w:r>
        <w:rPr>
          <w:rFonts w:hint="cs"/>
          <w:rtl/>
        </w:rPr>
        <w:t>("المفتشون المنسقون"). ويجلس نحو 585 15 من الممثلين النقابيين في لجان التحكيم المعنية بمنازعات العمل في مختلف أنحاء البلد. وفي الآن ذاته تدعم نقابات العمال بجميع مستوياتها، من خلال تشكيلة واسعة من التدابير، الحملات الخاصة برصد إنفاذ القانون المتعلق بنقابات العمال وقانون العمل والنظم الأساسية الأخرى ذات الصلة.</w:t>
      </w:r>
    </w:p>
    <w:p w:rsidR="00000000" w:rsidRDefault="00000000">
      <w:pPr>
        <w:spacing w:line="380" w:lineRule="exact"/>
        <w:jc w:val="both"/>
        <w:rPr>
          <w:rFonts w:hint="cs"/>
          <w:rtl/>
        </w:rPr>
      </w:pPr>
      <w:r>
        <w:rPr>
          <w:rFonts w:hint="cs"/>
          <w:rtl/>
        </w:rPr>
        <w:t>79-</w:t>
      </w:r>
      <w:r>
        <w:rPr>
          <w:rFonts w:hint="cs"/>
          <w:rtl/>
        </w:rPr>
        <w:tab/>
        <w:t>تعنى نقابات العمال بحماية وضمان حق العمال في الحصول على التدريب لاكتساب المهارات المهنية وذلك وفقاً لما تقتضيه القوانين. وتحث بنشاط كافة المستويات الحكومية على إدراج التدريب لاكتساب المهارات المهنية في خططها للتنمية الاقتصادية والاجتماعية. كما تعنى برصد المؤسسات وتشجعها على وضع وتعزيز خطط التدريب لاكتساب المهارات، وتساعد العمال بنشاط في مواكبة التطورات الأخيرة في المجالات العلمية والتقنية والثقافية والإدارية والقانونية. وتدير مجموعة متنوعة من المدارس والنوادي والمراكز الثقافية الخاصة بالعمال. وتسعى إلى تلبية الاحتياجات النفسية والثقافية للعمال على مختلف الأصعدة وفي مختلف المناصب. وفي موفى عام 2000، كانت النقابات بمختلف مستوياتها تدير على نحو مستقل ما يزيد على 400 2 مدرسة خاصة بالعمال بلغ عدد المسجَّلين فيها 000 543 شخص؛ و531 مركز تدريب من أصناف مختلفة؛ و713 مركزاً لإعادة التوظيف؛ و000 39 من النوادي والمراكز الثقافية الخاصة بالعمال؛ ونحو 000 20 مكتبة؛ و000 52 مركز رياضي، مُساهمةً بذلك في خلق حياة ثقافية ورياضية نشطة ومتنوعة للعمال. ومنذ عام 1983، يدير اتحاد نقابات العمال في عموم الصين حملة تدعو العمال إلى إجراء تقييم ذاتي بهدف تشجيعهم على الارتقاء بأنفسهم من خلال التعلم.</w:t>
      </w:r>
    </w:p>
    <w:p w:rsidR="00000000" w:rsidRDefault="00000000">
      <w:pPr>
        <w:spacing w:line="380" w:lineRule="exact"/>
        <w:jc w:val="both"/>
        <w:rPr>
          <w:rFonts w:hint="cs"/>
          <w:rtl/>
        </w:rPr>
      </w:pPr>
      <w:r>
        <w:rPr>
          <w:rFonts w:hint="cs"/>
          <w:rtl/>
        </w:rPr>
        <w:t>80-</w:t>
      </w:r>
      <w:r>
        <w:rPr>
          <w:rFonts w:hint="cs"/>
          <w:rtl/>
        </w:rPr>
        <w:tab/>
        <w:t>وفيما يتعلق بمسألة الإضرابات، ومع الاستثناء الصريح لموظفي الشرطة والعمال في المؤسسات الوطنية الذين يُمنَع عليهم الإضراب لأسباب تتعلق بالأمن الوطني والاستقرار الاجتماعي، فإن القوانين الراهنة في الصين لا تتطرق إلى مشكلات من هذا النوع. وأثناء تطور اقتصاد السوق الاشتراكي، مع ما ينطوي عليه من علاقات عمل أكثر فأكثر تعقيداً، يمكن أن يحدث في أماكن متعددة توقف عن العمل أو تباطؤ في أدائه. وتنص المادة 27 من القانون المتعلق بنقابات العمال على ما يلي: "في حالة الإضراب عن العمل إما بوقفه أو بالتباطؤ في أدائه داخل مشروع أو مؤسسة ما، تعقد نقابة العمال، بالنيابة عن العمال، مشاورات مع المشروع أو المؤسسة أو الأطراف المعنية، وتعرض آراء العمال وطلباتهم وتقترح الحلول. ويحاول المشروع أو المؤسسة تلبية الطلبات المعقولة المقدمة من العمال. وينبغي على نقابة العمال أن تساعد المشروع أو المؤسسة في معالجة المسألة وإعادة الإنتاج والعمل إلى المستويات العادية بأسرع وقت ممكن". ووفقاً لهذا النظام الأساسي، عندما يحدث توقف عن العمل أو تباطؤ في أدائه، تبلِّغ المنظمات النقابية على وجه السرعة إلى الأطراف المعنية الطلبات المعقولة المقدمة من العمال، وتبذل ما بوسعها بالنيابة عن العمال للتوصل إلى حل مُرضٍ وفي الوقت المناسب. ولا تقبل نقابات العمال في الصين الإضراب عن العمل كوسيلة لإزالة التناقضات في علاقات العمل؛ وتدعو إلى الاتصالات والمفاوضات الثنائية تمشياً مع الممارسة العادية لعلاقات العمل من أجل تسوية هذه المشكلات كلما نشأت. وتبين التجربة العملية أن المشاورات على أساس المساواة، والاتفاقات الجماعية، والطرق المماثلة أو إجراءات فض المنازعات العمالية هي الكفيلة بأن تفضي إلى حل الغالبية العظمى من المنازعات والخلافات. وعلاقات العمل المنسجمة والمستقرة هي التي تكفل بحق مصالح الجماهير العاملة.</w:t>
      </w:r>
    </w:p>
    <w:p w:rsidR="00000000" w:rsidRDefault="00000000">
      <w:pPr>
        <w:spacing w:line="380" w:lineRule="exact"/>
        <w:jc w:val="both"/>
        <w:rPr>
          <w:rFonts w:hint="cs"/>
          <w:rtl/>
        </w:rPr>
      </w:pPr>
      <w:r>
        <w:rPr>
          <w:rFonts w:hint="cs"/>
          <w:rtl/>
        </w:rPr>
        <w:t>81-</w:t>
      </w:r>
      <w:r>
        <w:rPr>
          <w:rFonts w:hint="cs"/>
          <w:rtl/>
        </w:rPr>
        <w:tab/>
        <w:t>وتسعى النقابات في الصين بنشاط إلى إقامة علاقات ودية مع المنظمات النقابية في شتى أصقاع العالم ومع منظمة العمل الدولية. وفي الفترة بين 1998 و2002، تلقى اتحاد نقابات العمال في عموم الصين زيارة 333 وفداً يعد في المجموع نحو 647 2 مندوباً من نقابات أجنبية، بينما أوفد الاتحاد إلى الخارج أثناء الفترة ذاتها 303 من الوفود التي ضمت نحو 625 1 مندوباً. وأثناء مؤتمر العمل الدولي لعام 2002، انتُخب مندوب صيني ممثل للعمال نائباً للرئيس ممثلاً للعمال في مجلس إدارة مكتب العمل الدولي. وتشهد نقابات العمال الصينية نمواً مطرداً من حيث تأثيرها وسمعتها الدولية، كما يكتسي دورها أهمية متزايدة.</w:t>
      </w:r>
    </w:p>
    <w:p w:rsidR="00000000" w:rsidRDefault="00000000">
      <w:pPr>
        <w:spacing w:line="380" w:lineRule="exact"/>
        <w:jc w:val="both"/>
        <w:rPr>
          <w:rFonts w:hint="cs"/>
          <w:rtl/>
        </w:rPr>
      </w:pPr>
      <w:r>
        <w:rPr>
          <w:rFonts w:hint="cs"/>
          <w:rtl/>
        </w:rPr>
        <w:t>82-</w:t>
      </w:r>
      <w:r>
        <w:rPr>
          <w:rFonts w:hint="cs"/>
          <w:rtl/>
        </w:rPr>
        <w:tab/>
        <w:t>ومع تجذر الإصلاحات الاقتصادية وانضمام البلد إلى منظمة التجارة العالمية، تواجه نقابات العمال الصينية أيضاً تحديات خطرة، مما اضطر اتحاد نقابات العمال في عموم الصين إلى البحث عن كثب عن فلسفات ومناهج جديدة في العمل. وأنماط التوظيف في الصين آخذة في التغير، حيث تستوعب المؤسسات غير المملوكة للقطاع العام أكثر فأكثر من القوى العاملة، وتزداد كل يوم أنواع العمل غير النظامي. وللاستجابة لهذه الأوضاع، اعتمد الاتحاد سياسة عامة تقوم على المبدأ التالي: "التنظيم النقابي واجب أينما وجد عمال". وفي عام 2002، جرى إنشاء نحو 000 014 1 نقابة عمال في المؤسسات القائمة على الاستثمار الأجنبي والتي يديرها الخواص، حيث بلغ عدد العاملين 40 مليون شخص. وفي ظل اقتصاد السوق الاشتراكي، ازدادت حقوق العمال ومصالحهم تعقيداً وتنوعت من حيث طبيعتها، وأسفرت التغيرات في النظم الاقتصادية عن ظهور مجموعات من العمال المحرومين. وظل الاتحاد ثابتاً في عزمه على ضبط الآليات التي تنظم علاقات العمل، من جهة، وعلى تحقيق الظروف العملية والواقعية لصالح الجماهير العاملة من جهة أخرى. وقد أثبتت هذه السياسة فعاليتها. وفي الوقت الراهن، يبلغ عدد العاملين بالفكر أو بالمعرفة 20 مليون شخص، أو 2 إلى 2.5 في المائة فقط من مجموع السكان، وهي نسبة بعيدة كل البعد عن تلبية الطلب الذي ولَّدَهُ دخول الصين عصر الحداثة. وتعتبر المستويات التعليمية في صفوف القوى العاملة الصينية منخفضة نسبياً، وهو ما يجعل من الصعب التكيف مع المنافسة الدولية منذ انضمام الصين إلى منظمة التجارة العالمية. وبناء عليه، جعل الاتحاد من تثقيف العمال وتزويدهم بثقافة عامة جيدة هدفاً ملحاً، وهو يكرس طاقة ضخمة لذلك الغرض.</w:t>
      </w:r>
    </w:p>
    <w:p w:rsidR="00000000" w:rsidRDefault="00000000">
      <w:pPr>
        <w:spacing w:line="380" w:lineRule="exact"/>
        <w:jc w:val="center"/>
        <w:rPr>
          <w:rFonts w:hint="cs"/>
          <w:b/>
          <w:bCs/>
          <w:rtl/>
        </w:rPr>
      </w:pPr>
      <w:r>
        <w:rPr>
          <w:rFonts w:hint="cs"/>
          <w:b/>
          <w:bCs/>
          <w:rtl/>
        </w:rPr>
        <w:t>المادة 9</w:t>
      </w:r>
    </w:p>
    <w:p w:rsidR="00000000" w:rsidRDefault="00000000">
      <w:pPr>
        <w:spacing w:line="380" w:lineRule="exact"/>
        <w:jc w:val="center"/>
        <w:rPr>
          <w:rFonts w:hint="cs"/>
          <w:b/>
          <w:bCs/>
          <w:rtl/>
        </w:rPr>
      </w:pPr>
      <w:r>
        <w:rPr>
          <w:rFonts w:hint="cs"/>
          <w:b/>
          <w:bCs/>
          <w:rtl/>
        </w:rPr>
        <w:t>الحق في الضمان الاجتماعي</w:t>
      </w:r>
    </w:p>
    <w:p w:rsidR="00000000" w:rsidRDefault="00000000">
      <w:pPr>
        <w:spacing w:line="380" w:lineRule="exact"/>
        <w:jc w:val="both"/>
        <w:rPr>
          <w:rFonts w:hint="cs"/>
          <w:rtl/>
        </w:rPr>
      </w:pPr>
      <w:r>
        <w:rPr>
          <w:rFonts w:hint="cs"/>
          <w:rtl/>
        </w:rPr>
        <w:t>83-</w:t>
      </w:r>
      <w:r>
        <w:rPr>
          <w:rFonts w:hint="cs"/>
          <w:rtl/>
        </w:rPr>
        <w:tab/>
        <w:t xml:space="preserve">تسعى الصين إلى بناء نظام شامل للضمان الاجتماعي يتلاءم مع هياكل اقتصاد السوق الاشتراكي. وبعد سنوات من الاستكشاف والممارسة، يجري بصورة تدريجية إحداث مكونات نظام اشتراكي للضمان الاجتماعي يقوم على التأمين الاجتماعي والرعاية الاجتماعية والاستحقاقات الاجتماعية والمساعدة التعاونية الاجتماعية التي تكشف مجموعة متنوعة من الطرق لجمع الأموال وتوفير خدمات الإدارة. وقد جرى فعلاً رسم السياسات الأساسية لنظام التأمين الاجتماعي، وسنها في شكل قانون ووضعها موضع النفاذ. وتشمل هذه السياسات الغالبية العظمى من عمال المدن النشطين والمتقاعدين. وهناك بعض الأقاليم التي وسعت في نطاق التغطية لتشمل عمال الريف النازحين الذي استقروا في المناطق الحضرية. وفي المدن، أنشئ نظام عام يضمن للسكان حد كفاف أدنى. </w:t>
      </w:r>
    </w:p>
    <w:p w:rsidR="00000000" w:rsidRDefault="00000000">
      <w:pPr>
        <w:spacing w:line="380" w:lineRule="exact"/>
        <w:jc w:val="both"/>
        <w:rPr>
          <w:rFonts w:hint="cs"/>
          <w:rtl/>
        </w:rPr>
      </w:pPr>
      <w:r>
        <w:rPr>
          <w:rFonts w:hint="cs"/>
          <w:rtl/>
        </w:rPr>
        <w:t>84-</w:t>
      </w:r>
      <w:r>
        <w:rPr>
          <w:rFonts w:hint="cs"/>
          <w:rtl/>
        </w:rPr>
        <w:tab/>
        <w:t>وبخصوص نظام معاشات الشيخوخة، شكل قرار بإنشاء مخطط موحد للتأمين الأساسي على الشيخوخة لصالح العمال، صدر في عام 1997، نقطة انطلاق برنامج موحد يشمل جميع أنحاء البلد لتوفير معاشات الشيخوخة الأساسية لصالح عمال المشاريع الحضرية. وبعد بضع سنوات من التنفيذ، انخرط في هذا النظام 147 مليون شخص، 36.08 مليون منهم يحصلون في الوقت الراهن على معاشات أساسية. وارتفع متوسط المعاشات الشهرية من 413 يوان في عام 1998 إلى 648 يوان في عام 2002. ولضمان الحفاظ على المعاشات الأساسية عند مستوى مناسب وتوزيعها في المواعيد المحددة، أخذت الحكومة أثناء السنوات الأخيرة في الرفع من التبرعات من الأموال العامة لصالح صناديق المعاشات التقاعدية، وسعت في الوقت ذاته إلى تحسين نظام المعاشات. وفي الفترة من 1998 إلى 2002، بلغت التبرعات الإضافية المقدمة من الإدارة المالية المركزية لصالح صناديق المعاشات التقاعدية الإقليمية 129.4 مليار يوان. وتوزع المعاشات في الوقت الحالي من جانب مؤسسات الخدمات الاجتماعية، كالمصارف ومكاتب البريد. وبلغت المعاشات التي وزعتها هذه المؤسسات في عام 2002 نسبة 99.4 في المائة. وفي عام 1991، شرعت بعض الأقاليم الريفية في الصين في خوض تجربة نظام معاشات الشيخوخة. وبما أن نموذج التمويل القائم على المدخرات الشخصية هو السائد، يمكن وصف الأساس الذي يقوم عليه نظام المعاشات التقاعدية في المناطق الحضرية كالآتي: "التبرعات الشخصية أولاً، والتبرعات الجماعية كتكملة، وسياسات الحكومة كدعم".</w:t>
      </w:r>
    </w:p>
    <w:p w:rsidR="00000000" w:rsidRDefault="00000000">
      <w:pPr>
        <w:spacing w:line="380" w:lineRule="exact"/>
        <w:jc w:val="both"/>
        <w:rPr>
          <w:rFonts w:hint="cs"/>
          <w:rtl/>
        </w:rPr>
      </w:pPr>
      <w:r>
        <w:rPr>
          <w:rFonts w:hint="cs"/>
          <w:rtl/>
        </w:rPr>
        <w:t>85-</w:t>
      </w:r>
      <w:r>
        <w:rPr>
          <w:rFonts w:hint="cs"/>
          <w:rtl/>
        </w:rPr>
        <w:tab/>
        <w:t>وفيما يتعلق بالتأمين الصحي، أصدرت الحكومة في عام 1998 قراراً بشأن إنشاء نظام للتأمين الصحي الأساسي لصالح عمال المدن، مستهلة بذلك نظاماً للتأمين الصحي الأساسي لصالح عمال المدن على نطاق وطني. ويغطي التأمين الصحي الأساسي كافة وحدات العمل في المناطق الحضرية في مختلف أرجاء الصين والعاملين فيها؛ ويمول هذا التأمين بالتبرعات المقدمة من أرباب العمل والعاملين. وفي موفى عام 2002، وضعت الغالبية العظمى من المدن الصينية خططاً للتأمين الصحي الأساسي لصالح العمال في المناطق التابعة لها، وشملت التغطية 94 مليون شخص. وبالاستناد إلى الخطة الأساسية، مضت المدن في إنشاء خطط للتعويض عن نفقات العلاج الباهظة ونظام آخر للتعويض لصالح الموظفين العموميين، بينما أنشأت مشاريع تلبي شروطاً محددة بدورها خططاً تكميلية لصالح عمالها. وكوسيلة لمعالجة المشكلات التي تعترض الفقراء فيما يتعلق بالأمن الصحي الأساسي، فإن الأقاليم في مختلف أنحاء البلاد بصدد إنشاء خطط اجتماعية للمساعدة الصحية. ومنذ عام 2000، طلبت حكومة الصين القيام بتنفيذ إصلاحات متزامنة في خطط التأمين الصحي الأساسي، وفي النظم الطبية والصحية وفي توزيع اللوازم الطبية. وبينما تشجع الحكومة المنافسة بين المؤسسات الطبية ودينامكية السوق في توزيع اللوازم الطبية، فإنها تسعى إلى تحقيق هدفها المتمثل في "توفير الخدمات الطبية الفضلى بأقل التكاليف".</w:t>
      </w:r>
    </w:p>
    <w:p w:rsidR="00000000" w:rsidRDefault="00000000">
      <w:pPr>
        <w:spacing w:line="380" w:lineRule="exact"/>
        <w:jc w:val="both"/>
        <w:rPr>
          <w:rFonts w:hint="cs"/>
          <w:rtl/>
        </w:rPr>
      </w:pPr>
      <w:r>
        <w:rPr>
          <w:rFonts w:hint="cs"/>
          <w:rtl/>
        </w:rPr>
        <w:t>86-</w:t>
      </w:r>
      <w:r>
        <w:rPr>
          <w:rFonts w:hint="cs"/>
          <w:rtl/>
        </w:rPr>
        <w:tab/>
        <w:t>وفي عام 1998، أصدرت السلطات الحكومية الصينية أوامر بشأن إعمال تأمين تعويض العمال في المؤسسات على سبيل التجربة، مُنشئةً بالتالي مخططاً لتأمين الحوادث المهنية في بعض المجالات. وفي السنة نفسها، وضعت معايير لتحديد درجة الإعاقة الناجمة عن الحوادث المهنية أو الأمراض المهنية، وذلك لتوفير إطار مرجعي لتقييم الإعاقات المتعلقة بالعمل. وفي موفى عام 2002، كان متوسط قسط التأمين على الحوادث المهنية 1 في المائة في مختلف أنحاء البلد، وكان عدد المنخرطين نحو 44.06 مليون عامل. وتبقى وحدات العمل التي لم تنضم إلى خطة للتأمين على الحوادث المهنية مسؤولة عن أي تكاليف قد تنشأ عن حوادث مهنية تهم موظفيها. وفي نيسان/أبريل 2003، أصدر مجلس الدولة اللوائح التنظيمية لتأمين تعويض العمال، الذي سوف يدخل حيز النفاذ في 1 كانون الثاني/يناير 2004، وبذلك أصبح تأمين تعويض العمال موضوع تشريع رسمي.</w:t>
      </w:r>
    </w:p>
    <w:p w:rsidR="00000000" w:rsidRDefault="00000000">
      <w:pPr>
        <w:spacing w:line="380" w:lineRule="exact"/>
        <w:jc w:val="both"/>
        <w:rPr>
          <w:rFonts w:hint="cs"/>
          <w:rtl/>
        </w:rPr>
      </w:pPr>
      <w:r>
        <w:rPr>
          <w:rFonts w:hint="cs"/>
          <w:rtl/>
        </w:rPr>
        <w:t>87-</w:t>
      </w:r>
      <w:r>
        <w:rPr>
          <w:rFonts w:hint="cs"/>
          <w:rtl/>
        </w:rPr>
        <w:tab/>
        <w:t>وضعت الصين خطتها الأولى تأمين البطالة في عام 1986 وأصدرت اللوائح التنظيمية المتعلقة بتأمين البطالة في عام 1999. وينطبق تأمين البطالة على كل المؤسسات والكيانات المستخدمة في المناطق الحضرية، وعمالها، وعلى كافة هذه الكيانات وعمالها التبرع لصندوق التأمين. وتدفع استحقاقات تأمين البطالة شهرياً، على أساس معدل يقل عن الحد الأدنى القياسي للأجور ولكن يزيد على مستوى الكفاف الأدنى بالنسبة لسكان المدن. وترتبط فترة الأهلية للحصول على استحقاقات تأمين البطالة بعدد سنوات التبرع للصندوق، دون أن تتجاوز 24 شهراً. ويحق للعاطلين عن العمل الذي يصابون بمرض أثناء تلقيهم لاستحقاقات تأمين البطالة الحصول على إعانات صحية، في حين يحق لأفراد أسرة الشخص العاطل عن العمل الذي يتوفى أثناء تلقيه استحقاقات تأمين البطالة الحصول على إعانات لتغطية تكاليف الدفن، بالإضافة إلى المعاش المستحق لفائدة المعالين المتبقين على قيد الحياة. وبالإضافة إلى ذلك، يمكن للعاطلين عن العمل الذين يتلقون استحقاقات تأمين البطالة الانتفاع بمخططات التدريب المهني وإعانات البحث عن وظيفة. وفي الفترة بين 1998 و2002، ارتفع عدد العمال المكتتبين لخطط تأمين البطالة من 79.28 مليون إلى 101.82 مليون عامل. وفي موفى عام 2001، بلغ مجموع الأشخاص الذين يتلقون استحقاقات تأمين البطالة 4.4 مليون شخص. وفي إطار تحسين نظام تأمين البطالة، يجري بصورة تدريجية إدراج نظام ضمانات الكفاف الأساسية لصالح العمال المسرحين من المؤسسات المملوكة للدولة في نظام تأمين البطالة.</w:t>
      </w:r>
    </w:p>
    <w:p w:rsidR="00000000" w:rsidRDefault="00000000">
      <w:pPr>
        <w:spacing w:line="380" w:lineRule="exact"/>
        <w:jc w:val="both"/>
        <w:rPr>
          <w:rFonts w:hint="cs"/>
          <w:rtl/>
        </w:rPr>
      </w:pPr>
      <w:r>
        <w:rPr>
          <w:rFonts w:hint="cs"/>
          <w:rtl/>
        </w:rPr>
        <w:t>88-</w:t>
      </w:r>
      <w:r>
        <w:rPr>
          <w:rFonts w:hint="cs"/>
          <w:rtl/>
        </w:rPr>
        <w:tab/>
        <w:t>وبدأت بعض الأقاليم في الصين منذ عام 1988 تستكشف الإصلاحات بشأن أنظمة تأمين الأمومة في المؤسسات. وفي عام 1994، اعتمدت الحكومة على التجارب التي خاضتها الأقاليم المختلفة لصياغة الأوامر بشأن إعمال تأمين الأمومة على سبيل التجربة، والتي تنص على أن أقساط تأمين الأمومة تدفعها المؤسسات وليس العاملات. وتغطي استحقاقات تأمين الأمومة أساساً النفقات الطبية المتكبدة نتيجة الولادة، بالإضافة إلى إعانة أمومة محددة. وفي موفى عام 2002، كان معدل قسط تأمين الأمومة 0.7 في المائة في مختلف أنحاء البلد، وكان عدد العاملات المنخرطات يبلغ 34.88 عاملة. وتبقى وحدات العمل التي لا تنضم إلى مخطط تأمين الأمومة مسؤولة عن تكاليف الأمومة في صفوف عاملاتها.</w:t>
      </w:r>
    </w:p>
    <w:p w:rsidR="00000000" w:rsidRDefault="00000000">
      <w:pPr>
        <w:spacing w:line="380" w:lineRule="exact"/>
        <w:jc w:val="both"/>
        <w:rPr>
          <w:rFonts w:hint="cs"/>
          <w:rtl/>
        </w:rPr>
      </w:pPr>
      <w:r>
        <w:rPr>
          <w:rFonts w:hint="cs"/>
          <w:rtl/>
        </w:rPr>
        <w:t>89-</w:t>
      </w:r>
      <w:r>
        <w:rPr>
          <w:rFonts w:hint="cs"/>
          <w:rtl/>
        </w:rPr>
        <w:tab/>
        <w:t>وفيما يتعلق بنظام يضمن حد الكفاف الأدنى، ما انفكت جمهورية الصين الشعبية تدير منذ نشأتها برامج إغاثة اجتماعية لصالح فقراء المناطق الحضرية والريفية. وفي عام 1993، شرعت الحكومة في إصلاح برامج الإغاثة الاجتماعية في المدن في محاولة منها لإنشاء نظام يضمن حد الكفاف الأدنى. وفي عام 1999، أُنشئت هذه النظم في كافة المدن والمقاطعات التي بها "بلدات منظمة"</w:t>
      </w:r>
      <w:r>
        <w:rPr>
          <w:rFonts w:hint="cs"/>
          <w:vertAlign w:val="superscript"/>
          <w:rtl/>
        </w:rPr>
        <w:t>(5)</w:t>
      </w:r>
      <w:r>
        <w:rPr>
          <w:rFonts w:hint="cs"/>
          <w:rtl/>
        </w:rPr>
        <w:t xml:space="preserve">. وفي نفس السنة، أصدرت الحكومة رسمياً اللوائح التنظيمية الخاصة بحد الكفاف الأدنى المضمون لسكان المدن، لتمنح لكافة سكان المدن المؤهلين التغطية الأساسية. </w:t>
      </w:r>
    </w:p>
    <w:p w:rsidR="00000000" w:rsidRDefault="00000000">
      <w:pPr>
        <w:spacing w:line="380" w:lineRule="exact"/>
        <w:jc w:val="both"/>
        <w:rPr>
          <w:rFonts w:hint="cs"/>
          <w:rtl/>
        </w:rPr>
      </w:pPr>
      <w:r>
        <w:rPr>
          <w:rFonts w:hint="cs"/>
          <w:rtl/>
        </w:rPr>
        <w:t>90-</w:t>
      </w:r>
      <w:r>
        <w:rPr>
          <w:rFonts w:hint="cs"/>
          <w:rtl/>
        </w:rPr>
        <w:tab/>
        <w:t>تسحب المبالغ التي تدفع لسكان المدن بموجب هذا المخطط من ميزانيات الحكومات الشعبية المحلية، وتقرر الحكومات المحلية الحد الأدنى المضمون في ضوء الاحتياجات المعيشية الأساسية لسكان المدن المحليين. ويحق لكافة سكان المدن، حيثما يقل الدخل الفردي للأسرة المعيشية عن ذلك الحد القياسي، أن يطلبوا الحصول على دعم في إطار المخطط. وفي عام 2002، بلغ عدد سكان المدن المنتفعين بهذه المخططات 000 536 20 شخص في كافة أنحاء البلد، وبلغ دعم الحكومة المركزية في إطار توزيع هذه الاستحقاقات 4.6 مليار يوان. كما شرعت خلال السنوات الأخيرة أقاليم ومجتمعات محلية ريفية معينة في إنشاء مخططات تتعلق بحد الكفاف الأدنى المضمون.</w:t>
      </w:r>
    </w:p>
    <w:p w:rsidR="00000000" w:rsidRDefault="00000000">
      <w:pPr>
        <w:spacing w:line="380" w:lineRule="exact"/>
        <w:jc w:val="both"/>
        <w:rPr>
          <w:rFonts w:hint="cs"/>
          <w:rtl/>
        </w:rPr>
      </w:pPr>
      <w:r>
        <w:rPr>
          <w:rFonts w:hint="cs"/>
          <w:rtl/>
        </w:rPr>
        <w:t>91-</w:t>
      </w:r>
      <w:r>
        <w:rPr>
          <w:rFonts w:hint="cs"/>
          <w:rtl/>
        </w:rPr>
        <w:tab/>
        <w:t xml:space="preserve">يشير نظام الرعاية الاجتماعية في الصين إلى البرامج الممولة من الحكومة المركزية التي توفر العيش الآمن للمسنين والأيتام والمعوقين وأعضاء الجماعات المحرومة الأخرى الذين يعيشون عُسراً شديداً. ولضمان حقوق ومصالح أعضاء الجماعات المحرومة، أصدرت الصين القانون المتعلق بحقوق ومصالح المسنين، والقانون المتعلق بحماية المعوقين، واللوائح التنظيمية المتعلقة بالعمل في مجالات الدعم الخمسة (المأكل والملبس والمسكن والخدمات الصحية والخدمات الجنائزية) في المجتمعات المحلية الريفية، بالإضافة إلى نظم أساسية أخرى. وتنص هذه القوانين على واجب تقديم الدعم الجماعي للمسنين الأرامل الذين يعيشون بمفردهم، وللمعوقين والأيتام الذين يلبون الشروط اللازمة للحصول على الدعم العام في المدن؛ ويقدم الدعم الجماعي والمنفرد لهؤلاء الأشخاص في المناطق الريفية؛ وتشرف على تنظيم الدعم عموماً مراكز الرعاية، ودور المسنين، ودور النقاهة، ودور رعاية الأطفال ومؤسسات الرعاية المماثلة الأخرى. وقد خطت مرافق الرعاية الاجتماعية في الصين خطىً كبيرة. وفي عام 2001، بلغ عدد مؤسسات الرعاية التي ترعاها الحكومة في مختلف أنحاء البلاد 327 3 مؤسسة تأوي نحو 000 191 شخص. وكان هناك 000 35 مؤسسة رعاية منظمة تنظيماً جماعياً تأوي نحو 000 668 شخص، و934 مؤسسة رعاية خاصة تأوي نحو 000 34 شخص، ونحو 000 38 مؤسسة رعاية توفر العمل ل‍ 000 699 من المعوقين. وبالإضافة إلى ذلك، تدير الصين مؤسسة لليانصيب القومي بهدف جمع الموارد المخصصة لخدمات الرعاية. وفي عام 2001، بلغ مجموع الأموال التي تم جمعها لصالح خدمات الرعاية 4.2 مليار يوان. </w:t>
      </w:r>
    </w:p>
    <w:p w:rsidR="00000000" w:rsidRDefault="00000000">
      <w:pPr>
        <w:spacing w:line="380" w:lineRule="exact"/>
        <w:jc w:val="both"/>
        <w:rPr>
          <w:rFonts w:hint="cs"/>
          <w:rtl/>
        </w:rPr>
      </w:pPr>
      <w:r>
        <w:rPr>
          <w:rFonts w:hint="cs"/>
          <w:rtl/>
        </w:rPr>
        <w:t>92-</w:t>
      </w:r>
      <w:r>
        <w:rPr>
          <w:rFonts w:hint="cs"/>
          <w:rtl/>
        </w:rPr>
        <w:tab/>
        <w:t xml:space="preserve">الصين بلد يعاني من الكوارث الطبيعية المتكررة، حيث يتعرض للفيضانات والجفاف والعواصف الريحية وعواصف البرد التي تؤثر تأثيراً شديداً على حياة السكان. ولتقديم الإغاثة لصالح المتضررين، وضعت الصين برامج إغاثة مصممة خصيصاً لمعالجة آثار الكوارث الطبيعية الفجئية. وتخصص كافة مستويات الحكومة في ميزانياتها السنوية موارد للإغاثة في حالات الكوارث. وفي الفترة بين 1996 و2001، صرفت الإدارات المالية بمختلف مستوياتها مبلغاً إجمالياً قدره ب‍ 21.26 مليار يوان للإغاثة في حالات الكوارث، حيث قدمت الأغذية والملابس والأغطية واللوازم الأخرى لنحو 390 مليون ضحية. ويقدم نظام الإغاثة في حالات الكوارث الضمانات الأساسية التي تكفل أسباب العيش الأساسية للأشخاص في المناطق المنكوبة. </w:t>
      </w:r>
    </w:p>
    <w:p w:rsidR="00000000" w:rsidRDefault="00000000">
      <w:pPr>
        <w:spacing w:line="380" w:lineRule="exact"/>
        <w:jc w:val="both"/>
        <w:rPr>
          <w:rFonts w:hint="cs"/>
          <w:rtl/>
        </w:rPr>
      </w:pPr>
      <w:r>
        <w:rPr>
          <w:rFonts w:hint="cs"/>
          <w:rtl/>
        </w:rPr>
        <w:t>93-</w:t>
      </w:r>
      <w:r>
        <w:rPr>
          <w:rFonts w:hint="cs"/>
          <w:rtl/>
        </w:rPr>
        <w:tab/>
        <w:t>والتعاضد داخل المجتمع تقليد صيني عريق. وقد تضمن القانون المتعلق بالهبات المخصصة للرعاية الاجتماعية العامة معايير تشريعية وتشجيعات لتحويل حملات جمع الأموال إلى تظاهرات منهجية منتظمة. وفي عام 2001، بلغت الهبات المقدمة من مختلف شرائح المجتمع لشُعب الإدارات المدنية 1.59 مليار يوان (ويشمل هذا الرقم الهبات المقدمة في شكل سلع التي حولت إلى قيمة نقدية). وتحث حكومة الصين المؤسسات، والمشاريع العامة والشركات، وشرائح المجتمع على استخدام وسائل منظمة لدعم الأسر المحرومة ومساعدتها على التخلص من الفقر والازدهار. وعلى مستوى القاعدة، تفرض أيضاً على المرافق المجتمعية توفير الرعاية والخدمة للفقراء.</w:t>
      </w:r>
    </w:p>
    <w:p w:rsidR="00000000" w:rsidRDefault="00000000">
      <w:pPr>
        <w:spacing w:line="380" w:lineRule="exact"/>
        <w:jc w:val="both"/>
        <w:rPr>
          <w:rFonts w:hint="cs"/>
          <w:rtl/>
        </w:rPr>
      </w:pPr>
      <w:r>
        <w:rPr>
          <w:rFonts w:hint="cs"/>
          <w:rtl/>
        </w:rPr>
        <w:t>94-</w:t>
      </w:r>
      <w:r>
        <w:rPr>
          <w:rFonts w:hint="cs"/>
          <w:rtl/>
        </w:rPr>
        <w:tab/>
        <w:t xml:space="preserve">ووضعت الحكومة ونفذت نظاماً للضمانات الخاصة لصالح المرأة، يضمن، على سبيل المثال، تمتعها بحماية خاصة أثناء الحيض والحمل والوضع والإرضاع والفترات الفيزيولوجية الخاصة الأخرى التي تمر بها المرأة، ويمنحها إجازة أمومة مدفوعة الأجر لفترة 90 يوماً. وفي عام 1994، أصدرت وزارة العمل أوامر تطلب إلى المؤسسات الشروع في العمل بتأمين الأمومة على سبيل التجربة، وتحدد كيفية تغطية نفقات تأمين الأمومة في المجتمع ككل: تنشئ المؤسسات صندوقاً لتأمين الأمومة وتدفع للمؤسسة التي تشرف على إدارة تأمينها الاجتماعي نسبة محددة من الأجور الإجمالية المدفوعة في شكل أقساط تأمين على الأمومة. وفي عام 1997 حددت الدولة خطة لتغطية تأمين الأمومة زجت بمسألة تأمين الأمومة في نطاق الخطة الاجتماعية العامة للإنجاب. وكانت لهذه الخطة تأثيرات إيجابية فيما يتعلق بتنمية المنافسة الشريفة بين المؤسسات، حيث سمحت بتحسين حالة النساء اللائي يبحثن عن عمل وبحماية حقوق العاملات الأساسية ومصالحهن أثناء فترات الأمومة. كما أنشأت الدولة صفحة على شبكة إنترنت مكرسة لمخطط تأمين الأمومة، وذلك لضمان تعميم السياسات المحلية والوطنية واللوائح التنظيمية ذات الصلة وكذلك المعلومات الأخرى المتصلة بالموضوع على نطاق واسع، والتعجيل بالأنشطة المحلية وتوجيهها. </w:t>
      </w:r>
    </w:p>
    <w:p w:rsidR="00000000" w:rsidRDefault="00000000">
      <w:pPr>
        <w:spacing w:line="380" w:lineRule="exact"/>
        <w:jc w:val="both"/>
        <w:rPr>
          <w:rFonts w:hint="cs"/>
          <w:rtl/>
        </w:rPr>
      </w:pPr>
      <w:r>
        <w:rPr>
          <w:rFonts w:hint="cs"/>
          <w:rtl/>
        </w:rPr>
        <w:t>95-</w:t>
      </w:r>
      <w:r>
        <w:rPr>
          <w:rFonts w:hint="cs"/>
          <w:rtl/>
        </w:rPr>
        <w:tab/>
        <w:t xml:space="preserve">تستخدم الصين تشكيلة واسعة من التدابير لضمان أسباب عيش الفقراء والمعوقين والنهوض بأوضاعهم. وتشتمل هذه التدابير على الإغاثة، وتقديم الإعانات، ورعاية الأطفال، والدعم المباشر، والتأمين الاجتماعي والرعاية الخاصة. ويوفر حد الكفاف الأدنى المضمون لسكان المدن تغطية لصالح المعوقين في المناطق الحضرية الذين يلبون الشروط اللازمة. وفي المناطق الريفية، ينتفع المعوقون بتخفيضات وإعفاءات ضريبية معممة، كما ينتفع الفقراء والمعوقون بالإغاثة والإعانات. وتقدم بعض المناطق دعماً خاصاً للمعوقين العاطلين عن العمل، والأشخاص الذين يعانون إعاقات خطرة، والأسر المعيشية التي تعاني إعاقات متعددة، والمعوقين ذوي الاحتياجات الخاصة. وفي عام 2001، حصل نحو 2.01 مليون من المعوقين على حد الكفاف الأدنى المضمون، في حين أن زهاء </w:t>
      </w:r>
      <w:r>
        <w:rPr>
          <w:rtl/>
        </w:rPr>
        <w:br/>
      </w:r>
      <w:r>
        <w:rPr>
          <w:rFonts w:hint="cs"/>
          <w:rtl/>
        </w:rPr>
        <w:t>000 470 ممن لم يتمكنوا من الالتحاق بالقوة العاملة المنتجة أو كانوا فاقدين لوالد شرعي أو والد بالحضانة (أو لم يكن والدهم الشرعي أو والدهم بالحضانة قادراً على إعالتهم) أو لـم تكن تتوفر لديهم وسائل العيش، كانوا في ذمة مؤسسات الرعاية الاجتماعية مثل دور الرعاية أو دور المسنين، أو في دور الرعاية الخاصة التي تم ترتيبها عن طريق مؤسسات الرعاية، وكان نحو 2.54 مليون من المعوقين يحصلون على إغاثة مؤقتة، وإعانات منتظمة، وإعانات خاصة؛ وكان 000 530 منهم منخرطين في مخططات التأمين الاجتماعي مثل تأمين معاشات الشيخوخة، والتأمين الصحي، وتأمين البطالة، فيما كان 000 860 منهم يحصلون على الدعم في إطار خدمات الرعاية الاجتماعية.</w:t>
      </w:r>
    </w:p>
    <w:p w:rsidR="00000000" w:rsidRDefault="00000000">
      <w:pPr>
        <w:spacing w:line="380" w:lineRule="exact"/>
        <w:jc w:val="center"/>
        <w:rPr>
          <w:rFonts w:hint="cs"/>
          <w:b/>
          <w:bCs/>
          <w:rtl/>
        </w:rPr>
      </w:pPr>
      <w:r>
        <w:rPr>
          <w:rFonts w:hint="cs"/>
          <w:b/>
          <w:bCs/>
          <w:rtl/>
        </w:rPr>
        <w:t>المادة 10</w:t>
      </w:r>
    </w:p>
    <w:p w:rsidR="00000000" w:rsidRDefault="00000000">
      <w:pPr>
        <w:spacing w:line="380" w:lineRule="exact"/>
        <w:jc w:val="center"/>
        <w:rPr>
          <w:rFonts w:hint="cs"/>
          <w:b/>
          <w:bCs/>
          <w:rtl/>
        </w:rPr>
      </w:pPr>
      <w:r>
        <w:rPr>
          <w:rFonts w:hint="cs"/>
          <w:b/>
          <w:bCs/>
          <w:rtl/>
        </w:rPr>
        <w:t>حماية الأسرة</w:t>
      </w:r>
    </w:p>
    <w:p w:rsidR="00000000" w:rsidRDefault="00000000">
      <w:pPr>
        <w:spacing w:line="380" w:lineRule="exact"/>
        <w:jc w:val="both"/>
        <w:rPr>
          <w:rFonts w:hint="cs"/>
          <w:rtl/>
        </w:rPr>
      </w:pPr>
      <w:r>
        <w:rPr>
          <w:rFonts w:hint="cs"/>
          <w:rtl/>
        </w:rPr>
        <w:t>96-</w:t>
      </w:r>
      <w:r>
        <w:rPr>
          <w:rFonts w:hint="cs"/>
          <w:rtl/>
        </w:rPr>
        <w:tab/>
        <w:t>أصدرت الصين قانون الزواج في عام 1950 ونقحته في عام 1980. وفي عام 2002، سنّت اللجنة الدائمة للمجلس الوطني الشعبي تنقيحات أخرى بهدف التكيف مع التطورات الاقتصادية والاجتماعية في الصين، ومواصلة النهوض بنظام الأسر المعيشية التي تعيش في إطار الزواج، وضمان حقوق المواطنين ومصالحهم في هذا الصدد. وتؤكد هذه التنقيحات من جديد الالتزام بمؤسسة الزواج على أساس القبول الحر بين رجل وامرأة بوصفهما شريكين متساويين. وتحافظ على المبدأ الأساسي المتعلق بحماية الحقوق والمصالح المشروعة للنساء والأطفال والمسنين، وتؤيد وتحمي المساواة والانسجام والسلوك الحضاري داخل الأسرة التي يؤسسها الزوجان، بينما تعالج المشكلات التي يطرحها الزواج في الوقت الراهن والتي تقتضي حلاً عاجلاً. وتنص المادة 2 من القانون على ما يلي: "تقوم المؤسسة على الارتباط الإرادي بين الرجل والمرأة بوصفهما شريكين متساويين". وتنص المادة 5 على ما يلي: "يجب أن يعبر طرفا الزواج عن قبولهما بمحض إرادتهما دون إكراه أو تدخل من أي طرف ثالث". وتنص المادة 31 على أنه يمكن إعلان الطلاق في حال اتفاق كل من الزوج والزوجة على الطلاق. ولضمان إعمال الأحكام الواردة في القانون، تقوم الدولة حالياً بمراجعة اللوائح التنظيمية المتعلقة بإدارة سجلات الزواج. واستجابة للتحول من الاقتصاد الموجَّه إلى اقتصاد السوق، أدخلت التنقيحات تحسينات على نظام الممتلكات في إطار الزواج، حيث رسمت فصلاً واضحاً بين الممتلكات المشتركة والمرتهنة الفردية وحقوق الزوجين المتصلة بها. كما يعالج القانون مشكلات بارزة أخرى نشأت بالتوازي مع التطورات التي يشهدها المجتمع، حيث يشدد على منع الزواج بامرأتين أو رجلين، ومعاشرة المتزوج أو المتزوجة لغير زوجته أو زوجها، والعنف داخل الأسرة إلخ.</w:t>
      </w:r>
    </w:p>
    <w:p w:rsidR="00000000" w:rsidRDefault="00000000">
      <w:pPr>
        <w:spacing w:line="380" w:lineRule="exact"/>
        <w:jc w:val="both"/>
        <w:rPr>
          <w:rFonts w:hint="cs"/>
          <w:rtl/>
        </w:rPr>
      </w:pPr>
      <w:r>
        <w:rPr>
          <w:rFonts w:hint="cs"/>
          <w:rtl/>
        </w:rPr>
        <w:t>97-</w:t>
      </w:r>
      <w:r>
        <w:rPr>
          <w:rFonts w:hint="cs"/>
          <w:rtl/>
        </w:rPr>
        <w:tab/>
        <w:t xml:space="preserve">يتمتع المواطنون الصينيون بحماية القانون فيما يتعلق بحرية الزواج، ويتفق الطرفان على الزواج أو الطلاق بموجب اتفاق مشترك. وفي الفترة من عام 1985 إلى عام 2000، بلغ متوسط عدد حالات الزواج المسجلة في صفوف المواطنين الصينيين نحو 9 ملايين في السنة. وخلال الفترة ذاتها، ارتفع معدل الطلاق من 0.9 للألف إلى 1.9 للألف (انظر الجدول 1). </w:t>
      </w:r>
    </w:p>
    <w:p w:rsidR="00000000" w:rsidRDefault="00000000">
      <w:pPr>
        <w:spacing w:line="380" w:lineRule="exact"/>
        <w:jc w:val="both"/>
        <w:rPr>
          <w:rFonts w:hint="cs"/>
          <w:rtl/>
        </w:rPr>
      </w:pPr>
      <w:r>
        <w:rPr>
          <w:rFonts w:hint="cs"/>
          <w:rtl/>
        </w:rPr>
        <w:t>98-</w:t>
      </w:r>
      <w:r>
        <w:rPr>
          <w:rFonts w:hint="cs"/>
          <w:rtl/>
        </w:rPr>
        <w:tab/>
        <w:t>وبالاستناد إلى برنامج "السمات الخمس للأسرة الفاضلة" الذي يجري تنفيذه منذ فترة طويلة (وهو مبادرة لتعزيز المصلحة العامة، واحترام مبادئ الدراسة والعمل، والمساواة بين الجنسين، واحترام المسنين والصغار، وتحديد النسل، وممارسات التنشئة السليمة، وحماية البيئة)، أنشأت الصين في عام 1996 فريق تنسيق وطنياً معنياً بالحملات الخاصة بالترويج للسمات الخمس، وشملت هذه المبادرة 18 إدارة حكومية ومنظمة غير حكومية. ويهدف الفريق إلى إدراج هذه الحملات في إطار خطط وطنية شاملة للتنمية الاقتصادية والاجتماعية، والنهوض بالثقافة الروحية. وينظم الفريق حلقات دراسية بشأن مواضيع محددة، ومحاضرات عامة وفصول توجيه للمتزوجين الجدد، ويؤمِّن من خلال وسائط الإعلام والوسائل الأخرى ذات الصلة تعميم القوانين واللوائح التنظيمية ذات الصلة والقيم الأخلاقية للأسرة المعيشية المتحضرة، ويحث الناس على التغذي بفكرة الحياة الزوجية القائمة على المساواة والانسجام والتعامل الحضاري. ويُبذَل جهد خاص لتعميم التعديلات المدخلة على قانون الزواج وحث الناس على أن يتولوا بأنفسهم ترويج وممارسة المثل التي تستند إليها الأسرة الفاضلة والمتحضرة.</w:t>
      </w:r>
    </w:p>
    <w:p w:rsidR="00000000" w:rsidRDefault="00000000">
      <w:pPr>
        <w:spacing w:line="380" w:lineRule="exact"/>
        <w:jc w:val="both"/>
        <w:rPr>
          <w:rFonts w:hint="cs"/>
          <w:rtl/>
        </w:rPr>
      </w:pPr>
      <w:r>
        <w:rPr>
          <w:rFonts w:hint="cs"/>
          <w:rtl/>
        </w:rPr>
        <w:t>99-</w:t>
      </w:r>
      <w:r>
        <w:rPr>
          <w:rFonts w:hint="cs"/>
          <w:rtl/>
        </w:rPr>
        <w:tab/>
        <w:t>تنص المادة 2 من قانون الزواج على أنه "ينبغي حماية الحقوق والمصالح الشرعية للنساء والأطفال والمسنِّين". وتنص المادة 21 على أن:</w:t>
      </w:r>
    </w:p>
    <w:p w:rsidR="00000000" w:rsidRDefault="00000000">
      <w:pPr>
        <w:spacing w:line="380" w:lineRule="exact"/>
        <w:ind w:left="720"/>
        <w:jc w:val="both"/>
        <w:rPr>
          <w:rFonts w:hint="cs"/>
          <w:rtl/>
        </w:rPr>
      </w:pPr>
      <w:r>
        <w:rPr>
          <w:rFonts w:hint="cs"/>
          <w:rtl/>
        </w:rPr>
        <w:t>"الوالدين لهما واجب السهر على تنشئة ذريتهم وتربيتها ... وإذا قصَّروا في واجب تقديم الرعاية، يحق لأطفالهم القصّر والأطفال غير القادرين على العيش بصفة مستقلة أن يطالبوهم بدفع تكاليف الرعاية ... ويُمنَع قتل الرضَّع والتخلي عنهم، كما يُمنع أي تصرف آخر يؤذي الرضع أو يشلّهم".</w:t>
      </w:r>
    </w:p>
    <w:p w:rsidR="00000000" w:rsidRDefault="00000000">
      <w:pPr>
        <w:spacing w:line="380" w:lineRule="exact"/>
        <w:jc w:val="both"/>
        <w:rPr>
          <w:rFonts w:hint="cs"/>
          <w:rtl/>
        </w:rPr>
      </w:pPr>
      <w:r>
        <w:rPr>
          <w:rFonts w:hint="cs"/>
          <w:rtl/>
        </w:rPr>
        <w:t>وتنص المادة 22 من القانون المتعلق بالسكان وتنظيم الأسرة على ما يلي: "يُمنع التمييز ضد النساء اللائي يُنجبن بناتاً والعقّر، أو إيذاؤهن". وتنص المادة 3 من القانون المتعلق بحماية القصّر على أن الدولة والمجتمع والمدارس والأسرة هي التي تعلم القصر القيم المثلى والأخلاق والثقافة والنظام والقانون...، في حين تنص المادة 9 على أنه يجب "على الآباء أو الأوصياء احترام حقوق القصر في الحصول على التعليم، كما يجب عليهم أن يضمنوا حصول الأطفال القصّر البالغين السن المناسبة على التعليم الإلزامي وفقاً للقانون. ويجب عليهم ألا يسمحوا للأطفال القصر بالانقطاع عن الدراسة أثناء فترة التعليم الإلزامي". وتنص المادة 11 على أنه يجب "على الآباء أو الأوصياء ألا يسمحوا للقصّر بالزواج أو يجبروهم على ذلك، وألا يعقدوا زواجاً بالنيابة عن قاصر".</w:t>
      </w:r>
    </w:p>
    <w:p w:rsidR="00000000" w:rsidRDefault="00000000">
      <w:pPr>
        <w:spacing w:line="380" w:lineRule="exact"/>
        <w:jc w:val="both"/>
        <w:rPr>
          <w:rFonts w:hint="cs"/>
          <w:rtl/>
        </w:rPr>
      </w:pPr>
      <w:r>
        <w:rPr>
          <w:rFonts w:hint="cs"/>
          <w:rtl/>
        </w:rPr>
        <w:t>100-</w:t>
      </w:r>
      <w:r>
        <w:rPr>
          <w:rFonts w:hint="cs"/>
          <w:rtl/>
        </w:rPr>
        <w:tab/>
        <w:t>وبخصوص حماية المرأة أثناء الحمل والإرضاع، تنص المادة 61 من قانون العمل على ما يلي: "لا يجوز تكليف العاملة الحامل بالقيام بعمل تصنفه الدولة ضمن الأعمال الشاقة من الدرجة الثالثة". وتنص المادة 26 من القانون المتعلق بالسكان وتنظيم الأسرة على أنه يحق للمرأة أثناء الحمل والولادة والإرضاع أن تتمتع بحماية خاصة في العمل وفقاً للقوانين ذات الصلة، ويمكنها الحصول على المساعدة والتعويض. وتنص المادة 30 على أنه ينبغي للدولة إنشاء نظم للرعاية الصحية لفترة ما قبل الزواج وما قبل الولادة، بينما تنص المادة 31 على أنه ينبغي للحكومة الشعبية بكافة مستوياتها أن تتخذ التدابير اللازمة لتضمن وصول المواطنين إلى خدمات تنظيم الأسرة، بحيث يتم الرفع من مستويات الصحة الإنجابية. وفيما يتعلق بإجازة الأمومة، تنص المادة 62 من قانون العمل على أن "المرأة العاملة يحق لها بعد الولادة الحصول على إجازة أمومة مدفوعة الأجر لفترة لا تقل عن 90 يوما"، في حين تنص المادة 63 على أنه "لا يجوز تكليف العاملة المرضعة لرضيع لم يبلغ الواحدة من العمر بعمل تصنفه الدولة ضمن الأعمال الشاقة من الدرجة الثالثة، أو أي عمل آخر ينبغي لها تجنبه أثناء فترة الرضاعة، كما لا يجوز تكليفها بالعمل الإضافي أو العمل ليلاً". وأخيراً، تنص المادة 51 على أنه "ينبغي للوحدة المستخدمة أن تدفع للعمال أجورهم أثناء العطل والإجازات القانونية التي تُمنح بمناسبة زواج أو جنازة أو للمشاركة في الأنشطة المجتمعية وذلك وفقاً للقوانين".</w:t>
      </w:r>
    </w:p>
    <w:p w:rsidR="00000000" w:rsidRDefault="00000000">
      <w:pPr>
        <w:spacing w:line="380" w:lineRule="exact"/>
        <w:jc w:val="both"/>
        <w:rPr>
          <w:rFonts w:hint="cs"/>
          <w:rtl/>
        </w:rPr>
      </w:pPr>
      <w:r>
        <w:rPr>
          <w:rFonts w:hint="cs"/>
          <w:rtl/>
        </w:rPr>
        <w:t>101-</w:t>
      </w:r>
      <w:r>
        <w:rPr>
          <w:rFonts w:hint="cs"/>
          <w:rtl/>
        </w:rPr>
        <w:tab/>
        <w:t>تتمتع المواطنات الصينيات أساساً بحماية خاصة لفترة زمنية معقولة وذلك قبل الولادة وبعدها. وبيَّن التقرير النهائي الخاص بتقييم برنامج النهوض بالمرأة (الفترة من 1995 إلى 2000) أن نسبة النساء الحوامل اللائي يخضعن لفحوص طبية قبل الولادة ارتفعت من 69.7 في المائة في عام 1992 إلى 89.4 في المائة في عام 2000. وتشير الدراسات الاستقصائية التي أجراها اتحاد نقابات العمال في عموم الصين في عام 1996 ثم في عام 2000 إلى أن النسبة المئوية للعاملات في المدن اللائي يتلقين فحوصاً طبية قبل الولادة بصورة منتظَمة ارتفعت من 82 في المائة إلى 85.3 في المائة. ومنذ أواخر الثمانينات، نظمت وزارة الصحة ولجنة تنظيم الأسرة في المجتمعات المحلية بمختلف أنحاء البلاد برنامجاً تثقيفياً خاصاً بتنظيم الأسرة يتمحور حول "المراحل الخمس" للمراهقة، وحداثة الزواج، والحمل، والإرضاع، وانقطاع الحيض، وذلك لتزويد المرأة الريفية البالغة سن الإنجاب بالمعارف التي تمكِّنها من المحافظة على صحتها أثناء تخطيها لهذه المراحل والإبقاء على نسبة مرتفعة من النساء في سن الإنجاب اللائي يتلقين فحوصاً طبية قبل الولادة.</w:t>
      </w:r>
    </w:p>
    <w:p w:rsidR="00000000" w:rsidRDefault="00000000">
      <w:pPr>
        <w:spacing w:line="380" w:lineRule="exact"/>
        <w:jc w:val="both"/>
        <w:rPr>
          <w:rFonts w:hint="cs"/>
          <w:rtl/>
        </w:rPr>
      </w:pPr>
      <w:r>
        <w:rPr>
          <w:rFonts w:hint="cs"/>
          <w:rtl/>
        </w:rPr>
        <w:t>102-</w:t>
      </w:r>
      <w:r>
        <w:rPr>
          <w:rFonts w:hint="cs"/>
          <w:rtl/>
        </w:rPr>
        <w:tab/>
        <w:t>وتبين الدراسات الاستقصائية التي أجراها اتحاد نقابات العمال في عموم الصين أن الضمانات التي تتمتع بها المرأة العاملة أثناء الحمل والولادة والإرضاع معمول بها لدى الغالبية العظمى من المؤسسات. فالمرأة الحامل تُكلَّف مثلاً بالقيام بالأعمال التي لا تعرضها للتوكسينات أو التي تستلزم جهداً بدنياً أدنى، كما أنها لا تعمل في ساعات متأخرة من النهار أو في نوبات إضافية. كما أن حقوقها في الإجازة والراحة والاستحقاقات بعد الولادة مضمونة أساساً، حيث تحصل على إجازة الأمومة التي ينص عليها القانون، ويُدفَع لها أجرها القانوني أثناء الإجازة. وبالإضافة إلى ذلك، تسترد المرأة العاملة من مستخدِمها تكاليف الفحوص الطبية النظامية التي تُجرى عليها قبل الولادة، وتكاليف الوضع، على أساس معدل 50 في المائة أو 100 في المائة (حسب السياسات الداخلية الجاري العمل بها في الشركة) (انظر الجدول 2).</w:t>
      </w:r>
    </w:p>
    <w:p w:rsidR="00000000" w:rsidRDefault="00000000">
      <w:pPr>
        <w:spacing w:line="380" w:lineRule="exact"/>
        <w:jc w:val="both"/>
        <w:rPr>
          <w:rFonts w:hint="cs"/>
          <w:rtl/>
        </w:rPr>
      </w:pPr>
      <w:r>
        <w:rPr>
          <w:rFonts w:hint="cs"/>
          <w:rtl/>
        </w:rPr>
        <w:t>103-</w:t>
      </w:r>
      <w:r>
        <w:rPr>
          <w:rFonts w:hint="cs"/>
          <w:rtl/>
        </w:rPr>
        <w:tab/>
        <w:t>لكن لا تزال هناك بعض الفوارق. فالمؤشرات المتعلقة بمختلف فئات البيانات الواردة في الدراسات الاستقصائية المنفصلة التي أجراها اتحاد نقابات العمال في عموم الصين هي بالأساس متماثلة. ويُعزى هذا لأنه منذ بداية العمل بتأمين الأمومة الجماعي في المؤسسات في بداية التسعينات، فإن تكاليف الفحوص الطبية التي تُجرى قبل الولادة، وإجازة الأمومة، والراحة المدفوعة الأجر، والمبالغ المردودة المتعلقة بمصاريف الولادة وغير ذلك من المصاريف التي تتحملها المؤسسات المشاركة لحساب عاملاتها صارت تُدفَع في إطار خطة التأمين الخاص بالأمومة. ومع ذلك، سجلت المؤشرات المتعلقة بفئات محددة من المجالات التي شملتها الدراسات الاستقصائية انخفاضاً فعلياً. والسبب الأول لذلك هو أن بعض المؤسسات تعوزها الأموال نتيجة أدائها السيئ، مما اضطرها إلى تخفيض نفقاتها المخصصة لحماية المرأة العاملة أثناء الحمل والأمومة. والسبب الثاني هو أن عقود العمل المعمول بها في بعض المؤسسات ذات الاستثمار المشترك، وفي المؤسسات المدنية والخاصة والفردية، لا تنص على أية أحكام تتعلق باستحقاقات المرأة العاملة أثناء الحمل والأمومة، أو أن اللوائح التنظيمية لا يجري إنفاذها. والسبب الثالث هو أنه بالرغم من الارتفاع المطرد في عدد المؤسسات التي تنضم إلى مخطط تأمين الأمومة الجماعي، توجد مؤسسات لم تلتحق بهذا النظام، إضافة إلى أن ما توفره هذه المؤسسات أو لا توفره من حماية للمرأة العاملة أثناء الحمل والأمومة أمر يرتبط بدرجة الأهمية التي يوليها رؤساء هذه المؤسسات للمسألة.</w:t>
      </w:r>
    </w:p>
    <w:p w:rsidR="00000000" w:rsidRDefault="00000000">
      <w:pPr>
        <w:spacing w:line="380" w:lineRule="exact"/>
        <w:jc w:val="both"/>
        <w:rPr>
          <w:rFonts w:hint="cs"/>
          <w:rtl/>
        </w:rPr>
      </w:pPr>
      <w:r>
        <w:rPr>
          <w:rFonts w:hint="cs"/>
          <w:rtl/>
        </w:rPr>
        <w:t>104-</w:t>
      </w:r>
      <w:r>
        <w:rPr>
          <w:rFonts w:hint="cs"/>
          <w:rtl/>
        </w:rPr>
        <w:tab/>
        <w:t xml:space="preserve">تطرقت الصين، في تقريرها الدوري الثاني بشأن تنفيذ اتفاقية حقوق الطفل، إلى تفاصيل حماية حقوق القصّر. ولهذا السبب، لن يتناول هذا التقرير الحالي سوى المبادئ العامة. </w:t>
      </w:r>
    </w:p>
    <w:p w:rsidR="00000000" w:rsidRDefault="00000000">
      <w:pPr>
        <w:spacing w:line="380" w:lineRule="exact"/>
        <w:jc w:val="both"/>
        <w:rPr>
          <w:rFonts w:hint="cs"/>
          <w:rtl/>
        </w:rPr>
      </w:pPr>
      <w:r>
        <w:rPr>
          <w:rFonts w:hint="cs"/>
          <w:rtl/>
        </w:rPr>
        <w:t>105-</w:t>
      </w:r>
      <w:r>
        <w:rPr>
          <w:rFonts w:hint="cs"/>
          <w:rtl/>
        </w:rPr>
        <w:tab/>
        <w:t>تولي الصين أهمية كبرى لحماية الصحة العقلية والبدنية للقصر. فلقد جعلت من حظر استخدام عمل الأطفال مسألة تتعلق بالسياسة الوطنية، وسنت مجموعة من القوانين واللوائح التنظيمية التي تتعلق بعمل الأطفال والقصّر. ويشتمل أهمها على قانون العمل والقانون الخاص بحماية القصر وحظر عمل الأطفال واللوائح التنظيمية بشأن الحماية الخاصة للعمال القصر. وفي حزيران/يونيه 2002، صدَّقت الصين رسمياً على اتفاقية منظمة العمل الدولية رقم 182 (لعام 2000) بشأن حظر أسوأ أشكال عمل الأطفال واتخاذ الإجراءات الفورية للقضاء عليها.</w:t>
      </w:r>
    </w:p>
    <w:p w:rsidR="00000000" w:rsidRDefault="00000000">
      <w:pPr>
        <w:spacing w:line="380" w:lineRule="exact"/>
        <w:jc w:val="both"/>
        <w:rPr>
          <w:rFonts w:hint="cs"/>
          <w:rtl/>
        </w:rPr>
      </w:pPr>
      <w:r>
        <w:rPr>
          <w:rFonts w:hint="cs"/>
          <w:rtl/>
        </w:rPr>
        <w:t>106-</w:t>
      </w:r>
      <w:r>
        <w:rPr>
          <w:rFonts w:hint="cs"/>
          <w:rtl/>
        </w:rPr>
        <w:tab/>
        <w:t>تنص المادة 15 من قانون العمل على أنه "لا يجوز لأي مؤسسة حكومية أو فئة اجتماعية أو مؤسسة أو وحدة عمل غير تجارية تُستغَل محلياً أو مقاول يعمل بصفة فردية استخدام الأحداث دون السادسة عشرة من العمر. وهذا يحول دون استخدام عمل الأطفال من وجهة نظر الإدارة، وإدارة الأعمال التجارية، وأي كيان مستخدِم، ويضع المعايير بشأن الغرامات التي تُفرَض على أي فرد أو وحدة عمل تلجأ إلى عمل الأطفال أو تستخدم القصر. ويفصِّل نظام أساسي ثانوي، وهو اللوائح التنظيمية بشأن الحماية الخاصة التي يحظى بها العمال القصر في مجال العمل، الحماية الخاصة الواجب منحها للعمال القصّر. وهذا يشمل قيود صارمة فيما يتعلق بالمجالات التي يمكن أن يعمل فيها القصّر، والفحوص البدنية المنتظمة، وتسجيل العمال لدى شعبة إدارة العمل، والتدريب قبل الاستخدام، وتفتيش مواقع العمل.</w:t>
      </w:r>
    </w:p>
    <w:p w:rsidR="00000000" w:rsidRDefault="00000000">
      <w:pPr>
        <w:spacing w:line="380" w:lineRule="exact"/>
        <w:jc w:val="both"/>
        <w:rPr>
          <w:rFonts w:hint="cs"/>
          <w:rtl/>
        </w:rPr>
      </w:pPr>
      <w:r>
        <w:rPr>
          <w:rFonts w:hint="cs"/>
          <w:rtl/>
        </w:rPr>
        <w:t>107-</w:t>
      </w:r>
      <w:r>
        <w:rPr>
          <w:rFonts w:hint="cs"/>
          <w:rtl/>
        </w:rPr>
        <w:tab/>
        <w:t>أنشأت الصين منذ التسعينات مكاتب تعنى بتفتيش مواقع العمل في شتى المجالات، وذلك لرصد مدى امتثال الكيانات المستخدِمة للقوانين واللوائح التنظيمية المتعلقة بالعمل. وبيَّنت إجراءات التفتيش والإنفاذ خلال السنوات الأخيرة أن الغالبية العظمى من المؤسسات لا تستخدم عمل الأطفال والأحداث، وفي الحالات القليلة جداً التي ثبت فيها أن مؤسسات خاصة أو فردية غير مملوكة للقطاع العام تفعل ذلك، جرى تطبيق عقوبات شديدة وتم إصلاح الوضع بسرعة.</w:t>
      </w:r>
    </w:p>
    <w:p w:rsidR="00000000" w:rsidRDefault="00000000">
      <w:pPr>
        <w:spacing w:line="380" w:lineRule="exact"/>
        <w:jc w:val="center"/>
        <w:rPr>
          <w:rFonts w:hint="cs"/>
          <w:b/>
          <w:bCs/>
          <w:rtl/>
        </w:rPr>
      </w:pPr>
      <w:r>
        <w:rPr>
          <w:rFonts w:hint="cs"/>
          <w:b/>
          <w:bCs/>
          <w:rtl/>
        </w:rPr>
        <w:t>المادة 11</w:t>
      </w:r>
    </w:p>
    <w:p w:rsidR="00000000" w:rsidRDefault="00000000">
      <w:pPr>
        <w:spacing w:line="380" w:lineRule="exact"/>
        <w:jc w:val="center"/>
        <w:rPr>
          <w:rFonts w:hint="cs"/>
          <w:b/>
          <w:bCs/>
          <w:rtl/>
        </w:rPr>
      </w:pPr>
      <w:r>
        <w:rPr>
          <w:rFonts w:hint="cs"/>
          <w:b/>
          <w:bCs/>
          <w:rtl/>
        </w:rPr>
        <w:t>الحق في مستوى معيشي لائق</w:t>
      </w:r>
    </w:p>
    <w:p w:rsidR="00000000" w:rsidRDefault="00000000">
      <w:pPr>
        <w:spacing w:line="380" w:lineRule="exact"/>
        <w:jc w:val="both"/>
        <w:rPr>
          <w:rFonts w:hint="cs"/>
          <w:rtl/>
        </w:rPr>
      </w:pPr>
      <w:r>
        <w:rPr>
          <w:rFonts w:hint="cs"/>
          <w:rtl/>
        </w:rPr>
        <w:t>108-</w:t>
      </w:r>
      <w:r>
        <w:rPr>
          <w:rFonts w:hint="cs"/>
          <w:rtl/>
        </w:rPr>
        <w:tab/>
        <w:t xml:space="preserve">تعلق الصين أهمية كبرى على رفاه شعبها، وتُسِّلم بحق الشعب في بلوغ مستوى معيشي لائق، وتحترم هذا الحق. وتسعى جاهدة إلى الإبقاء على نسبة قوية من التنمية الاقتصادية، حيث تعمل بصورة متواصلة على رفع وتحسين مستويات المعيشة ونوعية الحياة. وبعد 20 عاماً من الإصلاحات الرامية إلى تحرير الاقتصاد، يمكن وصف مستوى المعيشة العام الذي </w:t>
      </w:r>
      <w:r>
        <w:rPr>
          <w:rFonts w:hint="cs"/>
          <w:spacing w:val="4"/>
          <w:rtl/>
        </w:rPr>
        <w:t>بلغه الشعب الصيني ب‍ "المريح". وتتمثل المؤشرات الرئيسية عن ذلك فيما يلي: (1) ارتفع دخل سكان المدن والأرياف على حد سواء بصورة ملحوظة. وفي الفترة بين عام 1990 وعام 2001، سجل الدخل الصافي للفرد بالنسبة لسكان الأرياف نمواً حقيقياً يُقدَّر بنسبة 62 في المائة، في حين ارتفع الدخل المتاح للفرد، بالأرقام الحقيقية أيضاً، بالنسبة</w:t>
      </w:r>
      <w:r>
        <w:rPr>
          <w:rFonts w:hint="cs"/>
          <w:rtl/>
        </w:rPr>
        <w:t xml:space="preserve"> لسكان المدن بأكثر من الضعف. وفي عام 1989، بلغت الودائع الادخارية لسكان المدن والأرياف 500 مليار يوان؛ وتتعدى هذه الودائع في الوقت الراهن 8.7 تريليون يوان؛ (2) وما برح سُلَّم الاستهلاك العام ينمو. ففي عام 2001، بلغت المبيعات بالتجزئة من المنتجات الاستهلاكية في الصين 3.5 أضعاف مستوى عام 1990، وبلغت قيمتها 500 759 3 مليار يوان. وشهدت أنماط الاستهلاك تغيرات جذرية، حيث انخفض متوسط إنفاق الفرد على الأغذية لدى الأسر الحضرية، كنسبة من الإنفاق الإجمالي، من 54.2 في المائة في عام 1990 إلى 37.9 في المائة في عام 2001؛ وانخفض مستوى الإنفاق لدى الأسر الريفية من 58.8 في المائة إلى 47.7 في المائة. وتحسنت ظروف العيش بالنسبة لسكان المدن والأرياف على حد سواء بصورة واضحة. وأصبح سكان المدن في الوقت الراهن يستخدمون الغاز أو الغاز المسيَّل على نحو عادي، كما ارتفع مرات عديدة إنفاق سكان المدن على الأثاث والتزيين المنزلي والأجهزة المنزلية والتحسينات المنزلية ذات الصلة. وفي الأثناء، أتيح جيل جديد من المنتجات الاستهلاكية. وصارت سلع استهلاكية معمرة معينة شيئاً مألوفاً في المجتمعات الريفية.</w:t>
      </w:r>
    </w:p>
    <w:p w:rsidR="00000000" w:rsidRDefault="00000000">
      <w:pPr>
        <w:spacing w:line="380" w:lineRule="exact"/>
        <w:jc w:val="both"/>
        <w:rPr>
          <w:rFonts w:hint="cs"/>
          <w:rtl/>
        </w:rPr>
      </w:pPr>
      <w:r>
        <w:rPr>
          <w:rFonts w:hint="cs"/>
          <w:rtl/>
        </w:rPr>
        <w:t>109-</w:t>
      </w:r>
      <w:r>
        <w:rPr>
          <w:rFonts w:hint="cs"/>
          <w:rtl/>
        </w:rPr>
        <w:tab/>
        <w:t xml:space="preserve">الصين بلد نام، حيث توجد اختلالات كبرى في مستويات التنمية بين مختلف الأقاليم. فبينما تنعم الأغلبية العظمى من الناس بالفوائد المادية للتنمية، لا تزال هناك مجموعات قليلة، معظمها من الأقليات التي تعيش في المجتمعات المحلية الريفية الصغيرة، تواجه صعوبات في حياتها. وبهدف حل المشكلات المتعلقة بعدم توفر ما يكفي من الأغذية واللباس للفقراء في الريف، أصدرت الحكومة في آذار/مارس 1994 "الخطة الوطنية </w:t>
      </w:r>
      <w:r>
        <w:rPr>
          <w:rtl/>
        </w:rPr>
        <w:t>`</w:t>
      </w:r>
      <w:r>
        <w:rPr>
          <w:rFonts w:hint="cs"/>
          <w:rtl/>
        </w:rPr>
        <w:t>8-7</w:t>
      </w:r>
      <w:r>
        <w:rPr>
          <w:rtl/>
        </w:rPr>
        <w:t>`</w:t>
      </w:r>
      <w:r>
        <w:rPr>
          <w:rFonts w:hint="cs"/>
          <w:rtl/>
        </w:rPr>
        <w:t xml:space="preserve"> لشن الحرب ضد الفقر" التي اقترحت تخصيص الفترة الممتدة على 7 سنوات تقريباً بين 1994 و2000 أساساً لحل المشكلات المتعلقة بالأغذية واللباس التي يواجهها 80 مليون شخص يعيشون في المناطق الريفية الفقيرة في مختلف أنحاء البلد. وكانت الأهداف الملموسة للخطة تتمثل فيما يلي: (أ) تقديم الدعم للأسر الفقيرة لتمكينها من خلق ظروف الاستقرار اللازمة التي تكفل لها التغلب على المشكلات التي تواجهها فيما يتعلق بالأغذية واللباس؛ </w:t>
      </w:r>
      <w:r>
        <w:rPr>
          <w:rtl/>
        </w:rPr>
        <w:br/>
      </w:r>
      <w:r>
        <w:rPr>
          <w:rFonts w:hint="cs"/>
          <w:rtl/>
        </w:rPr>
        <w:t>(ب) التقدم في بناء المرافق الأساسية في المناطق الفقيرة؛ (ج) السعي أساساً إلى حل المشكلات المتعلقة بتزويد الماء الصالح للشرب للناس وللماشية، وتوفير ربط شبكات الطرق بين القرى الأكثر فقراً وأسواق المنتجات الزراعية والمراكز الصناعية؛ (د) تزويد الكهرباء لصالح الغالبية الكبرى من الأسر الفقيرة؛ و(ه‍) التغلب على التأخر السائد في مجالات التعليم والثقافة والصحة، وتحقيق مستوى أدنى مقبول عالمياً من التعليم، والقضاء في الآن ذاته على الأمية في صفوف الشباب والسكان الكبار النشطين. كما سعت الخطة إلى تشجيع التعليم والتدريب في مجال المهارات المهنية لصالح الكبار؛ والنهوض بالظروف الطبية والصحية على نحو يكفل منع الإصابة بالأمراض المتوطنة أو تخفيضها؛ وكبح النمو السكاني ضمن النطاق المتعهَّد به وطنياً. ولقد توصلت الخطة، أثناء السنوات القليلة الماضية من تنفيذها، إلى تحقيق نتائج كبرى. وفي موفى عام 2001، أصبحت أغلبية السكان الفقراء الذين يعيشون في المناطق الريفية تحصل على القدر الكافي من المأكل والملبس، في حين أن بعض المناطق الفقيرة المتبقية التي تحيط بها بيئات غير مواتية أو أنظمة إيكولوجية هشة بدأت تدنو من حالة التنمية المستدامة.</w:t>
      </w:r>
    </w:p>
    <w:p w:rsidR="00000000" w:rsidRDefault="00000000">
      <w:pPr>
        <w:spacing w:line="380" w:lineRule="exact"/>
        <w:jc w:val="both"/>
        <w:rPr>
          <w:rStyle w:val="FootnoteReference"/>
          <w:rFonts w:hint="cs"/>
          <w:bCs w:val="0"/>
          <w:vertAlign w:val="baseline"/>
          <w:rtl/>
        </w:rPr>
      </w:pPr>
      <w:r>
        <w:rPr>
          <w:rFonts w:hint="cs"/>
          <w:rtl/>
        </w:rPr>
        <w:t>110-</w:t>
      </w:r>
      <w:r>
        <w:rPr>
          <w:rFonts w:hint="cs"/>
          <w:rtl/>
        </w:rPr>
        <w:tab/>
        <w:t>وسعياً إلى تمكين الناس من بلوغ مستوى معيشة أفضل، اقترحت الحكومة مؤخراً "كفاحاً" لمدة 20 عاماً، يهدف إلى ضمان مستوى معيشة مريح للجميع: المزيد من التنمية الاقتصادية، ومواصلة إرساء أسس الديمقراطية، ومزيد التقدم في العلوم والتعليم، وتعزيز الازدهار الثقافي، وتدعيم الوئام الاجتماعي، والارتقاء بمستوى الرفاه في حياة السكان. وتنوي الصين، على امتداد العشرين عاماً، استخدام الهياكل على النحو الأمثل وزيادة الكفاءة بحيث يتضاعف الناتج المحلي الإجمالي لعام 2000 ثلاث مرات، ويتعدى 000 3 دولار من دولارات الولايات المتحدة للفرد الواحد، وهو مستوى يكاد يساوي المعدل السائد لدى البلدان ذات الدخل المتوسط.</w:t>
      </w:r>
    </w:p>
    <w:p w:rsidR="00000000" w:rsidRDefault="00000000">
      <w:pPr>
        <w:spacing w:line="380" w:lineRule="exact"/>
        <w:jc w:val="both"/>
        <w:rPr>
          <w:rFonts w:hint="cs"/>
          <w:rtl/>
        </w:rPr>
      </w:pPr>
      <w:r>
        <w:rPr>
          <w:rFonts w:hint="cs"/>
          <w:rtl/>
        </w:rPr>
        <w:t>111-</w:t>
      </w:r>
      <w:r>
        <w:rPr>
          <w:rFonts w:hint="cs"/>
          <w:rtl/>
        </w:rPr>
        <w:tab/>
        <w:t xml:space="preserve">وفيما يتعلق بالحق في الإسكان، تنص المادة 4 من القانون المتعلق ب‍ (إدارة) العقارات الحضرية على </w:t>
      </w:r>
      <w:r>
        <w:rPr>
          <w:rtl/>
        </w:rPr>
        <w:br/>
      </w:r>
      <w:r>
        <w:rPr>
          <w:rFonts w:hint="cs"/>
          <w:rtl/>
        </w:rPr>
        <w:t>ما يلي: "ينبغي للدولة أن تدعم بناء المساكن لصالح المقيمين (في المدن) وتنهض بصورة تدريجية بظروف العيش، بما يتوافق مع حالة التنمية الاجتماعية والاقتصادية". ويبين هذا بوضوح موقف الدولة ونواياها فيما يتعلق بظروف عيش الناس. وفي عام 2001، سنّت الحكومة اللوائح التنظيمية التي تحكم نزع ملكية المساكن في المدن، وتنص على ترتيبات التعويض وإعادة التوطين للأشخاص الذين تُنزَع منهم ملكيتهم، والتي تحمي، بطريقة أخرى، الحقوق الشرعية لأولئك الذين يتأثرون بإجراءات نزع الملكية.</w:t>
      </w:r>
    </w:p>
    <w:p w:rsidR="00000000" w:rsidRDefault="00000000">
      <w:pPr>
        <w:spacing w:line="380" w:lineRule="exact"/>
        <w:jc w:val="both"/>
        <w:rPr>
          <w:rFonts w:hint="cs"/>
          <w:rtl/>
        </w:rPr>
      </w:pPr>
      <w:r>
        <w:rPr>
          <w:rFonts w:hint="cs"/>
          <w:rtl/>
        </w:rPr>
        <w:t>112-</w:t>
      </w:r>
      <w:r>
        <w:rPr>
          <w:rFonts w:hint="cs"/>
          <w:rtl/>
        </w:rPr>
        <w:tab/>
        <w:t xml:space="preserve">ومنذ نشأة جمهورية الصين الشعبية، تُعلِّق الحكومة أهمية كبرى على الارتقاء بظروف عيش أفراد الشعب. وإذ ركزت الدولة بلا تردد على الموضوعين الرئيسيين "لكل شخص الحق في التمتع بمسكن لائق" و"التنمية المستدامة في المناطق السكنية أثناء عملية التحضر"، فلقد سرَّعت في خطى تشييد البناءات السكنية، مما أسفر عن تحسن هام في ظروف الإسكان وفي البيئة السكنية لأغلبية الناس. وخلال الفترة من عام 1950 إلى موفى عام 2001، بلغ مجموع مساحة البناءات السكنية في المدن والقرى في مختلف أنحاء البلد 6.86 مليار متر مربع. وفي عام 2001، بلغ متوسط المساحة المبنية في المدن والقرى 20.8 متراً مربعاً للفرد الواحد (انظر الجدول 3)، أي بارتفاع يقدَّر ب‍ 13.6 متراً مربعاً منذ عام 1950. وفي الأثناء، حصلت تحسينات هامة في جودة البناءات والقدرات الوظيفية والبيئة والخدمات المتاحة في الأحياء السكنية. </w:t>
      </w:r>
    </w:p>
    <w:p w:rsidR="00000000" w:rsidRDefault="00000000">
      <w:pPr>
        <w:spacing w:line="380" w:lineRule="exact"/>
        <w:jc w:val="both"/>
        <w:rPr>
          <w:rFonts w:hint="cs"/>
          <w:rtl/>
        </w:rPr>
      </w:pPr>
      <w:r>
        <w:rPr>
          <w:rFonts w:hint="cs"/>
          <w:rtl/>
        </w:rPr>
        <w:t>113-</w:t>
      </w:r>
      <w:r>
        <w:rPr>
          <w:rFonts w:hint="cs"/>
          <w:rtl/>
        </w:rPr>
        <w:tab/>
        <w:t xml:space="preserve">وخلال الفترة من عام 1950 إلى موفى عام 1978، استثمرت الدولة مبلغاً يقدر مجموعه ب‍ 37.4 مليار يوان لبناء نحو 530 مليون متر مربع من المساكن الجديدة في المدن، أي بمتوسط إنجاز سنوي يقدر بزهاء 18 مليون متر مربع. ولأن بناء الأحياء السكنية استلزم نظاماً طويل الأمد من الإيجارات المنخفضة والإعانات السكنية، فإنه لم يتمخض عن دورة مفيدة من الاستثمارات والعائدات، وكان من الصعب أن يجاري نمو البناءات السكنية النمو السريع لسكان المدن. وبعد عام 1978، دخل تشييد الوحدات السكنية في الصين مرحلة نمو سريع. ففي الفترة بين عام 1979 وعام 2001، بلغ مجموع الاستثمارات في بناء الوحدات السكنية في مختلف أنحاء البلاد </w:t>
      </w:r>
      <w:r>
        <w:rPr>
          <w:rtl/>
        </w:rPr>
        <w:br/>
      </w:r>
      <w:r>
        <w:rPr>
          <w:rFonts w:hint="cs"/>
          <w:rtl/>
        </w:rPr>
        <w:t>800 087 4 مليار يوان، أي بمعدل إنجاز سنوي يُقدر في المتوسط ب‍ 248.1 مليون متر مربع. وقامت الدولة بإصلاح كامل لكيفية تخصيص الوحدات السكنية والاستثمار في البناءات الجديدة وتمويلها، وتطوير البناءات الجديدة، ونظم الإدارة المتصلة بذلك. وفي 3 تموز/يوليه 1998، أصدر مجلس الدولة مذكرة بشأن تكثيف الإصلاح في مجال إدارة الإسكان في المدن والقرى، والإسراع في البناءات الجديدة، وكانت هذه المذكرة اقترحت وضع حد لنظام تخصيص استحقاقات الإسكان عيناً والسعي بصورة تدريجية إلى إدخال نظام تخصيص الوحدات السكنية على أساس نقدي. وتختلف سياسات توفير الإسكان باختلاف مستوى دخل الأسر: فالأسر ذات الدخل المنخفض يمكنها أن تستأجر وحدات سكنية ذات كلفة منخفضة تزودها الحكومة أو الوحدة المستخدِمة؛ ويمكن للأسر ذات الدخل المتوسط إلى المنخفض أن تقتني الوحدات السكنية التي تتناسب مع منزلتها الاقتصادية؛ ويمكن للأسر الأخرى ذات الدخل المرتفع أن تشتري أو تستأجر الوحدات السكنية المنشأة لأغراض تجارية على أساس أسعار السوق. وأثار تنفيذ هذه الإصلاحات في قطاع الإسكان اهتماماً كبيراً في صفوف سكان المدن والقرى بشراء مساكنهم الخاصة، وارتفع معدل تملُّك المساكن في صفوف هؤلاء السكان ارتفاعاً حاداً. فهنالك نحو 80 في المائة من الأسر الحضرية التي تملك المنازل التي تعيش فيها، في حين أن أكثر من 70 في المائة من كافة الأسر التي تقيم في المدن بصورة دائمة (بمن فيها الأسر التي تقيم في المدن لفترة تزيد على نصف السنة) مالكة لمنازلها الخاصة. ويبلغ متوسط قيمة المنزل في المدينة 109.400 يوان، أي ما يمثل نسبة 47.9 في المائة من مجموع الأصول التي تملكها الأسرة المعيشية؛ وبالتالي صار المسكن يمثل جزءاً هاماً من الأصول التي تملكها الأسرة المقيمة في المدينة.</w:t>
      </w:r>
    </w:p>
    <w:p w:rsidR="00000000" w:rsidRDefault="00000000">
      <w:pPr>
        <w:spacing w:line="380" w:lineRule="exact"/>
        <w:jc w:val="both"/>
        <w:rPr>
          <w:rFonts w:hint="cs"/>
          <w:rtl/>
        </w:rPr>
      </w:pPr>
      <w:r>
        <w:rPr>
          <w:rFonts w:hint="cs"/>
          <w:rtl/>
        </w:rPr>
        <w:t>114-</w:t>
      </w:r>
      <w:r>
        <w:rPr>
          <w:rFonts w:hint="cs"/>
          <w:rtl/>
        </w:rPr>
        <w:tab/>
        <w:t>وبلغت مساحة الوحدات السكنية الجديدة المنجزة في المدن والقرى بين عام 1998 وعام 2001 ما مجموعه 2.16 مليار متر مربع (دون اعتبار "البلدات المنظَّمة" فيما عدا بالنسبة "للبلدات الواقعة على مشارف المدن"</w:t>
      </w:r>
      <w:r>
        <w:rPr>
          <w:rFonts w:hint="cs"/>
          <w:vertAlign w:val="superscript"/>
          <w:rtl/>
        </w:rPr>
        <w:t>(6)</w:t>
      </w:r>
      <w:r>
        <w:rPr>
          <w:rFonts w:hint="cs"/>
          <w:rtl/>
        </w:rPr>
        <w:t xml:space="preserve"> مباشرة خارج المدن)، أي ما يمثل متوسطاً سنوياً يقدر ب‍ 540 مليون متر مربع. وبلغ مجموع الاستثمارات في الوحدات السكنية المنجزة 2.1 تريليون يوان، أي بمعدل سنوي يقدر ب‍ 526.5 مليار يوان (انظر الرسمين البيانيين 1 و2). وفي عام 2001 بلغت مساحة الوحدات السكنية الجديدة التي تم تشييدها في المدن والقرى 575 مليون متر مربع، أي 3.3 أضعاف الرقم المسجل في عام 1990، بينما بلغت الاستثمارات 626.2 مليار يوان، أي نحو 11.6 أضعاف الرقم المسجل في عام 1990. وأثناء الفترة من عام 1998 إلى موفى عام 2001، ارتفع متوسط المساحات السكنية التي تم تشييدها في المدن في مختلف أنحاء البلد من 18.7 متراً مربعاً إلى 20.8 متراً مربعاً للفرد الواحد، أي بزيادة صافية قدرها 2.1 متر مربع للشخص الواحد، أو بمعدل زيادة سنوية قدرها 0.55 متراً مربعاً (انظر الرسم البياني 3). وفي نهاية عام 2001، بلغ متوسط المساحة المشيَّدة للأسرة المعيشية 65 متراً مربعاً، أي بمتوسط عدد غرف يقدر ب‍ 2.27؛ وكانت نسبة 64 في المائة من الأسر المعيشية تتصرف بغرفتين إلى ثلاث غرف (انظر الجدول 4).</w:t>
      </w:r>
    </w:p>
    <w:p w:rsidR="00000000" w:rsidRDefault="00000000">
      <w:pPr>
        <w:spacing w:line="380" w:lineRule="exact"/>
        <w:jc w:val="both"/>
        <w:rPr>
          <w:rFonts w:hint="cs"/>
          <w:rtl/>
        </w:rPr>
      </w:pPr>
      <w:r>
        <w:rPr>
          <w:rFonts w:hint="cs"/>
          <w:rtl/>
        </w:rPr>
        <w:t>115-</w:t>
      </w:r>
      <w:r>
        <w:rPr>
          <w:rFonts w:hint="cs"/>
          <w:rtl/>
        </w:rPr>
        <w:tab/>
        <w:t>ينص الدستور الصيني على أنه باستثناء الأراضي التي يحددها القانون بوصفها مملوكة للدولة، فإن حيازة كل الأراضي الريفية حيازة جماعية، والأراضي التي تحتاجها الأسر الريفية للإسكان ملكية جماعية. وبعد فترة وجيزة منذ تأسيس جمهورية الصين الشعبية، ارتهن بناء المنازل في القرى الريفية على العموم بالجهود المبذولة من الناس أنفسهم، وذلك لأن متوسط الدخل في صفوف المزارعين كان منخفضاً جداً. وبالإضافة إلى أن مستوى البناء كان منخفضاً، كانت ثمة مشكلات تتعلق بتزويد الماء والكهرباء، وعدم كفاية المرافق الأساسية، إلخ. وكانت ظروف الإسكان بسيطة وقاسية، في حين كانت البيئة السكنية دون المستوى الأمثل.</w:t>
      </w:r>
    </w:p>
    <w:p w:rsidR="00000000" w:rsidRDefault="00000000">
      <w:pPr>
        <w:spacing w:line="380" w:lineRule="exact"/>
        <w:jc w:val="both"/>
        <w:rPr>
          <w:rFonts w:hint="cs"/>
          <w:rtl/>
        </w:rPr>
      </w:pPr>
      <w:r>
        <w:rPr>
          <w:rFonts w:hint="cs"/>
          <w:rtl/>
        </w:rPr>
        <w:t>116-</w:t>
      </w:r>
      <w:r>
        <w:rPr>
          <w:rFonts w:hint="cs"/>
          <w:rtl/>
        </w:rPr>
        <w:tab/>
        <w:t xml:space="preserve">ومنذ عام 1978، تطور الاقتصاد الريفي الصيني بسرعة أكبر. وفي بعض المجتمعات المحلية الريفية بوجه خاص، حيث كانت التنمية الاقتصادية سريعة نسبياً، أصبحت المساكن الأصلية المتدنية الجودة والمشيَّدة يدوياً لا تستجيب لاحتياجات سكان الريف الذين ازدادت ثروتهم. ويجري بصورة تدريجية إدخال نماذج البناءات الحديثة التصميم والعصرية التي تقوم على إقامة المباني المتعددة المساكن والأدوار، مما يسمح بالاقتصاد في استغلال الأرض، وكذلك بتحسين اللوازم والأجهزة الخاصة بتزويد الماء والكهرباء والاتصالات. ونتيجة لذلك، أخذ مستوى الوحدات السكنية الخاصة بالأسر الريفية يرتفع إلى حد كبير (يحتوي الجدول 5 على البيانات المتعلقة بظروف السكن بالنسبة للأسر الريفية). </w:t>
      </w:r>
    </w:p>
    <w:p w:rsidR="00000000" w:rsidRDefault="00000000">
      <w:pPr>
        <w:spacing w:line="380" w:lineRule="exact"/>
        <w:jc w:val="both"/>
        <w:rPr>
          <w:rFonts w:hint="cs"/>
          <w:rtl/>
        </w:rPr>
      </w:pPr>
      <w:r>
        <w:rPr>
          <w:rFonts w:hint="cs"/>
          <w:rtl/>
        </w:rPr>
        <w:t>117-</w:t>
      </w:r>
      <w:r>
        <w:rPr>
          <w:rFonts w:hint="cs"/>
          <w:rtl/>
        </w:rPr>
        <w:tab/>
        <w:t>وبهدف حل مشكلات السكن التي يواجهها سكان المدن والقرى من ذوي الدخل المنخفض والمتوسط، أصدرت حكومة الصين أوامر بشأن إدارة المساكن ذات الإيجار المنخفض في المدن والقرى. وكلما تعلق الأمر بالإسكان، تؤدي الحكومة ووحدات العمل وظيفة الضمان الاجتماعي، حيث توفر للأسر المعيشية ذات الدخل المنخفض المسجَّلة بقائمة المقيمين الدائمين، السكن العادي على أساس الإيجار المنخفض.</w:t>
      </w:r>
    </w:p>
    <w:p w:rsidR="00000000" w:rsidRDefault="00000000">
      <w:pPr>
        <w:spacing w:line="380" w:lineRule="exact"/>
        <w:jc w:val="both"/>
        <w:rPr>
          <w:rStyle w:val="FootnoteReference"/>
          <w:rFonts w:hint="cs"/>
          <w:bCs w:val="0"/>
          <w:vertAlign w:val="baseline"/>
          <w:rtl/>
        </w:rPr>
      </w:pPr>
      <w:r>
        <w:rPr>
          <w:rFonts w:hint="cs"/>
          <w:rtl/>
        </w:rPr>
        <w:t>118-</w:t>
      </w:r>
      <w:r>
        <w:rPr>
          <w:rFonts w:hint="cs"/>
          <w:rtl/>
        </w:rPr>
        <w:tab/>
        <w:t>وتوصلت الحكومة الصينية إلى خفض تكاليف التطوير والبناء من خلال تدابير مثل الإعفاء من الضرائب المفروضة على بيع الأراضي وتخفيض الرسوم والنفقات الإدارية الأخرى بنسبة النصف. وفي الآن نفسه، فرضت قيوداً على أسعار البيع ومستويات الربح المسموح بها لباعثي المشاريع العقارية والوسطاء بهدف الحفاظ على أسعار الوحدات الاقتصادية في مستوى يتوافق أساساً مع المبالغ التي تقدر عليها الأسر ذات الدخل المتوسط إلى المنخفض. وتشجع الدولة الهيئات والمؤسسات المستقلة العاملة في التعدين والصناعة، شرط أن تحترم مخططات تهيئة المدن والخطط الإنمائية الخاصة بها والمبدأ الأساسي لصيانة الأراضي، على جمع الأموال والتعاون في بناء المساكن باستخدام أراضيها الخاصة. ويوجد في الوقت الحالي أكثر من 000 5 شركة إسكان تعاونية للعمال في المدن والقرى، ويبلغ عدد الأسر ذات الدخل المتوسط إلى المنخفض التي انتفعت بالمخططات التعاونية للحصول على السكن المريح 1.5 مليون أسرة. وتوفّر شركات الإسكان التعاونية السكن حسب قدرة المقيمين على الدفع، وتقدم حلاً للمشكلات المتعلقة بإسكان ذوي الدخل المنخفض. كما أن الحكومة تشجع باعثي المشاريع السكنية، من خلال ما تقدمه من مزايا عقارية وضريبية وغيرها من المزايا الأخرى، على تجديد المباني القديمة والخطرة، بما يكفل تحسين البيئة التي يعيش فيها أصحاب الدخل المنخفض. ومن خلال تبسيط الإجراءات البيروقراطية وخفض الضرائب المفروضة على أسواق البيع والإيجار، فإن الحكومة تشجع الأسر ذات الدخل المنخفض والأفراد الملتحقين حديثاً بالقوة العاملة على إعادة شراء أو استئجار المساكن بأسعار مقبولة في الأسواق الثانوية أو أسواق الإيجار.</w:t>
      </w:r>
    </w:p>
    <w:p w:rsidR="00000000" w:rsidRDefault="00000000">
      <w:pPr>
        <w:spacing w:line="380" w:lineRule="exact"/>
        <w:jc w:val="both"/>
        <w:rPr>
          <w:rFonts w:hint="cs"/>
          <w:rtl/>
        </w:rPr>
      </w:pPr>
      <w:r>
        <w:rPr>
          <w:rFonts w:hint="cs"/>
          <w:rtl/>
        </w:rPr>
        <w:t>119-</w:t>
      </w:r>
      <w:r>
        <w:rPr>
          <w:rFonts w:hint="cs"/>
          <w:rtl/>
        </w:rPr>
        <w:tab/>
        <w:t>إن الانتقال إلى تخصيص المساكن على أساس نقدي لـه أثر عملي يتمثل في الرفع من قدرة الأسر ذات الدخل المتوسط إلى المنخفض على دفع تكاليف السكن. وتُقدم للعمال ممَّن ليس لهم مأوى والذين يعيشون في مسكن غير لائق إعانات لرفع قدرتهم على الدفع. وأصدرت الحكومة أوامر بشأن إدارة قروض السكن الشخصية ولوائح تنظيمية تتعلق بإدارة صناديق الإسكان ترفع من فرص منح القروض وتلغي حدود الإقراض القصوى، وتيسِّر الشروط المتعلقة بفترة استحقاق الدين، وتشجع على تطوير القروض المشتركة من صناديق الإسكان ومؤسسات الإقراض التجارية، وتعزز نمو نشاط قروض الإسكان الشخصية. وفي موفى أيلول/سبتمبر 2002، بلغت قيمة القروض السكنية المستحقة لفائدة البنوك التجارية 758.9 مليار يوان أو 8.27 في المائة من مجموع القروض المستحقة، ونحو 40 مرة الرقم المسجل في عام 1997. وبالتالي، أخذ النظام القائم على صناديق الإسكان يتطور بقوة وفقاً لمبادئ يمكن اختصارها كالتالي: "الادخار الشخصي، والمساعدة المالية من وحدة العمل، والإدارة الموحدة، والطلب المحدد". وما برحت القيمة المتراكمة للأموال تزداد (انظر الرسم البياني 4).</w:t>
      </w:r>
    </w:p>
    <w:p w:rsidR="00000000" w:rsidRDefault="00000000">
      <w:pPr>
        <w:spacing w:line="380" w:lineRule="exact"/>
        <w:jc w:val="both"/>
        <w:rPr>
          <w:rFonts w:hint="cs"/>
          <w:rtl/>
        </w:rPr>
      </w:pPr>
      <w:r>
        <w:rPr>
          <w:rFonts w:hint="cs"/>
          <w:rtl/>
        </w:rPr>
        <w:t>120-</w:t>
      </w:r>
      <w:r>
        <w:rPr>
          <w:rFonts w:hint="cs"/>
          <w:rtl/>
        </w:rPr>
        <w:tab/>
        <w:t xml:space="preserve">لما تقتني أسرة مسكناً عادياً لغرض استخدامها الخاص، تُخفض الضريبة المفروضة على سند التملك بنسبة النصف؛ ويُعفى من دفع الضريبية المفروضة على نقل الملكية كل فرد يقتني مسكناً عادياً ويسكنه لفترة سنة كاملة قبل بيعه؛ وتُحسب الضريبة على نقل الملكية في حال بيع مسكن اقتناه فرد ولكن لم يسكنه لفترة سنة كاملة، على أساس الفارق بين سعر البيع وسعر الشراء الأصلي؛ ولا تُدفع أي ضريبة على الدخل بالنسبة للعائدات الناشئة عن بيع مسكنٍ يمثل السكن الأساسي الوحيد لأسرة ما لفترة تزيد على خمس سنوات. ويُبذل جهد كبير لتطوير الخدمات الاستهلاكية السكنية ولتزويد الأسر ذات الدخل المنخفض بتشكيلة كاملة من الخدمات المتعلقة بشراء المساكن وبيعها واستئجارها، من خلال مرافق مثل خدمات تقييم المساكن ووكالات إيجار المساكن والضمانات الائتمانية. </w:t>
      </w:r>
    </w:p>
    <w:p w:rsidR="00000000" w:rsidRDefault="00000000">
      <w:pPr>
        <w:spacing w:line="380" w:lineRule="exact"/>
        <w:jc w:val="both"/>
        <w:rPr>
          <w:rFonts w:hint="cs"/>
          <w:rtl/>
        </w:rPr>
      </w:pPr>
      <w:r>
        <w:rPr>
          <w:rFonts w:hint="cs"/>
          <w:rtl/>
        </w:rPr>
        <w:t>121-</w:t>
      </w:r>
      <w:r>
        <w:rPr>
          <w:rFonts w:hint="cs"/>
          <w:rtl/>
        </w:rPr>
        <w:tab/>
        <w:t>الصين اليوم ودَّعت وإلى الأبد زمن النقص الحاد في المساكن، وارتقت المتطلبات السكنية بالنسبة لسكان المدن من مجرد الطلب العددي إلى طور تكتسي فيه الكمية والجودة نفس القدر من الأهمية. ولتحسين جودة الإسكان، اقترحت الدولة إطار عمل لإنجاز بناءات جديدة يؤكد على " التخطيط الشامل والتصميم العقلاني والتنمية الشاملة والمرافق الكاملة". وأَصدرت الدولة اللوائح التنظيمية والبيانات الخاصة بالسياسات العامة كالأوامر المتعلقة ببناء مساحات سكنية صغيرة جديدة في المدن، وبتفتيش تلك المساحات وقبولها بعد البناء، كما وضعت المخطط الوطني النموذجي الخاص بتشييد الوحدات السكنية السليمة، وتقدمت باقتراحات لرفع جودة تصميم المساكن وتحسينها، واستنبطت المعايير المتعلقة بتصميم الوحدات السكنية، ووضعت الإجراء الخاص بتحديد الخصائص المميزة للوحدات السكنية المنشأة لأغراض تجارية، ومعايير مراقبة التلوث المتعلقة بالبيئة الداخلية في التخطيط والتصميم الهندسي للبنايات المدنية، التي ترسم متطلبات الجودة بالنسبة لبناء الوحدات السكنية والمرافق الثانوية اللازم توفيرها. ويشهد معدل الامتثال للوائح التنظيمية المتعلقة ببناء الوحدات السكنية الحضرية نمواً مطرداً، بينما تسجل معايير الجودة تحسناً من سنة إلى أخرى. وفي الأثناء، أُحرز تقدم كبير فيما يتعلق بمعايير تصميم الوحدات السكنية وتخطيطها، وتطبيق التكنولوجيا الجديدة والإنجازات الحديثة، والإدارة، وكل هذه العوامل تساهم عموماً في الارتقاء بمعايير الإسكان وتشجع على مواصلة التقدم.</w:t>
      </w:r>
    </w:p>
    <w:p w:rsidR="00000000" w:rsidRDefault="00000000">
      <w:pPr>
        <w:spacing w:line="380" w:lineRule="exact"/>
        <w:jc w:val="both"/>
        <w:rPr>
          <w:rFonts w:hint="cs"/>
          <w:rtl/>
        </w:rPr>
      </w:pPr>
      <w:r>
        <w:rPr>
          <w:rFonts w:hint="cs"/>
          <w:rtl/>
        </w:rPr>
        <w:t>122-</w:t>
      </w:r>
      <w:r>
        <w:rPr>
          <w:rFonts w:hint="cs"/>
          <w:rtl/>
        </w:rPr>
        <w:tab/>
        <w:t>إن الحكومة في سعيها إلى تحقيق التنمية الشاملة تستخدم عملية التخطيط لتطلب إلى باعثي المشاريع العقارية أن يوفروا، لدى بناء المجمعات السكنية الجديدة، المرافق الثانوية اللازمة، الثقافية منها والتربوية والصحية، ويزيدوا بالمقابل في عدد المحطات التي تقف عندها وسائل النقل العام في الحي السكني. وبما أن الحكومة تمنح الإعانات المناسبة، يمكن للمقيمين الذين يطلبون مساكن ذات إيجار منخفض أن يختاروا المكان الذي يعيشون فيه وذلك حسب احتياجاتهم. ومنذ عام 1996، لما أصلحت الحكومة النظام القديم المتعلق بإدارة الأحياء السكنية وشرعت في تطوير نظام جديد يجمع بين الإدارة من قِبَل المالك والإدارة من طرف مهنيين مختصين في إدارة العقارات، ازدهرت إدارة الممتلكات في الأحياء السكنية، وتحققت نتائج باهرة في هذا المجال. وتحسنت البيئة السكنية بالنسبة للجماهير العريضة من السكان بصورة ملحوظة، وتعززت جودة الحياة في صفوفهم بصورة واضحة. ولتجسيد حقوق المقيمين تجسيداً كاملاً، تنص اللوائح التنظيمية التي تحكم إدارة الممتلكات بوضوح على أنه ينبغي على الإدارة الحكومية المكلفة بالإشراف أن تأمر بإنشاء لجنة للمالكين في الحي السكني تمثل المالكين في عملية الرصد والقيام بالتفتيش، حال تسليم نسبة 50 في المائة من المساحة المبنية والشروع في استخدامها بالنسبة للأحياء السكنية الجديدة، أو حال إتمام بيع 30 في المائة من المساكن الكائنة في الأحياء السكنية القديمة التي كانت سابقاً مملوكة للدولة. وفي نفس الوقت الذي تسعى فيه الصين إلى النهوض بمعايير الإسكان العامة، يجري التأكيد إلى حد كبير على العلاقة بين العادات الموروثة والابتكار العصري. ولدى تجديد الأحياء الواقعة في المدن العتيقة، تُبذل كل الجهود لحماية المساكن التقليدية القديمة التي تكتسي قيمة ثقافية، وتُرسم المخططات الخاصة بتجديدها واستخدامها بكل عناية. كما أن التخطيط للأحياء السكنية أصبح يهتم تدريجياً أيضاً بالسمات الخاصة لتصميم المساكن التقليدية وبروح التصميم الهندسي المستوحاة من الخارج. وبما أن هذه التأثيرات متمازجة ومتداخلة ومستخدمة على أرض الواقع، فهي تشكل بصورة تدريجية ثقافة سكنية لها نكهة صينية فريدة من نوعها.</w:t>
      </w:r>
    </w:p>
    <w:p w:rsidR="00000000" w:rsidRDefault="00000000">
      <w:pPr>
        <w:spacing w:line="380" w:lineRule="exact"/>
        <w:jc w:val="both"/>
        <w:rPr>
          <w:rFonts w:hint="cs"/>
          <w:rtl/>
        </w:rPr>
      </w:pPr>
      <w:r>
        <w:rPr>
          <w:rFonts w:hint="cs"/>
          <w:rtl/>
        </w:rPr>
        <w:t>123-</w:t>
      </w:r>
      <w:r>
        <w:rPr>
          <w:rFonts w:hint="cs"/>
          <w:rtl/>
        </w:rPr>
        <w:tab/>
        <w:t>ومقارنة مع البلدان المتقدمة، لا تزال معايير الإسكان بالنسبة لسكان المدن في الصين منخفضة إلى حد ما، ولا يزال هناك نحو 150 مليون متر مربع من الوحدات السكنية القديمة والخطيرة التي تستلزم التجديد. وهنالك 1.56 مليون من الأسر التي تفتقر للمسكن، في حين أن متوسط حيز العيش بالنسبة لنحو 000 350 أسرة يقل عن 8 أمتار مربعة للشخص الواحد. ولا يزال بناء الوحدات السكنية يستخدم طرائق إنتاج بدائية، حيث تقل الإنتاجية في الميدان عن خُمس النسبة المسجلة في البلدان المتقدمة. وإنشاء هيئة للنظم الهندسية والهيكلية خاصة بالوحدات السكنية الجديدة، وتعويض المواد التقليدية المستخدمة في المساكن، وتوفير المساكن الرفيعة التجهيزات في وحدات سكنية كاملة، كلها مجالات تستلزم المزيد من التطوير والتدعيم. وبناء عليه، أصبح ملحاً تحسين ظروف الإسكان بالنسبة للأسر ذات الدخل المتوسط إلى المنخفض، وتشجيع مواصلة التقدم في تكنولوجيا البناء، وتحديث النُظم في صناعة بناء المساكن، وإدخال تحسينات عامة على جودة الإسكان عموماً. وسوف يتواصل نمو بناء المساكن في الصين بنسبة سريعة. ويتوقع أثناء فترة المخطط الخُمسي العاشر بناء مساكن إضافية تغطي مساحة قدرها 5.7 من مليارات الأمتار المربعة في المدن والمناطق الريفية على الصعيد الوطني، وبحلول عام 2005، سوف يبلغ متوسط حيز العيش في المناطق الحضرية 23 متراً مربعاً للفرد الواحد.</w:t>
      </w:r>
    </w:p>
    <w:p w:rsidR="00000000" w:rsidRDefault="00000000">
      <w:pPr>
        <w:spacing w:line="380" w:lineRule="exact"/>
        <w:jc w:val="both"/>
        <w:rPr>
          <w:rFonts w:hint="cs"/>
          <w:rtl/>
        </w:rPr>
      </w:pPr>
      <w:r>
        <w:rPr>
          <w:rFonts w:hint="cs"/>
          <w:rtl/>
        </w:rPr>
        <w:t>124-</w:t>
      </w:r>
      <w:r>
        <w:rPr>
          <w:rFonts w:hint="cs"/>
          <w:rtl/>
        </w:rPr>
        <w:tab/>
        <w:t xml:space="preserve">ستواصل الصين جهودها من أجل تطوير السكن اللائق للأسر ذات الدخل المتوسط إلى المنخفض. ومن الضروري ضمان توفير الأراضي التي يمكن أن تُنقل ملكيتها لأغراض بناء الوحدات السكنية بأسعار مقبولة واتباع سياسة تقوم على تخفيض الرسوم الثانوية وجميع أصناف الرسوم الإدارية، بحيث تُخفض تكاليف البناء ويوفَّر السكن بأسعار مقبولة. وفي الأثناء من المزمع اعتماد تشكيلة من المقاربات لحل المشكلات المتعلقة بالإسكان التي يواجهها العمال. وتشتمل هذه المقاربات على تطوير نموذج موحَّد لجمع الأموال من أجل بناء المساكن التعاونية، وتشجيع المؤسسات التي تواجه أوضاعاً صعبة والمناطق التعدينية والصناعية المستقلة على إتاحة أراضيها للاستخدام - بينما تلتزم باحترام المخططات الجاري بها العمل فيما يتعلق باستخدام الأراضي الواقعة في المناطق الحضرية - وتنظيم العمال لجمع الأموال اللازمة للبناء. وسيتم تسريع الجهود الرامية إلى حل الصعوبات التي تواجهها الأسر ذات الدخل المنخفض فيما يتعلق بالإسكان، وذلك مع إدخال تحسينات على نظام توفير السكن بإيجار منخفض، وسوف يُبذل كل جهد ممكن من أجل إيجاد الأموال. وسوف يُقدم المزيد من الدعم لتعويض المساكن القديمة والخطيرة من خلال تنمية البناء وإنشاء تعاونيات الأحياء السكنية بهدف تشجيع الترميم أو إعادة البناء. وسوف تُبذل الجهود لتنشيط السوق العقارية كما سيجري تخفيض الحد الأدنى للدفعات الأولية وسيتم تعديل الإجراء المتعلق بتوزيع عائدات بيع المنزل كما سيُشجع الناس على استبدال منازلهم بأخرى جديدة من أجل تحسين ظروفهم السكنية. وسيجري تطوير نماذج موحَّدة لتمويل الإسكان، وستُدخل تحسينات على نظام صندوق الإسكان. وسوف تُتاح أصناف أخرى من الرهون العقارية الشخصية، وتُحسَّن شروط بوليصات تأمين المساكن وتُتخذ الخطوات اللازمة للتعجيل بإنشاء نظام على الصعيد الوطني لمنح القروض السكنية الشخصية، مما سيؤدي إلى إيجاد نظام متين يحمي من أخطار الرهن العقاري الشخصي، ومزيد تعزيز نمو العمليات التجارية المتصلة بالرهن العقاري. </w:t>
      </w:r>
    </w:p>
    <w:p w:rsidR="00000000" w:rsidRDefault="00000000">
      <w:pPr>
        <w:spacing w:line="380" w:lineRule="exact"/>
        <w:jc w:val="both"/>
        <w:rPr>
          <w:rFonts w:hint="cs"/>
          <w:rtl/>
        </w:rPr>
      </w:pPr>
      <w:r>
        <w:rPr>
          <w:rFonts w:hint="cs"/>
          <w:rtl/>
        </w:rPr>
        <w:t>125-</w:t>
      </w:r>
      <w:r>
        <w:rPr>
          <w:rFonts w:hint="cs"/>
          <w:rtl/>
        </w:rPr>
        <w:tab/>
        <w:t>وسيتواصل العمل فيما يتعلق بقانون الإسكان. والصين في الوقت الراهن بصدد صياغة أول قانون لها يتعلق بالإسكان، ويُعنى في المقام الأول بحماية حقوق المواطنين في السكن والملكية وما يتصل بها من حقوق تتعلق بالاستعمال والإشراف والتصرف والانتفاع.</w:t>
      </w:r>
    </w:p>
    <w:p w:rsidR="00000000" w:rsidRDefault="00000000">
      <w:pPr>
        <w:spacing w:line="380" w:lineRule="exact"/>
        <w:jc w:val="both"/>
        <w:rPr>
          <w:rFonts w:hint="cs"/>
          <w:rtl/>
        </w:rPr>
      </w:pPr>
      <w:r>
        <w:rPr>
          <w:rFonts w:hint="cs"/>
          <w:rtl/>
        </w:rPr>
        <w:t>126-</w:t>
      </w:r>
      <w:r>
        <w:rPr>
          <w:rFonts w:hint="cs"/>
          <w:rtl/>
        </w:rPr>
        <w:tab/>
        <w:t xml:space="preserve">وفيما يتعلق بالحق في الغذاء، ما برحت الصين تجعل من الزراعة أساس الاقتصاد الوطني. ومنذ عهد الإصلاحات المتعلقة بتحرير الاقتصاد والحكومة تعمل على تحقيق استقرار النظام القائم على التعاقد مع الأسر، فطورت المؤسسات في المجتمعات المحلية الريفية، وقامت بصورة تدريجية بتعديل الهياكل الزراعية وباستخدامها على النحو الأمثل، وزادت في الاستثمارات الزراعية، ونفذت استراتيجيات من أجل التنمية المستدامة لصالح المزارعين، واتخذت تدابير فعلية لزيادة الإنتاج الزراعي والحد من مستويات الفقر. والصين، بوصفها بلداً نامياً يعيش فيه عدد كبير من السكان، أوفت بواجبها ودعمت الحق العالمي في الحصول على الغذاء الكافي، فجلبت بما حققته من إنجازات انتباه العالم لها. </w:t>
      </w:r>
    </w:p>
    <w:p w:rsidR="00000000" w:rsidRDefault="00000000">
      <w:pPr>
        <w:spacing w:line="380" w:lineRule="exact"/>
        <w:jc w:val="both"/>
        <w:rPr>
          <w:rFonts w:hint="cs"/>
          <w:rtl/>
        </w:rPr>
      </w:pPr>
      <w:r>
        <w:rPr>
          <w:rFonts w:hint="cs"/>
          <w:rtl/>
        </w:rPr>
        <w:t>127-</w:t>
      </w:r>
      <w:r>
        <w:rPr>
          <w:rFonts w:hint="cs"/>
          <w:rtl/>
        </w:rPr>
        <w:tab/>
        <w:t xml:space="preserve">سعت الحكومة الصينية جاهدة إلى إنفاذ اللوائح التنظيمية المتعلقة بحماية الأراضي المستخدمة أساساً للأغراض الزراعية، التي تم إصدارها في عام 1994، وأنشأت مناطق لحماية الأراضي الزراعية الأساسية. وتنص هذه اللوائح على أن مساحة الأراضي الزراعية يجب أن تغطي ما يزيد على 80 في المائة من كل الأراضي الصالحة للزراعة في كل مقاطعة وإقليم مستقل ذاتياً وبلدية خاضعة للإدارة المباشرة ومنطقة إدارية. ومنذ إنشاء هذه المناطق، تم فرض رقابة صارمة عليها، وفيما عدا الاستثناءات التي يوافق عليها مجلس الدولة بالاستناد إلى أسس يحددها القانون، لا يجوز لأي فرد أو كيان أن يغير استعمالها المحدد أو يشغلها بأي طريقة أخرى. </w:t>
      </w:r>
    </w:p>
    <w:p w:rsidR="00000000" w:rsidRDefault="00000000">
      <w:pPr>
        <w:spacing w:line="380" w:lineRule="exact"/>
        <w:jc w:val="both"/>
        <w:rPr>
          <w:rFonts w:hint="cs"/>
          <w:rtl/>
        </w:rPr>
      </w:pPr>
      <w:r>
        <w:rPr>
          <w:rFonts w:hint="cs"/>
          <w:rtl/>
        </w:rPr>
        <w:t>128-</w:t>
      </w:r>
      <w:r>
        <w:rPr>
          <w:rFonts w:hint="cs"/>
          <w:rtl/>
        </w:rPr>
        <w:tab/>
        <w:t>تواصل الدولة زيادة الاستثمارات الزراعية بهدف تحسين ظروف النشاط الزراعي، وتشتمل استثماراتها الزراعية الرئيسية على تسخير الموارد التي توفرها الأنهار الكبرى وإنشاء مراكز السلع الزراعية وتعزيز التنمية الزراعية المتنوعة والشاملة ووضع الأسس اللازمة للهياكل الأساسية الزراعية وإحداث وتطوير النظم الخاصة بالبحث والتعليم والتكنولوجيا في المجال الزراعي. وفي عام 1999، بلغت الاعتمادات التي خصصتها الإدارة المالية العامة للزراعة 576 108 مليار يوان، أي نحو 1.9 مرات المبلغ الذي منح في عام 1995. وفي عام 1999 أيضاً، ومن أصل مبلغ 110 مليار يوان من الائتمانات الوطنية الجديدة التي وفرتها الحكومة، تم استثمار نحو 37.5 مليار يوان لتحسين ظروف النشاط الزراعي والري وحماية الغابات الطبيعية وحماية النظم الإيكولوجية الطبيعية والبيئة والمشاريع الهندسية الخاصة بالاقتصاد في مياه الري إلخ.</w:t>
      </w:r>
    </w:p>
    <w:p w:rsidR="00000000" w:rsidRDefault="00000000">
      <w:pPr>
        <w:spacing w:line="380" w:lineRule="exact"/>
        <w:jc w:val="both"/>
        <w:rPr>
          <w:rFonts w:hint="cs"/>
          <w:rtl/>
        </w:rPr>
      </w:pPr>
      <w:r>
        <w:rPr>
          <w:rFonts w:hint="cs"/>
          <w:rtl/>
        </w:rPr>
        <w:t>129-</w:t>
      </w:r>
      <w:r>
        <w:rPr>
          <w:rFonts w:hint="cs"/>
          <w:rtl/>
        </w:rPr>
        <w:tab/>
        <w:t>منذ عام 1996، وتحت تأثير البيئة الاقتصادية، بدأت تبرز مشكلات لها صلة بالطلب المحدود على المنتجات الزراعية. فزيادة الإنتاج الزراعي الإجمالي لا يمكن أن توفر فرص عمل وموارد دخل إضافية لسكان الريف. وفي بعض الحالات، يرتفع الإنتاج دون أن يرافقه ارتفاع في الدخل؛ وفي حالات أخرى، تبرز التناقضات عندما يرتفع الإنتاج والدخل، ولكن دون أي تناسق. وبناءً عليه، شرعت الحكومة الصينية في عام 1999 في تنفيذ مجموعة أخرى من إجراءات التكيف الهيكلي، ويمكن في الوقت الراهن اعتبار أن هذه الإجراءات الاستراتيجية الخاصة بتكييف هيكل الاقتصاد الزراعي واقتصاد المجتمعات المحلية الريفية كانت فعالة جداً.</w:t>
      </w:r>
    </w:p>
    <w:p w:rsidR="00000000" w:rsidRDefault="00000000">
      <w:pPr>
        <w:spacing w:line="380" w:lineRule="exact"/>
        <w:jc w:val="both"/>
        <w:rPr>
          <w:rFonts w:hint="cs"/>
          <w:rtl/>
        </w:rPr>
      </w:pPr>
      <w:r>
        <w:rPr>
          <w:rFonts w:hint="cs"/>
          <w:rtl/>
        </w:rPr>
        <w:t>130-</w:t>
      </w:r>
      <w:r>
        <w:rPr>
          <w:rFonts w:hint="cs"/>
          <w:rtl/>
        </w:rPr>
        <w:tab/>
        <w:t xml:space="preserve">وفي الآن نفسه،حيث يواصل كل إقليم التأكيد على أهمية الحفاظ على طاقة إنتاجه الغذائي، تُبذَلُ جهود نشيطة لتنمية المحاصيل ذات العائدات الاقتصادية العالية، والمحاصيل العلفية. ولقد بدأت صناعة المنتجات الزراعية تشكل صورة أولية تبرز النمو المتناسق في محاصيل الحبوب الغذائية والمحاصيل ذات العائدات الاقتصادية العالية والمحاصيل العلفية. وعلى وجه التحديد، بدأ ازدهار صناعة تعتمد الاستخدام الكثيف لليد العاملة وتقوم على الخضر والفاكهة والزهور ومنتجات شبيهة أخرى، وأصبحت هذه الصناعة تمثل مصدراً جديداً لنمو دخل المزارعين. وتنتهز كل المجتمعات المحلية الفرصة عندما يبلغ إنتاج المحاصيل الغذائية مستويات كافية للتعجيل بإنتاج الماشية والسمك والطيور المائية لضمان تزويد السوق. وكان لهذا أثر هام في تعزيز دخل المزارعين. ويعمل كل إقليم ليجعل من رفع جودة المنتج وتنمية المنتجات المتخصصة المعروضة في السوق السمات الرئيسية في تنظيم الهياكل الزراعية، مع زراعة أنواع محددة ومنتجات تحمل أسماء علامات تجارية ذات جودة عالية في الآن نفسه. وفي الوقت الحالي، تبلغ مساحة الأراضي التي تنتج أرزاً ذا جودة عالية على النطاق الوطني 250 مليون مو </w:t>
      </w:r>
      <w:r>
        <w:rPr>
          <w:rtl/>
        </w:rPr>
        <w:br/>
      </w:r>
      <w:r>
        <w:rPr>
          <w:rFonts w:hint="cs"/>
          <w:rtl/>
        </w:rPr>
        <w:t xml:space="preserve">(1 مو = 0.0667 هكتار)، أي أكثر من نصف مجموع الأراضي المزروعة أرزاً. وهناك مساحة تقدر بنحو 109 ملايين مو مزروعة قمحاً من الصنف الأعلى، أي نسبة 31 في المائة من مجموع محصول القمح، وهو ما يدل على التحول من ارتباط طويل الأمد بالواردات نحو إنتاج متخصص للقمح. وتبلغ المساحة المزروعة ببذور اللفت الزيتي ذي الجودة العالية 71 مليون مو، أي نحو 62 في المائة من مجموع المساحة المزروعة من بذور اللفت الزيتي، في حين تبلغ المساحة المزروعة بالذرة الغنية بالمواد الدهنية والبروتينات 89 مليون مو. كما أن نسبة الأنواع الرفيعة من الماشية والدواجن والمنتجات المائية والفاكهة والخضر الطازجة التي يجري إنتاجها تشهد ارتفاعاً كبيراً. وأصبحت الجوانب المتعلقة بسلامة وصحة المنتجات الزراعية تحظى بعناية متزايدة، في حين تشهد أصناف المنتجات الغذائية غير الملوَّثة والخضراء والعضوية نمواً سريعاً. ويؤكد كل إقليم على نقاط قوّة موقعه الجغرافي والموارد الزراعية المستغلة فيه، ويعمل على إنشاء صناعات إقليمية أساسية وداعمة. بالفعل، أخذت التوجهات نحو الزراعة الإقليمية والتقسيم المتخصص للعمل والإنتاج الجماعي تزداد وضوحاً بصورة تدريجية. وتبلغ المساحة المزروعة أرزاً في حوض نهر يانغتسي نسبة 65.7 في المائة من المجموع الوطني، في حين تمثل المساحة المزروعة قمحاً في سهول هوانغ - هواي - هاي نسبة 60 في المائة من المجموع الوطني. ويستأثر الشمال الشرقي والمقاطعات الثلاث لهيباي وشندونغ وهينان معاً نسبة 55 في المائة من الأراضي الصينية المزروعة ذرة. وفي الأثناء بدأت الزراعات الزيتية تبرز شأنها شأن بذور اللفت الزيتي في حوض نهر يانغتسي، والفول السوداني في سهول هوانغ - هواي - هاي، وفول الصويا في الشمال الشرقي. </w:t>
      </w:r>
    </w:p>
    <w:p w:rsidR="00000000" w:rsidRDefault="00000000">
      <w:pPr>
        <w:spacing w:line="380" w:lineRule="exact"/>
        <w:jc w:val="both"/>
        <w:rPr>
          <w:rFonts w:hint="cs"/>
          <w:rtl/>
        </w:rPr>
      </w:pPr>
      <w:r>
        <w:rPr>
          <w:rFonts w:hint="cs"/>
          <w:rtl/>
        </w:rPr>
        <w:t>131-</w:t>
      </w:r>
      <w:r>
        <w:rPr>
          <w:rFonts w:hint="cs"/>
          <w:rtl/>
        </w:rPr>
        <w:tab/>
        <w:t>وأدخلت الحكومة في السنوات الأخيرة إصلاحات على نظم تداول الأغذية، وتشتمل هذه الإصلاحات على الشراء الحر لفائض إنتاج المزارعين بأسعار محمية، والبيع بأسعار مناسبة من طرف المؤسسات المختصة بالمشتريات الغذائية، وتداول الصناديق المخصصة لشراء الحبوب بصورة متواصلة، وتعجيل الإصلاحات الداخلية في الشركات الغذائية. وجرى تعزيز هذه الإصلاحات في عام 2001 باتخاذ تدابير تنص على إنشاء مناطق حرة للبيع، وحماية مناطق الإنتاج، وتشديد إجراءات الرقابة وتكليف محافظي المقاطعات بمتابعة هذه المسائل. وكانت هذه التدابير جد فعالة في تحقيق استقرار إنتاج الأغذية وضمان الأمن الغذائي. ومنذ التسعينات، شرعت الحكومة بمحض إرادتها في عملية تحرير تجارة المنتجات الزراعية، وقامت بإصلاح النظم التي تحكم توريد المنتجات الزراعية وتصديرها. وأحرزت الصين تقدماً هاماً في مجال تفكيك الحواجز غير الجمركية أمام تجارة المنتجات الزراعية، وذلك عملاً بتوجيهات منظمة التجارة العالمية لترتيب ومراجعة القوانين المحلية المتعلقة بالزراعة والامتثال للقواعد الدولية التي تنظم التجارة الخارجية للمنتجات الزراعية.</w:t>
      </w:r>
    </w:p>
    <w:p w:rsidR="00000000" w:rsidRDefault="00000000">
      <w:pPr>
        <w:spacing w:line="380" w:lineRule="exact"/>
        <w:jc w:val="both"/>
        <w:rPr>
          <w:rFonts w:hint="cs"/>
          <w:rtl/>
        </w:rPr>
      </w:pPr>
      <w:r>
        <w:rPr>
          <w:rFonts w:hint="cs"/>
          <w:rtl/>
        </w:rPr>
        <w:t>132-</w:t>
      </w:r>
      <w:r>
        <w:rPr>
          <w:rFonts w:hint="cs"/>
          <w:rtl/>
        </w:rPr>
        <w:tab/>
        <w:t xml:space="preserve">وفي بعض المناطق، أسفر إرهاق المراعي والاستغلال المفرط للأراضي البكر عن إلحاق أضرار بالتوازن الإيكولوجي، اقترنت بآثار سيئة مثل التصحر وتدهور التربة وتملح الأراضي. وهذه الكوارث التي يسببها الإنسان، والتي تضاف إلى أثر الكوارث الطبيعية، تلحق أضراراً خطيرة بالتنمية المستدامة للزراعة الصينية. وانتهجت الحكومة مجموعة من السياسات واتخذت مجموعة من التدابير العملية لمكافحة هذه الأضرار والتخفيف من حدتها والوقاية منها، وضاعفت الجهود لحماية المواد الزراعية والبيئة الطبيعية، ودفع قدرة الإنتاج الزراعي على الانتعاش وتعزيز دورة مفيدة تقوم على التنمية الزراعية وحفظ الموارد وحماية البيئة. </w:t>
      </w:r>
    </w:p>
    <w:p w:rsidR="00000000" w:rsidRDefault="00000000">
      <w:pPr>
        <w:spacing w:line="380" w:lineRule="exact"/>
        <w:jc w:val="both"/>
        <w:rPr>
          <w:rStyle w:val="FootnoteReference"/>
          <w:rFonts w:hint="cs"/>
          <w:bCs w:val="0"/>
          <w:vertAlign w:val="baseline"/>
          <w:rtl/>
        </w:rPr>
      </w:pPr>
      <w:r>
        <w:rPr>
          <w:rFonts w:hint="cs"/>
          <w:rtl/>
        </w:rPr>
        <w:t>133-</w:t>
      </w:r>
      <w:r>
        <w:rPr>
          <w:rFonts w:hint="cs"/>
          <w:rtl/>
        </w:rPr>
        <w:tab/>
        <w:t xml:space="preserve">تمكنت الصين بفضل تضاريسها المواتية من الاضطلاع بعدد كبير من المشاريع الخاصة بحفظ المياه في مختلف أنحاء البلاد، وذلك للتخفيف من حدة المشكلات الناشئة عن التفاوت في الموارد المائية وعدم انتظامها على امتداد المواسم. وأصبحت هياكل الري الأساسية منتشرة وازدادت مساحة الأراضي المروية. وبُذِلَتْ جهود ضخمة لتطوير نظم الري المقتصدة للمياه والزراعات الجافة، التي ارتقت بمعدلات الاستخدام الفعال لمياه الري ومياه الأمطار على حد سواء. وتعمل الدولة على تطوير التكنولوجيات لمعالجة الأمراض والآفات النباتية في المحاصيل الرئيسية، والتقنيات التي تكفل حماية الفاكهة والخضر من التكسينات، ومكافحة الجراد ومكافحة مصادر الضرر البيولوجي. ويبلغ إجمالي مساحة الأراضي المشمولة بإجراءات للحد من التحات 000 830 كيلومتر مربع. ويجري العمل بمراقبة المياه على مساحة تقدر ب‍ 1.68 مليون كيلومتر مربع تشمل 26 مقاطعة و910 من الأقاليم. ويُمنَع الإخلال بتوازن المراعي أو إلحاق الضرر بها، وحيثما كان استغلال المراعي بشكل محدود مسموحاً به، يجب الحصول على ترخيص من الحكومة الشعبية على مستوى الإقليم أو على مستوى أعلى. وكلما حصل الاستغلال فعلاً وأسفر عن تصحر أو تحات خطير للتربة، يمكن للحكومة الشعبية على مستوى الإقليم أو على مستوى أعلى أن تحدد موعداً نهائياً لوقف ذلك الاستغلال وتأمر بإعادة الأرض إلى حالتها النباتية الطبيعية. ويجب وقف الزراعة ليُستأْنَفَ الرعي. كما يُمنَع قطف النباتات الطبية وقطع أو اقتلاع الجليبات والأشجار وغيرها من النباتات المثبتة للرمل في المناطق البرية وشبه البرية والصحراوية. ويمكن أن تطبق التدابير التالية في المناطق حيث يتم وقف الزراعة ويصدر أمر بإعادة الغابات أو المراعي الطبيعية بهدف تحسين البيئة: (أ) لا تقدم أي تعويضات لفائدة المزارع بل تعطى لـه كمية محددة من الأغذية؛ (ب) تدفع للمزارع التعويضات النقدية المناسبة؛ (ج) لا تقدم أي تعويضات لفائدة المزارع وإنما تمنح لـه البذور؛ (د) يطبق المبدأ القائل بأن أي شخص يزرع الغابة أو المرعى ويعتني بهما، يمكنه إثر ذلك أن يجني ثمار عمله. </w:t>
      </w:r>
    </w:p>
    <w:p w:rsidR="00000000" w:rsidRDefault="00000000">
      <w:pPr>
        <w:spacing w:line="380" w:lineRule="exact"/>
        <w:jc w:val="both"/>
        <w:rPr>
          <w:rFonts w:hint="cs"/>
          <w:rtl/>
        </w:rPr>
      </w:pPr>
      <w:r>
        <w:rPr>
          <w:rFonts w:hint="cs"/>
          <w:rtl/>
        </w:rPr>
        <w:t>134-</w:t>
      </w:r>
      <w:r>
        <w:rPr>
          <w:rFonts w:hint="cs"/>
          <w:rtl/>
        </w:rPr>
        <w:tab/>
        <w:t xml:space="preserve">في عام 1996، وللمرة الأولى، تخطى إنتاج الصين من الحبوب 500 مليون طن، وبقي مستقراً على ذلك المستوى خلال السنوات الأربع التالية (يرد في الرسم البياني 5 استعراض عام للأرقام المتعلقة بإنتاج الصين من الحبوب للفترة من 1994 إلى 2000). وفي الوقت الحالي، يساوي متوسط إنتاج الفرد الواحد في الصين من المنتجات الزراعية الهامة المعدلات العالمية أو يفوقها. وفي الفترة من عام 1996 إلى عام 2001، بلغ متوسط إنتاج الحبوب للفرد الواحد (بما في ذلك الحصة المحولة إلى علف، كما هو الشأن بالنسبة إلى الأرقام أدناه)، زهاء 400 كيلوغرام، في حين بلغ متوسط إنتاج اللحوم للفرد الواحد نحو 40 كيلوغراماً؛ ومنتجات الزراعة المائية نحو 30 كيلوغراماً والفواكه نحو 50 كيلوغراماً؛ والخضر نحو 300 كيلوغرام. وباستثناء الفاكهة، فإن هذه الأرقام تفوق المعدلات العالمية في كل الحالات. وتستفيد الصين من الموارد والأسواق الدولية والمحلية لتعزيز تنمية زراعتها ومجتمعاتها المحلية الريفية. وبما أن العرض المحلي للمنتجات الزراعية في الصين يفوق الطلب، فإن الصين قادرة على التحكم في هياكل السوق وفي توافر أنواع مختلفة من المنتجات عن طريق التجارة؛ ففي الفترة من 1996 إلى 2000، بلغت الواردات الصينية من المواد الغذائية 47.41 مليون طن في حين بلغت صادراتها 40.67 مليون طن. وبلغ متوسط الواردات السنوية الصافية 1.35 مليون طن (يرد في الرسم البياني 6 استعراض عام للأرقام المتعلقة بالواردات والصادرات الصينية من الأغذية خلال الفترة من عام 1994 إلى عام 2000). </w:t>
      </w:r>
    </w:p>
    <w:p w:rsidR="00000000" w:rsidRDefault="00000000">
      <w:pPr>
        <w:spacing w:line="380" w:lineRule="exact"/>
        <w:jc w:val="both"/>
        <w:rPr>
          <w:rFonts w:hint="cs"/>
          <w:rtl/>
        </w:rPr>
      </w:pPr>
      <w:r>
        <w:rPr>
          <w:rFonts w:hint="cs"/>
          <w:rtl/>
        </w:rPr>
        <w:t>135-</w:t>
      </w:r>
      <w:r>
        <w:rPr>
          <w:rFonts w:hint="cs"/>
          <w:rtl/>
        </w:rPr>
        <w:tab/>
        <w:t xml:space="preserve">وفي الفترة من 1996 إلى 2000، ارتفع متوسط دخل السكان الحضريين في الصين بنسبة 6.2 في المائة سنوياً، وتحسنت نوعية حياتهم وانخفض مُعامل إنغلس من 48.6 في المائة في عام 1996 إلى 39.2 في المائة في عام 2000. وفي عام 2000، بلغ متوسط استهلاك الحبوب (غير المصنّعة) للفرد الواحد في صفوف السكان الحضريين في الصين 108 كيلوغرام، أي بانخفاض يقدر بنحو 17 </w:t>
      </w:r>
      <w:r>
        <w:rPr>
          <w:rFonts w:hint="eastAsia"/>
          <w:rtl/>
        </w:rPr>
        <w:t>كيلوغراماً</w:t>
      </w:r>
      <w:r>
        <w:rPr>
          <w:rFonts w:hint="cs"/>
          <w:rtl/>
        </w:rPr>
        <w:t xml:space="preserve"> بالمقارنة مع عام 1996. وخلال الفترة ذاتها، ارتفع متوسط استهلاك الفرد الواحد من المنتجات الحيوانية (لحم وبيض وسمك وفواكه البحر) من 43.2 </w:t>
      </w:r>
      <w:r>
        <w:rPr>
          <w:rFonts w:hint="eastAsia"/>
          <w:rtl/>
        </w:rPr>
        <w:t>كيلوغراماً</w:t>
      </w:r>
      <w:r>
        <w:rPr>
          <w:rFonts w:hint="cs"/>
          <w:rtl/>
        </w:rPr>
        <w:t xml:space="preserve"> إلى 46.6 </w:t>
      </w:r>
      <w:r>
        <w:rPr>
          <w:rFonts w:hint="eastAsia"/>
          <w:rtl/>
        </w:rPr>
        <w:t>كيلوغراماً</w:t>
      </w:r>
      <w:r>
        <w:rPr>
          <w:rFonts w:hint="cs"/>
          <w:rtl/>
        </w:rPr>
        <w:t xml:space="preserve">. ومن وجهة نظر أنماط الاستهلاك، يعتبر حق سكان الصين الحضريين في الغذاء الكافي حقاً مضموناً إلى حد بعيد، وقد اتخذت خطوات هامة لرفع جودة التغذية وتحسينها (يرد في الجدول 6 استعراض عام للتغيرات الحاصلة في الدخل المتاح، ومُعامل إنغلس، واستهلاك الحبوب، واستهلاك المنتجات الحيوانية، لدى سكان الصين الحضريين أثناء الفترة من عام 1996 إلى عام 2000). </w:t>
      </w:r>
    </w:p>
    <w:p w:rsidR="00000000" w:rsidRDefault="00000000">
      <w:pPr>
        <w:spacing w:line="380" w:lineRule="exact"/>
        <w:jc w:val="both"/>
        <w:rPr>
          <w:rFonts w:hint="cs"/>
          <w:b/>
          <w:bCs/>
          <w:rtl/>
        </w:rPr>
      </w:pPr>
      <w:r>
        <w:rPr>
          <w:rFonts w:hint="cs"/>
          <w:rtl/>
        </w:rPr>
        <w:t>136-</w:t>
      </w:r>
      <w:r>
        <w:rPr>
          <w:rFonts w:hint="cs"/>
          <w:rtl/>
        </w:rPr>
        <w:tab/>
        <w:t xml:space="preserve">أثناء الفترة من عام 1996 إلى عام 2000، نما متوسط الدخل الصافي للفرد الواحد لدى السكان الريفيين في الصين من 926 1 يوان إلى 253 2 يوان، أي بمتوسط ارتفاع سنوي يقدر ب‍ 3.7 </w:t>
      </w:r>
      <w:r>
        <w:rPr>
          <w:rFonts w:hint="eastAsia"/>
          <w:rtl/>
        </w:rPr>
        <w:t>في</w:t>
      </w:r>
      <w:r>
        <w:t xml:space="preserve"> </w:t>
      </w:r>
      <w:r>
        <w:rPr>
          <w:rtl/>
        </w:rPr>
        <w:t>المائة</w:t>
      </w:r>
      <w:r>
        <w:rPr>
          <w:rFonts w:hint="cs"/>
          <w:rtl/>
        </w:rPr>
        <w:t xml:space="preserve"> أدى إلى تحسن واضح في مستويات المعيشة. وانخفض مُعامل إنغلس لدى المقيمين في الأرياف أثناء الفترة ذاتها من 56.3 فـ</w:t>
      </w:r>
      <w:r>
        <w:rPr>
          <w:rFonts w:hint="eastAsia"/>
          <w:rtl/>
        </w:rPr>
        <w:t>ي</w:t>
      </w:r>
      <w:r>
        <w:rPr>
          <w:rFonts w:hint="cs"/>
          <w:rtl/>
        </w:rPr>
        <w:t xml:space="preserve"> الما</w:t>
      </w:r>
      <w:r>
        <w:rPr>
          <w:rtl/>
        </w:rPr>
        <w:t>ئة</w:t>
      </w:r>
      <w:r>
        <w:rPr>
          <w:rFonts w:hint="cs"/>
          <w:rtl/>
        </w:rPr>
        <w:t xml:space="preserve"> إلى 49.1 </w:t>
      </w:r>
      <w:r>
        <w:rPr>
          <w:rFonts w:hint="eastAsia"/>
          <w:rtl/>
        </w:rPr>
        <w:t>في</w:t>
      </w:r>
      <w:r>
        <w:t xml:space="preserve"> </w:t>
      </w:r>
      <w:r>
        <w:rPr>
          <w:rtl/>
        </w:rPr>
        <w:t>المائة</w:t>
      </w:r>
      <w:r>
        <w:rPr>
          <w:rFonts w:hint="cs"/>
          <w:rtl/>
        </w:rPr>
        <w:t xml:space="preserve">. وهبط متوسط استهلاك الحبوب للفرد الواحد من 256.2 </w:t>
      </w:r>
      <w:r>
        <w:rPr>
          <w:rFonts w:hint="eastAsia"/>
          <w:rtl/>
        </w:rPr>
        <w:t>كيلوغراماً</w:t>
      </w:r>
      <w:r>
        <w:rPr>
          <w:rFonts w:hint="cs"/>
          <w:rtl/>
        </w:rPr>
        <w:t xml:space="preserve"> إلى 249.5 </w:t>
      </w:r>
      <w:r>
        <w:rPr>
          <w:rFonts w:hint="eastAsia"/>
          <w:rtl/>
        </w:rPr>
        <w:t>كيلوغراماً</w:t>
      </w:r>
      <w:r>
        <w:rPr>
          <w:rFonts w:hint="cs"/>
          <w:rtl/>
        </w:rPr>
        <w:t xml:space="preserve">، بينما ارتفع استهلاك اللحوم من 14.83 </w:t>
      </w:r>
      <w:r>
        <w:rPr>
          <w:rFonts w:hint="eastAsia"/>
          <w:rtl/>
        </w:rPr>
        <w:t>كيلوغراماً</w:t>
      </w:r>
      <w:r>
        <w:rPr>
          <w:rFonts w:hint="cs"/>
          <w:rtl/>
        </w:rPr>
        <w:t xml:space="preserve"> إلى 17.48 </w:t>
      </w:r>
      <w:r>
        <w:rPr>
          <w:rFonts w:hint="eastAsia"/>
          <w:rtl/>
        </w:rPr>
        <w:t>كيلوغراماً</w:t>
      </w:r>
      <w:r>
        <w:rPr>
          <w:rFonts w:hint="cs"/>
          <w:rtl/>
        </w:rPr>
        <w:t xml:space="preserve"> (انظر الجدول 7). وبفضل تنفيذ الخطة الوطنية "8-7" لشن الحرب على الفقر، واستهلال خطة دعم الفقراء من الشرق إلى الغرب، تواصل انخفاض عدد السكان الفقراء في المجتمعات المحلية الريفية. وبعيداً عن كل خداع سياسي، زادت الدولة بشكل كبير في استثماراتها من أجل التخفيف من حدة الفقر. وارتفع مجموع التمويلات المخصصة لبرامج رئيسية ثلاثة (قروض ذات فوائد منخفضة، والعمل من أجل تحقيق الرفاه، والتمويل الإنمائي) من 9.8 مليار يوان في عام 1995 إلى 25.8 مليار يوان في عام 1999، أي زيادة قدرها 163 </w:t>
      </w:r>
      <w:r>
        <w:rPr>
          <w:rFonts w:hint="eastAsia"/>
          <w:rtl/>
        </w:rPr>
        <w:t>في</w:t>
      </w:r>
      <w:r>
        <w:t xml:space="preserve"> </w:t>
      </w:r>
      <w:r>
        <w:rPr>
          <w:rtl/>
        </w:rPr>
        <w:t>المائة</w:t>
      </w:r>
      <w:r>
        <w:rPr>
          <w:rFonts w:hint="cs"/>
          <w:rtl/>
        </w:rPr>
        <w:t xml:space="preserve">. وانخفض عدد الناس الذين يواجهون مشكلات كفاف أساسية في المجتمعات المحلية الريفية من 250 مليون شخص في عام 1978 إلى نحو 30 مليوناً في الوقت الحالي، في حين أن نسبة الفقر التي انخفضت من 30.7 </w:t>
      </w:r>
      <w:r>
        <w:rPr>
          <w:rFonts w:hint="eastAsia"/>
          <w:rtl/>
        </w:rPr>
        <w:t>في</w:t>
      </w:r>
      <w:r>
        <w:t xml:space="preserve"> </w:t>
      </w:r>
      <w:r>
        <w:rPr>
          <w:rtl/>
        </w:rPr>
        <w:t>المائة</w:t>
      </w:r>
      <w:r>
        <w:rPr>
          <w:rFonts w:hint="cs"/>
          <w:rtl/>
        </w:rPr>
        <w:t xml:space="preserve"> في عام 1978 إلى 5.44 </w:t>
      </w:r>
      <w:r>
        <w:rPr>
          <w:rFonts w:hint="eastAsia"/>
          <w:rtl/>
        </w:rPr>
        <w:t>في</w:t>
      </w:r>
      <w:r>
        <w:t xml:space="preserve"> </w:t>
      </w:r>
      <w:r>
        <w:rPr>
          <w:rtl/>
        </w:rPr>
        <w:t>المائة</w:t>
      </w:r>
      <w:r>
        <w:rPr>
          <w:rFonts w:hint="cs"/>
          <w:rtl/>
        </w:rPr>
        <w:t xml:space="preserve"> في عام 1996 استمرت في الانخفاض لتهبط إلى 2.5 </w:t>
      </w:r>
      <w:r>
        <w:rPr>
          <w:rFonts w:hint="eastAsia"/>
          <w:rtl/>
        </w:rPr>
        <w:t>في</w:t>
      </w:r>
      <w:r>
        <w:t xml:space="preserve"> </w:t>
      </w:r>
      <w:r>
        <w:rPr>
          <w:rtl/>
        </w:rPr>
        <w:t>المائة</w:t>
      </w:r>
      <w:r>
        <w:rPr>
          <w:rFonts w:hint="cs"/>
          <w:rtl/>
        </w:rPr>
        <w:t xml:space="preserve"> في عام 2000. وفي الوقت الحالي، فإن مستويات الدخل في صفوف سكان الأرياف في معظم المناطق الفقيرة صارت بالأساس قريبة من المستويات المسجلة في المناطق الأخرى. وبمتوسط إنتاج حبوب للفرد الواحد يناهز 400 </w:t>
      </w:r>
      <w:r>
        <w:rPr>
          <w:rFonts w:hint="eastAsia"/>
          <w:rtl/>
        </w:rPr>
        <w:t>كيلوغرام</w:t>
      </w:r>
      <w:r>
        <w:rPr>
          <w:rFonts w:hint="cs"/>
          <w:rtl/>
        </w:rPr>
        <w:t>، يعتبر حق فقراء الصين الريفيين في الغذاء الكافي مضموناً إلى حد بعيد، والمشكلة الأكثر إلحاحاً في الوقت الحالي هي كيف يمكن النهوض بدخل سكان الريف وبمستويات معيشتهم (يرد في الجدول 8 استعراض عام للسكان الذين يعيشون في فقر في المناطق الريفية في الصين، ونسبة هؤلاء السكان إلى مجموع السكان أثناء الفترة من عام 1995 إلى عام 2000).</w:t>
      </w:r>
    </w:p>
    <w:p w:rsidR="00000000" w:rsidRDefault="00000000">
      <w:pPr>
        <w:spacing w:line="380" w:lineRule="exact"/>
        <w:jc w:val="both"/>
        <w:rPr>
          <w:rFonts w:hint="cs"/>
          <w:rtl/>
        </w:rPr>
      </w:pPr>
      <w:r>
        <w:rPr>
          <w:rFonts w:hint="cs"/>
          <w:rtl/>
        </w:rPr>
        <w:t>137-</w:t>
      </w:r>
      <w:r>
        <w:rPr>
          <w:rFonts w:hint="cs"/>
          <w:rtl/>
        </w:rPr>
        <w:tab/>
        <w:t>منذ عام 1996، تحسنت أنماط الأكل في صفوف الشعب الصيني، وارتفعت معايير التغذية ارتفاعاً واضحاً. كما ارتفعت نسبة تناول المغذيات والسعرات الحرارية بالنسبة للسكان الحضريين والريفيين على حد سواء. وحسب موازين الأغذية لمنظمة الأمم المتحدة للأغذية والزراعة، كان متوسط حصة الطاقة اللازمة للفرد الواحد في الصين 881 2 من السعرات الحرارية في عام 1996، وارتفع إلى 044 3 من السعرات الحرارية في عام 1999. وارتفعت حصة تناول البروتينات خلال الفترة ذاتها من 78 غراماً في اليوم إلى 83 غراماً في اليوم. وفي عام 2000، كانت حصة الطاقة اليومية للفرد الواحد تبلغ في المتوسط 605 2 من السعرات الحرارية، أي 108.5 في المائة من الحصة التغذوية اليومية الموصى بها في الصين، وأكثر ب‍ 123 سعراً حرارياً من الرقم المسجل في عام 1995 بمقدار 482 2 من السعرات الحرارية. وتبين هذه الأرقام أن الصين تفوق بالفعل معظم البلدان النامية وهي تدنو بصورة تدريجية من المستويات الغذائية في البلدان المتقدمة.</w:t>
      </w:r>
    </w:p>
    <w:p w:rsidR="00000000" w:rsidRDefault="00000000">
      <w:pPr>
        <w:spacing w:line="380" w:lineRule="exact"/>
        <w:jc w:val="both"/>
        <w:rPr>
          <w:rFonts w:hint="cs"/>
          <w:rtl/>
        </w:rPr>
      </w:pPr>
      <w:r>
        <w:rPr>
          <w:rFonts w:hint="cs"/>
          <w:rtl/>
        </w:rPr>
        <w:t>138-</w:t>
      </w:r>
      <w:r>
        <w:rPr>
          <w:rFonts w:hint="cs"/>
          <w:rtl/>
        </w:rPr>
        <w:tab/>
        <w:t xml:space="preserve">وفيما يتعلق بتمتع الشعب الصيني بحقه في الغذاء، لا تزال هناك مشكلات ينبغي عدم إغفالها. فمساحة الأراضي الصالحة للزراعة في الصين لا تبلغ نسبة 10 </w:t>
      </w:r>
      <w:r>
        <w:rPr>
          <w:rFonts w:hint="eastAsia"/>
          <w:rtl/>
        </w:rPr>
        <w:t>في</w:t>
      </w:r>
      <w:r>
        <w:t xml:space="preserve"> </w:t>
      </w:r>
      <w:r>
        <w:rPr>
          <w:rtl/>
        </w:rPr>
        <w:t>المائة</w:t>
      </w:r>
      <w:r>
        <w:rPr>
          <w:rFonts w:hint="cs"/>
          <w:rtl/>
        </w:rPr>
        <w:t xml:space="preserve"> من المجموع العالمي، في حين تبلغ مواردها المائية نحو 7 </w:t>
      </w:r>
      <w:r>
        <w:rPr>
          <w:rFonts w:hint="eastAsia"/>
          <w:rtl/>
        </w:rPr>
        <w:t>في</w:t>
      </w:r>
      <w:r>
        <w:t xml:space="preserve"> </w:t>
      </w:r>
      <w:r>
        <w:rPr>
          <w:rtl/>
        </w:rPr>
        <w:t>المائة</w:t>
      </w:r>
      <w:r>
        <w:rPr>
          <w:rFonts w:hint="cs"/>
          <w:rtl/>
        </w:rPr>
        <w:t xml:space="preserve"> فقط من المجموع العالمي؛ وفي حقيقة الأمر، يقل متوسط الموارد المائية للفرد الواحد في الصين عن ربع المتوسط العالمي، وتبلغ مساحة المراعي المتردّية بدرجات متفاوتة نحو 90 </w:t>
      </w:r>
      <w:r>
        <w:rPr>
          <w:rFonts w:hint="eastAsia"/>
          <w:rtl/>
        </w:rPr>
        <w:t>في</w:t>
      </w:r>
      <w:r>
        <w:t xml:space="preserve"> </w:t>
      </w:r>
      <w:r>
        <w:rPr>
          <w:rtl/>
        </w:rPr>
        <w:t>المائة</w:t>
      </w:r>
      <w:r>
        <w:rPr>
          <w:rFonts w:hint="cs"/>
          <w:rtl/>
        </w:rPr>
        <w:t xml:space="preserve">، بلغ نصف هذه النسبة على الأقل درجة تردّ متوسطة أو أسوأ. وتمارس زيادة إنتاج الحبوب ضغوطاً مدمرة على البيئة الزراعية والطبيعية. ومن بين هذه المشكلات التصحر: منذ تأسيس جمهورية الصين الشعبية، ما برح تواتر العواصف الرملية يرتفع. ولقد شهدت الصين عواصف رملية في غاية من العنف اقترنت بأثر اقتصادي هام وذلك ثماني مرات في الستينات؛ و13 مرة في السبعينات؛ و14 مرة في الثمانينات؛ و23 مرة في التسعينات. وتقدر الخسائر الاقتصادية المنسوبة مباشرة إلى التصحر بمبلغ 5.4 مليار يوان سنوياً، وتقدر الخسائر غير المباشرة المتصلة بالتصحر بضعف ذلك الرقم. والمشكلة الثانية هي تحات التربة: إن الصين تواجه أخطر المشكلات المتصلة بتحات التربة في العالم. وكشفت دراسة استقصائية بالاستشعار عن بعد أجريت في عام 1999 أن مساحة الأراضي التي شملها التحات تقدر بنحو 600 555 3 كيلومتر مربع (دون اعتبار الأراضي المتآكلة بفعل ذوبان ماء الجليد): وهذا يمثل نسبة 34.42 </w:t>
      </w:r>
      <w:r>
        <w:rPr>
          <w:rFonts w:hint="eastAsia"/>
          <w:rtl/>
        </w:rPr>
        <w:t>في</w:t>
      </w:r>
      <w:r>
        <w:t xml:space="preserve"> </w:t>
      </w:r>
      <w:r>
        <w:rPr>
          <w:rtl/>
        </w:rPr>
        <w:t>المائة</w:t>
      </w:r>
      <w:r>
        <w:rPr>
          <w:rFonts w:hint="cs"/>
          <w:rtl/>
        </w:rPr>
        <w:t xml:space="preserve"> من مساحة البلد. وإن تحات الأرض يكلف الصين أكثر من 5 مليارات من الأطنان من التربة في السنة، أي تحتل المرتبة الثانية في العالم بعد الهند. وخلال السنوات العشرين المقبلة، يتوقع أن يبلغ النمو الصافي في عدد سكان الصين 10 ملايين نسمة في السنة، وأن تزيد نسبة التحضر ب‍ 0.8 </w:t>
      </w:r>
      <w:r>
        <w:rPr>
          <w:rFonts w:hint="eastAsia"/>
          <w:rtl/>
        </w:rPr>
        <w:t>في</w:t>
      </w:r>
      <w:r>
        <w:t xml:space="preserve"> </w:t>
      </w:r>
      <w:r>
        <w:rPr>
          <w:rtl/>
        </w:rPr>
        <w:t>المائة</w:t>
      </w:r>
      <w:r>
        <w:rPr>
          <w:rFonts w:hint="cs"/>
          <w:rtl/>
        </w:rPr>
        <w:t xml:space="preserve"> إلى 1 </w:t>
      </w:r>
      <w:r>
        <w:rPr>
          <w:rFonts w:hint="eastAsia"/>
          <w:rtl/>
        </w:rPr>
        <w:t>في</w:t>
      </w:r>
      <w:r>
        <w:t xml:space="preserve"> </w:t>
      </w:r>
      <w:r>
        <w:rPr>
          <w:rtl/>
        </w:rPr>
        <w:t>المائة</w:t>
      </w:r>
      <w:r>
        <w:rPr>
          <w:rFonts w:hint="cs"/>
          <w:rtl/>
        </w:rPr>
        <w:t xml:space="preserve"> سنوياً. وبسبب زيادة الطلب ونقص الأراضي والموارد المائية المتاحة وتدهور البيئة الطبيعية، سوف تواجه الصين قريباً تضارباً في قدرتها على ضمان الحق في الغذاء الكافي. ويظل التخفيف من حدة الفقر واجباً جسيماً. ولا تزال المجتمعات المحلية في الصين تعد 29.27 مليون نسمة ممن لا يحصلون على القدر الكافي من الغذاء واللباس، وسيكون من الصعب جداً تسوية الوضع، وإن لم يكن هذا العدد ضخماً. ولم يتحقق استقرار الوضع فيما يتعلق بالغذاء واللباس بالنسبة لعديد الفقراء الذين تعتبر مشكلاتهم في المراحل الأولى من التسوية، وذلك لأن ظروف عيشهم وعملهم الأساسية لم تتغير بصورة جوهرية. ويبقى تعزيز التقدم المحرز مهمة شاقة. وبالنسبة لهؤلاء الفقراء الذين يحصلون على الغذاء واللباس، فإن المعايير تبقى بدائية. وسوف يشكل بناء حياة مريحة على هذا الأساس ثم التقدم باتجاه تحقيق راحة أكبر معركة طويلة الأمد.</w:t>
      </w:r>
    </w:p>
    <w:p w:rsidR="00000000" w:rsidRDefault="00000000">
      <w:pPr>
        <w:spacing w:line="380" w:lineRule="exact"/>
        <w:jc w:val="both"/>
        <w:rPr>
          <w:rFonts w:hint="cs"/>
          <w:rtl/>
        </w:rPr>
      </w:pPr>
      <w:r>
        <w:rPr>
          <w:rFonts w:hint="cs"/>
          <w:rtl/>
        </w:rPr>
        <w:t>139-</w:t>
      </w:r>
      <w:r>
        <w:rPr>
          <w:rFonts w:hint="cs"/>
          <w:rtl/>
        </w:rPr>
        <w:tab/>
        <w:t>قد تثير عولمة الاقتصاد العالمي وتوسيع التجارة الحرة قضايا جديدة تتعلق بحق المواطنين الصينيين في الغذاء الكافي. وبعد الانضمام إلى منظمة التجارة العالمية، توحي المؤشرات على الأمد الطويل بأن استيراد القدر الكافي من الأغذية يمكن أن يخفف من الضغوط التي سيفرضها تزايد الطلب المحلي على الموارد والبيئة، وسوف يكون بالتالي ذا فائدة للميزان الغذائي الصيني والتنمية المستدامة للإنتاج الغذائي. كما أن هذه الواردات سوف تطرح أخطاراً جديدة على الأمن الغذائي في الصين. أولاً، إن زيادة الواردات الغذائية في الوقت الحالي لن يساعد في تنمية الإنتاج الغذائي المحلي. وزيادة الواردات في سياق الفائض الإجمالي في إنتاج الأغذية المسجل خلال السنوات القليلة الماضية قد يفاقم التناقضات القائمة فعلاً على الصعيد المحلي بين العرض والطلب، وقد يؤثر تأثيراً سلبياً على إيرادات الزراعة ومزيد تنمية الإنتاج في مجالات الإنتاج الرئيسية. ثانياً، ونتيجة لتحرير التجارة وعولمة استراتيجيات الشركات المتعددة الجنسيات، من الممكن أن تنتشر من خلال التجارة والإنتاج أغذية غير سليمة من بلد إلى آخر، وسوف يزداد تعززاً الاتجاه نحو التحكم الاحتكاري في إنتاج الأغذية وتجارتها، وهو ما يعوق تنمية الإنتاج الزراعي في البلدان النامية.</w:t>
      </w:r>
    </w:p>
    <w:p w:rsidR="00000000" w:rsidRDefault="00000000">
      <w:pPr>
        <w:spacing w:line="380" w:lineRule="exact"/>
        <w:jc w:val="both"/>
        <w:rPr>
          <w:rFonts w:hint="cs"/>
          <w:rtl/>
        </w:rPr>
      </w:pPr>
      <w:r>
        <w:rPr>
          <w:rFonts w:hint="cs"/>
          <w:rtl/>
        </w:rPr>
        <w:t>140-</w:t>
      </w:r>
      <w:r>
        <w:rPr>
          <w:rFonts w:hint="cs"/>
          <w:rtl/>
        </w:rPr>
        <w:tab/>
        <w:t xml:space="preserve">تهدف الصين إلى تحقيق الاكتفاء الذاتي الأساسي في الإنتاج الغذائي بالاعتماد على مواردها المحلية الخاصة. وتنص الخطة الخمسية العاشرة بوضوح على أن الحكومة تعتزم وضع نظام للأمن الغذائي يتوافق مع الحالة الوطنية في الصين ومع متطلبات اقتصاد السوق الاشتراكي، وتضمن التوازن الأساسي في العرض والطلب على الغذاء. وفي غضون التطورات المقبلة، سوف تكثف الإصلاحات بهدف إيجاد البيئة السياسية الملائمة لتحقيق التوازن وضمان الأمن الغذائي. </w:t>
      </w:r>
    </w:p>
    <w:p w:rsidR="00000000" w:rsidRDefault="00000000">
      <w:pPr>
        <w:spacing w:line="380" w:lineRule="exact"/>
        <w:jc w:val="both"/>
        <w:rPr>
          <w:rFonts w:hint="cs"/>
          <w:rtl/>
        </w:rPr>
      </w:pPr>
      <w:r>
        <w:rPr>
          <w:rFonts w:hint="cs"/>
          <w:rtl/>
        </w:rPr>
        <w:t>141-</w:t>
      </w:r>
      <w:r>
        <w:rPr>
          <w:rFonts w:hint="cs"/>
          <w:rtl/>
        </w:rPr>
        <w:tab/>
        <w:t xml:space="preserve">وسوف تواصل الصين تنفيذ اللوائح التنظيمية الأساسية بشأن حماية الأراضي الزراعية وستنهض بإدارة الأراضي الصالحة للزراعة بما يتفق مع قانون إدارة الأراضي واللوائح التنظيمية الأساسية. ولضمان القدرة على تزويد المنتجات الزراعية الأساسية، وضعت فعلاً حداً أدنى أساسياً من المساحات المزروعة يقدر ب‍ 108.53 مليون هكتار بالنسبة لعام 2005، مع حد أدنى من الاحتياطي القابل للزراعة قدره 128 مليون هكتار. كما ستواصل العمل من أجل تثبيت وتحسين المخطط المتعلق بالتعاقد مع المجتمعات المحلية الريفية في مجال استغلال الأراضي بما يكفل استقرار النظام على المدى الطويل. </w:t>
      </w:r>
    </w:p>
    <w:p w:rsidR="00000000" w:rsidRDefault="00000000">
      <w:pPr>
        <w:spacing w:line="380" w:lineRule="exact"/>
        <w:jc w:val="both"/>
        <w:rPr>
          <w:rFonts w:hint="cs"/>
          <w:rtl/>
        </w:rPr>
      </w:pPr>
      <w:r>
        <w:rPr>
          <w:rFonts w:hint="cs"/>
          <w:rtl/>
        </w:rPr>
        <w:t>142-</w:t>
      </w:r>
      <w:r>
        <w:rPr>
          <w:rFonts w:hint="cs"/>
          <w:rtl/>
        </w:rPr>
        <w:tab/>
        <w:t>وستواصل الصين التخطيط العام للتنمية الاقتصادية في مدنها ومناطقها الريفية، وستكيّف دخل المواطنين والهياكل المعنية بتوزيع موارد الصناديق الاجتماعية وستزيد، في نطاق ما تسمح به قواعد منظمة التجارة العالمية، دعمها لتنمية الإنتاج الغذائي، وستوسع نطاق إصلاحاتها فيما يتعلق بتداول الأغذية لإنشاء نظام موحد ومفتوح وقادر على المنافسة ومحكم التنظيم. وسوف تدخل تحسينات على نظم تخزين الأغذية وسيجري وضع نظام كلي فعال لتنظيم وضبط توريد الأغذية. وستواصل الصين اللجوء إلى سوق الأغذية الدولية وتنظيم العرض والطلب في أسواقها المحلية عن طريق تنمية تجارة الواردات والصادرات. أمّا تجارتها الخارجية في المنتجات الزراعية فستنظم وفقاً للقواعد الدولية وبمزيد من الشفافية.</w:t>
      </w:r>
    </w:p>
    <w:p w:rsidR="00000000" w:rsidRDefault="00000000">
      <w:pPr>
        <w:spacing w:line="380" w:lineRule="exact"/>
        <w:jc w:val="both"/>
        <w:rPr>
          <w:rFonts w:hint="cs"/>
          <w:rtl/>
        </w:rPr>
      </w:pPr>
      <w:r>
        <w:rPr>
          <w:rFonts w:hint="cs"/>
          <w:rtl/>
        </w:rPr>
        <w:t>143-</w:t>
      </w:r>
      <w:r>
        <w:rPr>
          <w:rFonts w:hint="cs"/>
          <w:rtl/>
        </w:rPr>
        <w:tab/>
        <w:t>وتعتزم الحكومة وضع نظام متين بأسرع وقت ممكن لمعايير الجودة وآليات تفتيش المنتج الزراعي، ورصده وتجربته والتحقق من سلامته، بما يكفل تحسين التحكّم في كامل عملية إنتاج الأغذية "من المزرعة إلى مائدة الطعام". وسوف يضمن هذا النظام كذلك رصد المنتجات الزراعية الموجهة للتجارة الدولية كما ينبغي، وفقاً لقواعد منظمة التجارة العالمية.</w:t>
      </w:r>
    </w:p>
    <w:p w:rsidR="00000000" w:rsidRDefault="00000000">
      <w:pPr>
        <w:spacing w:line="380" w:lineRule="exact"/>
        <w:jc w:val="both"/>
        <w:rPr>
          <w:rFonts w:hint="cs"/>
          <w:rtl/>
        </w:rPr>
      </w:pPr>
      <w:r>
        <w:rPr>
          <w:rFonts w:hint="cs"/>
          <w:rtl/>
        </w:rPr>
        <w:t>144-</w:t>
      </w:r>
      <w:r>
        <w:rPr>
          <w:rFonts w:hint="cs"/>
          <w:rtl/>
        </w:rPr>
        <w:tab/>
        <w:t xml:space="preserve">تحتوي التدابير الرئيسية المتعلقة بالسياسات العامة التي نشرت في برنامج التخفيف من وطأة الفقر في المجتمعات المحلية الأساسية في الصين (للفترة 2001 </w:t>
      </w:r>
      <w:r>
        <w:rPr>
          <w:rtl/>
        </w:rPr>
        <w:t>–</w:t>
      </w:r>
      <w:r>
        <w:rPr>
          <w:rFonts w:hint="cs"/>
          <w:rtl/>
        </w:rPr>
        <w:t xml:space="preserve">2010) على ما يلي: (أ) التركيز على تنمية صناعات المنتجات الزراعية والماشية والنهوض بظروف العيش والعمل الأساسية في المناطق الفقيرة؛ (ب) مضاعفة الجهود العلمية الرامية إلى التخفيف من الفقر؛ (ج) إعادة التوطين الطوعي والتدرجي لسكان الريف؛ (د) زيادة الموارد المالية المكرسة للتخفيف من الفقر ؛ (ﻫ) إدماج خطة تنمية الغرب مع برامج تعزيز التنمية في المناطق الفقيرة؛ </w:t>
      </w:r>
      <w:r>
        <w:rPr>
          <w:rtl/>
        </w:rPr>
        <w:br/>
      </w:r>
      <w:r>
        <w:rPr>
          <w:rFonts w:hint="cs"/>
          <w:rtl/>
        </w:rPr>
        <w:t>(و) مواصلة تطوير البرامج الاجتماعية من أجل التخفيف من وطأة الفقر؛ (ز) مواصلة التبادل والتعاون الدوليين في مجال التخفيف من حدة الفقر؛ (ح) التطبيق العملي لنظام المسؤولية بالنسبة للعمل في مجال التخفيف من الفقر.</w:t>
      </w:r>
    </w:p>
    <w:p w:rsidR="00000000" w:rsidRDefault="00000000">
      <w:pPr>
        <w:spacing w:line="380" w:lineRule="exact"/>
        <w:jc w:val="center"/>
        <w:rPr>
          <w:rFonts w:hint="cs"/>
          <w:b/>
          <w:bCs/>
          <w:rtl/>
        </w:rPr>
      </w:pPr>
      <w:r>
        <w:rPr>
          <w:rFonts w:hint="cs"/>
          <w:b/>
          <w:bCs/>
          <w:rtl/>
        </w:rPr>
        <w:t>المادة 12</w:t>
      </w:r>
    </w:p>
    <w:p w:rsidR="00000000" w:rsidRDefault="00000000">
      <w:pPr>
        <w:spacing w:line="380" w:lineRule="exact"/>
        <w:jc w:val="center"/>
        <w:rPr>
          <w:rFonts w:hint="cs"/>
          <w:b/>
          <w:bCs/>
          <w:rtl/>
        </w:rPr>
      </w:pPr>
      <w:r>
        <w:rPr>
          <w:rFonts w:hint="cs"/>
          <w:b/>
          <w:bCs/>
          <w:rtl/>
        </w:rPr>
        <w:t>الحق في التمتع بأعلى مستوى من الصحة</w:t>
      </w:r>
    </w:p>
    <w:p w:rsidR="00000000" w:rsidRDefault="00000000">
      <w:pPr>
        <w:spacing w:line="380" w:lineRule="exact"/>
        <w:jc w:val="both"/>
        <w:rPr>
          <w:rFonts w:hint="cs"/>
          <w:rtl/>
        </w:rPr>
      </w:pPr>
      <w:r>
        <w:rPr>
          <w:rFonts w:hint="cs"/>
          <w:rtl/>
        </w:rPr>
        <w:t>145-</w:t>
      </w:r>
      <w:r>
        <w:rPr>
          <w:rFonts w:hint="cs"/>
          <w:rtl/>
        </w:rPr>
        <w:tab/>
        <w:t>وتهتم الصين اهتماماً كبيراً بتطوير المرافق الطبية والصحية. وتنص المادة 21 من الدستور على ما يلي: "تطور الدولة الخدمات الطبية والصحية، وتنهض بمستوى الطب الحديث والطب الصيني التقليدي، وتشجع وتدعم الجمعيات الاقتصادية الريفية والمشاريع والمؤسسات الحكومية والمنظمات المنتشرة في الأحياء على إنشاء مختلف المرافق الطبية والصحية، وتنهض بمستوى الأنشطة في مجال الصحة والإصحاح التي تتسم بطابع جماعي، وكل ذلك لحماية صحة الناس". ويرد في المادة 45 أن "رعايا جمهورية الصين الشعبية يتمتعون بحق الحصول على المساعدة المادية من الدولة ومن المجتمع عندما يطعنون في السن أو يصابون بمرض أو إعاقة. وتطور الدولة التأمين الاجتماعي والمعونات الاجتماعية والخدمات الطبية والصحية اللازمة لتمتع الرعايا بهذا الحق".</w:t>
      </w:r>
    </w:p>
    <w:p w:rsidR="00000000" w:rsidRDefault="00000000">
      <w:pPr>
        <w:spacing w:line="380" w:lineRule="exact"/>
        <w:jc w:val="both"/>
        <w:rPr>
          <w:rFonts w:hint="cs"/>
          <w:rtl/>
        </w:rPr>
      </w:pPr>
      <w:r>
        <w:rPr>
          <w:rFonts w:hint="cs"/>
          <w:rtl/>
        </w:rPr>
        <w:t>146-</w:t>
      </w:r>
      <w:r>
        <w:rPr>
          <w:rFonts w:hint="cs"/>
          <w:rtl/>
        </w:rPr>
        <w:tab/>
        <w:t>وفي عام 1949، وبعد فترة وجيزة من تأسيس جمهورية الصين الشعبية وفي معرض انهماكها في استعادة وتطوير الصناعة والزراعة، أنشأت الحكومة العديد من المؤسسات لتقديم الخدمات الصحية، ودربت وأعدت كادراً طبياً متخصصاً. وأُنشئ في المدن نظام ضمان طبي للعمال؛ أما في المجتمعات الريفية، فقد أقيمت شبكة مؤلفة من ثلاثة مستويات لتقديم العلاج والرعاية الصحية والخدمات الوقائية، ودُرب أطباء القرى. وتوسعت هذه النُظم شيئاً فشيئاً لتصبح نظاماً طبياً تعاونياً يقدم الخدمات الطبية والصحية الأساسية لجماهير السكان، بغض النظر عن مركزهم الاجتماعي.</w:t>
      </w:r>
    </w:p>
    <w:p w:rsidR="00000000" w:rsidRDefault="00000000">
      <w:pPr>
        <w:spacing w:line="380" w:lineRule="exact"/>
        <w:jc w:val="both"/>
        <w:rPr>
          <w:rFonts w:hint="cs"/>
          <w:rtl/>
        </w:rPr>
      </w:pPr>
      <w:r>
        <w:rPr>
          <w:rFonts w:hint="cs"/>
          <w:rtl/>
        </w:rPr>
        <w:t>147-</w:t>
      </w:r>
      <w:r>
        <w:rPr>
          <w:rFonts w:hint="cs"/>
          <w:rtl/>
        </w:rPr>
        <w:tab/>
        <w:t>وفي أوائل الخمسينات، بدأت الصين بتنفيذ نظام رعاية طبية ممول تمويلاً عاماً في دوائر الخدمة المدنية ووحدات العمل في المشاريع. وفي المؤسسات المملوكة للدولة، وُضع نظام لضمان العمال ترجع إليه المؤسسات المملوكة جماعياً في وضع أنظمتها الخاصة بها. وفي أوائل التسعينات، وصل عدد السكان الذين يتمتعون بخدمات طبية ممولة تمويلاً عاماً إلى 30 مليون نسمة وتجاوزت النفقات التي تتحملها الحكومة سنوياً عن المستحضرات الطبية والصيدلانية 7 مليارات يوان. وقدمت برامج ضمان العمال التغطية ل‍ 140 مليون نسمة من السكان (وحصل 60 مليوناً آخرين من المعالين من أسر العمال على تغطية نصفية)، وبلغ مقدار النفقات المدفوعة 40 مليار يوان. وفي عام 1998، أصدر مجلس الدولة قراراً بشأن إنشاء ضمان طبي أساسي لعمال الحضر وشرع بإدخال إصلاحات على خطط الضمان الطبي لعمال الحضر في جميع أنحاء البلد. وقد جرى تنفيذ طائفة متنوعة من نماذج تقديم المساعدة الاجتماعية والطبية والطارئة لتلبية الاحتياجات الطبية لأكثر فئات المجتمع حرماناً.</w:t>
      </w:r>
    </w:p>
    <w:p w:rsidR="00000000" w:rsidRDefault="00000000">
      <w:pPr>
        <w:spacing w:line="380" w:lineRule="exact"/>
        <w:jc w:val="both"/>
        <w:rPr>
          <w:rFonts w:hint="cs"/>
          <w:rtl/>
        </w:rPr>
      </w:pPr>
      <w:r>
        <w:rPr>
          <w:rFonts w:hint="cs"/>
          <w:rtl/>
        </w:rPr>
        <w:t>148-</w:t>
      </w:r>
      <w:r>
        <w:rPr>
          <w:rFonts w:hint="cs"/>
          <w:rtl/>
        </w:rPr>
        <w:tab/>
        <w:t xml:space="preserve">وطالما اهتمت حكومة الصين اهتماماً جدياً بأعمالها في مجال رعاية المجتمعات الريفية من الناحية الصحية. ومن خلال إنشائها لشبكة الخدمات الصحية ثلاثية المستويات وإعداد كادر من الأطباء الريفيين، فقد نهضت بنظام الخدمات الطبية التعاونية الريفية، من خلال تنفيذ نظام رعاية صحية أولية في المناطق الريفية ومن خلال بناء "الهياكل الثلاثة"، ألا وهي، مستشفيات المقاطعات ومراكز مكافحة الأوبئة ومستشفيات النساء والأطفال. واضطلعت هذه الدوائر بما تمتلكه من موارد طبية محدودة الكمية بتقديم خدمات صحية وطبية أساسية لسكان الأرياف الذين يشكلون الغالبية العظمى من سكان الصين. وأُدخلت تحسينات جوهرية على حالة تتسم بشح الأطباء والأدوية، وارتفع مستوى المعايير الصحية فيما بين معظم سكان الأرياف ارتفاعاً ملحوظاً. وفي عام 1990، وضعت الحكومة خطة بالأهداف التي يتعين تحقيقها في مجال الرعاية الصحية الشاملة بحلول عام 2000 في المجتمعات الريفية. وصُنف البلد برمته وفقاً لمستوى التنمية الاقتصادية إلى مناطق تسودها ظروف "سيئة" أو "ملائمة" أو "مواتية" أو "مريحة". وحددت معايير دنيا لكل منطقة من هذه المناطق الاقتصادية وفقاً لنظام مؤلف من 13 معياراً، وأُنشئت نُظم لتقييم هذه المعايير على أساس نظام مكون من نقاط. وبحلول نهاية عام 2001، حقق نحو 95 في المائة من المقاطعات الزراعية (والمدن والنواحي) في عموم أنحاء البلد الأهداف الأساسية التي يتعين بلوغها على مراحل والمحددة بموجب الخطة. وتحسنت البيئة المعيشية لسكان الأرياف تحسناً ملحوظاً وارتفع مستوى المعايير الصحية بوضوح. وفي حزيران/يونيه 2002، وضعت الحكومة برنامج تطوير الرعاية الصحية الأولية في الريف الصيني (2001-2010)، وثمة جولة جديدة من أعمال التنفيذ الجارية على قدم وساق. </w:t>
      </w:r>
    </w:p>
    <w:p w:rsidR="00000000" w:rsidRDefault="00000000">
      <w:pPr>
        <w:spacing w:line="380" w:lineRule="exact"/>
        <w:jc w:val="both"/>
        <w:rPr>
          <w:rFonts w:hint="cs"/>
          <w:rtl/>
        </w:rPr>
      </w:pPr>
      <w:r>
        <w:rPr>
          <w:rFonts w:hint="cs"/>
          <w:rtl/>
        </w:rPr>
        <w:t>149-</w:t>
      </w:r>
      <w:r>
        <w:rPr>
          <w:rFonts w:hint="cs"/>
          <w:rtl/>
        </w:rPr>
        <w:tab/>
        <w:t xml:space="preserve">وحققت حكومة الصين من خلال ما بذلته من جهود على مر العقود الكثير في مجال تطوير مرافق الرعاية الطبية والصحية. وهنالك مؤسسات طبية في المدن والأرياف على حد سواء إلى جانب نظام أساسي لخدمات الرعاية الطبية والصحية. وفي عام 1949، لم يكن في البلد ككل سوى 670 3 مؤسسة طبية و600 84 سرير </w:t>
      </w:r>
      <w:r>
        <w:rPr>
          <w:rtl/>
        </w:rPr>
        <w:br/>
      </w:r>
      <w:r>
        <w:rPr>
          <w:rFonts w:hint="cs"/>
          <w:rtl/>
        </w:rPr>
        <w:t>و000 505 فني من الفنيين الطبيين: أي بمعدل 0.15 سرير و0.93 فني طبي و0.67 طبيب و0.06 ممرض أو ممرضة لكل ألف نسمة. وبحلول عام 2001، بلغ عدد المؤسسات الطبية في جميع أرجاء البلد 000 330 مؤسسة وأسرة المرضى 000 201 3 سريراً والفنيين الطبيين 700 507 4 فني. وتمثل هذه الأعداد لكل 000 1 نسمة معدل 2.39 سرير و1.69 طبيب و1.03 ممرض أو ممرضة. وارتفع مستوى الصحة العام ارتفاعاً ملحوظاً. وانخفض معدل الوفيات من 20 حالة في الألف عام 1949 إلى 6.43 حالات في الألف عام 2001، بينما ارتفع متوسط العمر المتوقع من 35 عاماً قبل عام 1949 إلى 71.4 عاماً الآن، أي المستويات المشهودة في البلدان المتوسطة التقدم.</w:t>
      </w:r>
    </w:p>
    <w:p w:rsidR="00000000" w:rsidRDefault="00000000">
      <w:pPr>
        <w:spacing w:line="380" w:lineRule="exact"/>
        <w:jc w:val="both"/>
        <w:rPr>
          <w:rFonts w:hint="cs"/>
          <w:rtl/>
        </w:rPr>
      </w:pPr>
      <w:r>
        <w:rPr>
          <w:rFonts w:hint="cs"/>
          <w:rtl/>
        </w:rPr>
        <w:t>150-</w:t>
      </w:r>
      <w:r>
        <w:rPr>
          <w:rFonts w:hint="cs"/>
          <w:rtl/>
        </w:rPr>
        <w:tab/>
        <w:t xml:space="preserve">وفي عام 1949، كان عدد مراكز رعاية الأمومة والطفولة في البلد ككل لا يتجاوز تسعة مراكز وكانت أسرة المرضى شبه معدومة ولا وجود للعاملين في هذا المجال. وفي عام 2001، بلغ عدد مستشفيات رعاية الأمومة والطفولة ومستشفيات الأمراض النسائية والتوليد 584 مستشفى وعدة مراكز رعاية الأمومة والطفولة 548 2 مركزاً. وفي السنوات الأولى لجمهورية الصين الشعبية، كان معدل وفيات الأمومة هو 500 1 حالة لكل </w:t>
      </w:r>
      <w:r>
        <w:rPr>
          <w:rtl/>
        </w:rPr>
        <w:br/>
      </w:r>
      <w:r>
        <w:rPr>
          <w:rFonts w:hint="cs"/>
          <w:rtl/>
        </w:rPr>
        <w:t>000 100 ولادة. وفي عام 2001، كان هناك 864 127 أخصائياً من أخصائيي التوليد في عموم أرجاء البلد، وارتفع عدد القابلات من 900 13 قابلة في عام 1949 إلى 140 42 قابلة، ووصل عدد القابلات القرويات في المناطق الريفية إلى 000 227 قابلة. وبلغت نسبة الولادات داخل المستشفيات 76 في المائة، واستفاد نحو 97.3 في المائة من الولادات من الأساليب الحديثة للتوليد وكان معدل وفيات الأمومة هو 50.2 حالة لكل 000 100 ولادة. وارتفع متوسط العمر المتوقع للنساء من 36 سنة في عام 1949 إلى 73.3 سنة في عام 2000، وهو متوسط عمر أطول بنحو 8 أعوام من متوسطه في جميع أنحاء العالم الذي أبلغت عنه الأمم المتحدة.</w:t>
      </w:r>
    </w:p>
    <w:p w:rsidR="00000000" w:rsidRDefault="00000000">
      <w:pPr>
        <w:spacing w:line="380" w:lineRule="exact"/>
        <w:jc w:val="both"/>
        <w:rPr>
          <w:rFonts w:hint="cs"/>
          <w:rtl/>
        </w:rPr>
      </w:pPr>
      <w:r>
        <w:rPr>
          <w:rFonts w:hint="cs"/>
          <w:rtl/>
        </w:rPr>
        <w:t>151-</w:t>
      </w:r>
      <w:r>
        <w:rPr>
          <w:rFonts w:hint="cs"/>
          <w:rtl/>
        </w:rPr>
        <w:tab/>
        <w:t xml:space="preserve">وفي عام 1949، كان هناك 5 مستشفيات للأطفال في جميع أنحاء البلد مجهزة ب‍ 139 سريراً. وفي عام 2001، بلغ عدد هذه المستشفيات في الصين 37 مستشفى مجهزة ب‍ 907 9 أسرة و995 65 أخصائياً من أطباء الأطفال. وفي بداية عهد جمهورية الصين الشعبية، كان معدل وفيات الرضَّع 200 حالة في الألف؛ وانخفض هذا المعدل إلى 50.19 في الألف في عام 1991 وبحلول عام 2001 انخفض ثانية إلى 32.2 حالة في الألف. كما انخفض معدل وفيات الأطفال دون سن 5 سنوات من 61.03 حالة في الألف في عام 1991 إلى 39.7 حالة في الألف في عام 2001. </w:t>
      </w:r>
    </w:p>
    <w:p w:rsidR="00000000" w:rsidRDefault="00000000">
      <w:pPr>
        <w:spacing w:line="380" w:lineRule="exact"/>
        <w:jc w:val="both"/>
        <w:rPr>
          <w:rFonts w:hint="cs"/>
          <w:rtl/>
        </w:rPr>
      </w:pPr>
      <w:r>
        <w:rPr>
          <w:rFonts w:hint="cs"/>
          <w:rtl/>
        </w:rPr>
        <w:t>152-</w:t>
      </w:r>
      <w:r>
        <w:rPr>
          <w:rFonts w:hint="cs"/>
          <w:rtl/>
        </w:rPr>
        <w:tab/>
        <w:t xml:space="preserve">وعملت الصين بجد منذ الخمسينات لتحسين حق الناس في الحياة وفي التنمية، وسيطرت سيطرة فعالة على انتشار الأمراض المعدية والمتوطنة. وقبل الخمسينات، كانت الأمراض المعدية والمتوطنة الحادة تؤثر تأثيراً شديداً على الصحة ومعدل الوفيات. وتجاوز آنذاك معدل الوفيات في جميع أرجاء البلد 20 حالة في الألف، منها ما يزيد عن النصف وقعوا ضحايا لأمراض معدية. وزادت الحكومة الاستثمار في مجال المرافق الطبية وأنشأت مؤسسات للرعاية الطبية والصحية على مختلف المستويات وزادت قدرة الخدمات الصحية، معطية بذلك الأولوية لتطوير وضمان الرعاية الصحية الأساسية. وفي عام 1961، قُضي على مرض الجدري المتوطن، وفي السنوات أواخر الستينات أمكن السيطرة بفعالية على الكوليرا والطاعون الدملي والجدري والحمى الراجعة والتيفوس والليشمانية وغيرها من الأمراض المعدية الوبيلة التي تخلف آثاراً مدمرة على صحة الإنسان. ومن خلال حملات التحصين الشاملة والمخططة، تم القضاء أو السيطرة على التهاب سنجابية النخاع والخناق والسعال الديكي والحصبة وغيرها من الأمراض المعدية. وفي عام 2000، استكملت أعمال التأكد من القضاء على مرض التهاب سنجابية النخاع، وبلغت الصين بذلك هدفها في تخليص البلد من هذا المرض. وبيَّنت بلاغات الصين الملزمة قانوناً عن الإصابة بالأمراض المعدية حدوث انخفاض في حالات الإصابة من 200 3 حالة لكل 000 100 نسمة في الخمسينات إلى 188 حالة لكل 000 100 نسمة في عام 2001. وبلغ المعدل الكلي للانخفاض بين عام 1980 وعام 2000 نسبة 91.06 في المائة، حيث انخفضت الإصابات بأمراض الكوليرا والخناق والتهاب السحايا المخية النخاعية المتوطن والسعال الديكي والحصبة والملاريا بأكثر من 95 في المائة. وباستثناء الأمراض المنقولة جنسياً انخفضت حالات الإصابة بالأمراض المعدية إلى مستويات متدنية جداً (انظر الجدول 9). وفي عام 2001، وباستثناء الكوليرا والحصبة والتهاب الكبد الحموي وداء الكَلَب التي لم يطرأ عليها ككل أي تغيير يذكر، فقد استمرت حالات الإصابة بالأمراض المعدية بالانخفاض، وأمكن السيطرة إجمالاً على الأمراض المتوطنة والطفيلية. وفي عام 2000، حققت الصين أساساً هدفها المتمثل في القضاء على حالات نقص مادة اليود، بينما استمرت المجالات التي تتفشى فيها أمراض متوطنة من قبيل مرض كاشين - بك، (فصال العظام العام) ومرض كيشان والتسمم بالفلور، بالانكماش وانخفض عدد الذين يعانون منها. كما انخفضت حالات الإصابة بداء البلهارسيا انخفاضاً كبيراً؛ ففي نهاية عام 2000، حقق نحو 243 من مجموع 413 مقاطعة (مدناً وأقاليم) تحدث فيها حالات إصابة بهذا الداء، أهداف القضاء عليه أو استئصاله أساساً. </w:t>
      </w:r>
    </w:p>
    <w:p w:rsidR="00000000" w:rsidRDefault="00000000">
      <w:pPr>
        <w:spacing w:line="380" w:lineRule="exact"/>
        <w:jc w:val="both"/>
        <w:rPr>
          <w:rFonts w:hint="cs"/>
          <w:rtl/>
        </w:rPr>
      </w:pPr>
      <w:r>
        <w:rPr>
          <w:rFonts w:hint="cs"/>
          <w:rtl/>
        </w:rPr>
        <w:t>153-</w:t>
      </w:r>
      <w:r>
        <w:rPr>
          <w:rFonts w:hint="cs"/>
          <w:rtl/>
        </w:rPr>
        <w:tab/>
        <w:t>ومواكبة لتنمية المجتمع اقتصادياً وإحراز تقدم في ميدان الخدمات الطبية فقد طرأ تغيير على مجموعة الأمراض المتفشية بين سكان الصين. واعتباراً من أواخر الستينات، وحسب ما ظهر أولاً في المدن الكبيرة والمتوسطة الحجم، فقد بدأت الأمراض المزمنة غير المعدية تحل محل الأمراض المعدية بوصفها الأسباب الرئيسية للوفاة. ومنذ ذلك الحين، تغيّرت أنماط الأمراض وحالات الإصابة بها وأسباب الوفاة في جميع أنحاء البلد. ووفقاً لإحصائيات عام 2001، فإن الأسباب الرئيسية الخمسة للوفاة بين سكان المدن هي على التوالي: الأورام الخبيثة والاضطرابات الوعائية المخية وأمراض القلب وأمراض الجهاز التنفسي والإصابات وحالات التسمم؛ أما بين سكان الأرياف فقد كانت على التوالي: أمراض الجهاز التنفسي والاضطرابات الوعائية المخية والأورام الخبيثة وأمراض القلب ثم الإصابات وحالات التسمم (انظر الجدول 10).</w:t>
      </w:r>
    </w:p>
    <w:p w:rsidR="00000000" w:rsidRDefault="00000000">
      <w:pPr>
        <w:spacing w:line="380" w:lineRule="exact"/>
        <w:jc w:val="both"/>
        <w:rPr>
          <w:rFonts w:hint="cs"/>
          <w:rtl/>
        </w:rPr>
      </w:pPr>
      <w:r>
        <w:rPr>
          <w:rFonts w:hint="cs"/>
          <w:rtl/>
        </w:rPr>
        <w:t>154-</w:t>
      </w:r>
      <w:r>
        <w:rPr>
          <w:rFonts w:hint="cs"/>
          <w:rtl/>
        </w:rPr>
        <w:tab/>
        <w:t>وثمة مشاكل صحية جديدة تؤثر في صحة السكان النفسية والبدنية آخذة في الظهور باستمرار. ولا يزال عدد السكان المصابين بمرض الإيدز والأمراض التناسلية في تصاعد. وفي عام 1999، بلغ عدد الحالات الجديدة للإصابة بالأمراض التناسلية 000 840 حالة، وهي زيادة بنسبة 32 في المائة عمّا كانت عليه في عام 1998. واكتشفت الصين أول حالة للإصابة بمرض الإيدز في عام 1985؛ وبحلول نهاية عام 2002، قُدِّر عدد المصابين بفيروس نقص المناعة البشرية ب‍ 000 100 شخص. وتبلغ نسبة الإصابة بعدوى مرض التهاب الكبد البائي 10 في المائة، وترتفع لتصل إلى 20 في المائة في بعض المناطق. ويوجد نحو 400 مليون نسمة من السكان في عموم أنحاء البلد مصابين بعدوى عصيّات التدرن، و5 ملايين نسمة يعانون من التدرن الرئوي. وارتفعت أعداد الذين يعانون من اضطرابات عقلية ونفسية ارتفاعاً حاداً، وتبعث مشاكل الصحة النفسية على الانشغال بشكل متزايد. وهناك حالياً نحو 16 مليون نسمة من السكان يعانون من اضطرابات عقلية في الصين، بينما هنالك نحو 30 مليون نسمة من بين سكان البلد دون سن 17 عاماً والبالغ عددهم 340 مليون نسمة، مصابون بالكآبة ويعانون من مشاكل سلوكية. وفي الواقع، أصبحت المشاكل النفسية هي الفئة الأكبر للأمراض التي تعاني منها الصين، حيث تمثل نحو 18 في المائة من الإجمالي الكلي للأمراض المتفشية فيها (انظر الجدول 11). وثمة مشكلة أخرى مهمة جداً تتعلق بالصحة العامة يعاني منها مجتمع اليوم وهي الإصابات الناجمة عن الحوادث، بما فيها حوادث السير وحالات التسمم ومحاولات الانتحار. وهذه الفئة، التي تستأثر بنسبة 5.87 في المائة من حالات الوفاة، هي الرابعة على قائمة الأسباب الرئيسية للوفاة. وتشمل المشاكل الصحية الجديدة التي تؤثر في السكان سوء تغذية الأطفال والسمنة والمخاطر المهنية والبيئية.</w:t>
      </w:r>
    </w:p>
    <w:p w:rsidR="00000000" w:rsidRDefault="00000000">
      <w:pPr>
        <w:spacing w:line="380" w:lineRule="exact"/>
        <w:jc w:val="both"/>
        <w:rPr>
          <w:rFonts w:hint="cs"/>
          <w:rtl/>
        </w:rPr>
      </w:pPr>
      <w:r>
        <w:rPr>
          <w:rFonts w:hint="cs"/>
          <w:rtl/>
        </w:rPr>
        <w:t>155-</w:t>
      </w:r>
      <w:r>
        <w:rPr>
          <w:rFonts w:hint="cs"/>
          <w:rtl/>
        </w:rPr>
        <w:tab/>
        <w:t>واتسمت الظروف الصحية وظروف العلاج الطبي التي كانت سائدة بين الأقليات السكانية في الصين قبل الثورة بالتخلف على نحو واضح. وتفشّت الأمراض المتوطِّنة والمعدية وحصدت الكثير من الأرواح البشرية. ومنذ تأسيس جمهورية الصين الشعبية أُدخِلت تحسينات هائلة على الحالة الصحية والطبية في مناطق الأقليات وارتفع مستوى معايير الصحة ارتفاعاً كبيراً جداً. وبحلول عام 2001، ارتفع عدد المؤسسات الصحية والطبية الموجودة في أقاليم الإثنيات التي تتمتع بحكم ذاتي في جميع أرجاء البلد، من 361 مؤسسة في عام 1949 إلى 942 15 مؤسسة وازداد عدد أسِرّة المرضى من 310 3 أسِرّة إلى 651 371 سريراً وارتفع عدد الفنيين الصحيين من 531 3 فنياً إلى 700 487 فني. وفي أول تعداد وطني للسكان أجري في عام 1953، كان عدد أفراد الأقليات السكانية لا يتجاوز 000 013 34 نسمة؛ بينما ارتفع عدد أفراد هذه الأقليات في تعداد السكان الخامس في عام 2000 إلى 106.43 ملايين نسمة، أي بنسبة 8.41 في المائة من إجمالي عدد السكان. وارتفع إجمالي عدد سكان الأقليات، بمقارنته مع عام 1990، بمقدار 15.23 مليون نسمة، وهي زيادة بنسبة 16.7 في المائة؛ وكحصة من إجمالي عدد السكان، فقد ارتفعت نسبة هذا العدد من 8.04 إلى 8.41 في المائة.</w:t>
      </w:r>
    </w:p>
    <w:p w:rsidR="00000000" w:rsidRDefault="00000000">
      <w:pPr>
        <w:spacing w:line="380" w:lineRule="exact"/>
        <w:jc w:val="both"/>
        <w:rPr>
          <w:rFonts w:hint="cs"/>
          <w:rtl/>
        </w:rPr>
      </w:pPr>
      <w:r>
        <w:rPr>
          <w:rFonts w:hint="cs"/>
          <w:rtl/>
        </w:rPr>
        <w:t>156-</w:t>
      </w:r>
      <w:r>
        <w:rPr>
          <w:rFonts w:hint="cs"/>
          <w:rtl/>
        </w:rPr>
        <w:tab/>
        <w:t>وتهتم الصين اهتماماً كبيراً برعاية المسنين صحياً وطبياً. وتسارع تقدم السكان الصينيين في السن بما يتفق والتنمية الاقتصادية السريعة والتحسينات المدخلة على مستويات المعيشة والمرافق الطبية والصحية المتاحة. ويتضح ذلك من خلال التغييرات التي طرأت على الهيكل الديمغرافي للبلد: حيث يمثل الأحداث ممن تتراوح أعمارهم بين صفر و14 عاماً 22.89 في المائة من السكان، وهو انخفاض بمقدار 4.8 نقاط مئوية منذ عام 1990، بينما تمثل نسبة الأشخاص الذين تبلغ أعمارهم 65 عاماً فما فوق 6.96 في المائة، وهو ارتفاع بمقدار 1.39 نقطة مئوية منذ عام 1990. ويعكف البلد على بذل جهود كبيرة في ميدان تطوير مرافق رعاية المسنين صحياً، وقد وضع برنامجاً للبحوث التي يزمع إجراؤها فيما يتعلق بالوقاية من الظروف التي تؤدي إلى أمراض الشيخوخة، والعمل في نفس الوقت أيضاً على الشروع بتقديم طائفة من خدمات الرعاية الصحية لهذه الشريحة من السكان.</w:t>
      </w:r>
    </w:p>
    <w:p w:rsidR="00000000" w:rsidRDefault="00000000">
      <w:pPr>
        <w:spacing w:line="380" w:lineRule="exact"/>
        <w:jc w:val="both"/>
        <w:rPr>
          <w:rFonts w:hint="cs"/>
          <w:rtl/>
        </w:rPr>
      </w:pPr>
      <w:r>
        <w:rPr>
          <w:rFonts w:hint="cs"/>
          <w:rtl/>
        </w:rPr>
        <w:t>157-</w:t>
      </w:r>
      <w:r>
        <w:rPr>
          <w:rFonts w:hint="cs"/>
          <w:rtl/>
        </w:rPr>
        <w:tab/>
        <w:t>أما فيما يتعلق بالإنفاق على الرعاية الصحية، فإن مستويات الحصول على الرعاية الطبية والصحية بين سكان الصين آخذة في الارتفاع باستمرار منذ التسعينات. وارتفع إجمالي الإنفاق على الصحة من 74.3 مليار يوان في عام 1990 إلى 476.4 مليار يوان في عام 2000، مما يعني ارتفاع متوسط الإنفاق على الصحة لكل فرد من 65 يوان إلى 376.4 يوان خلال هذه الفترة. وارتفعت نسبة إجمالي الإنفاق على الصحة كنسبة مئوية من الناتج المحلي الإجمالي، من 4 إلى 5.3 في المائة (انظر الجدول 13). كما أن المخصصات التي ترصدها الحكومة من الميزانية لتغطية تكاليف مرافق وخدمات الصحة العامة والخدمات الطبية الممولة تمويلاً عاماً ما زالت آخذة في الارتفاع سنوياً. وفي عام 2000، رصدت الحكومة من الميزانية مبلغاً قدره 70.952 مليار يوان للإنفاق على الرعاية الصحية، أي نحو 14.9 في المائة من إجمالي الإنفاق. وكانت هذه بمثابة زيادة في الإنفاق قدرها 32.64 مليار يوان عمّا كان عليه في عام 1995، وزيادة بمقدار 50.75 مليار يوان عمّا كان عليه في عام 1991. ومع ذلك، فإن حصة الإنفاق الكلي على الرعاية الصحية المتمثلة في ما ترصده الحكومة من مخصصات من الميزانية آخذة في التضاؤل (انظر الجدول 14).</w:t>
      </w:r>
    </w:p>
    <w:p w:rsidR="00000000" w:rsidRDefault="00000000">
      <w:pPr>
        <w:spacing w:line="380" w:lineRule="exact"/>
        <w:jc w:val="both"/>
        <w:rPr>
          <w:rFonts w:hint="cs"/>
          <w:rtl/>
        </w:rPr>
      </w:pPr>
      <w:r>
        <w:rPr>
          <w:rFonts w:hint="cs"/>
          <w:rtl/>
        </w:rPr>
        <w:t>158-</w:t>
      </w:r>
      <w:r>
        <w:rPr>
          <w:rFonts w:hint="cs"/>
          <w:rtl/>
        </w:rPr>
        <w:tab/>
        <w:t xml:space="preserve">ويشمل الجزء الذي ترصده الحكومة من الإنفاق على الرعاية الصحية والمخصص للرعاية الصحية الأولية الإنفاق على الصحة العامة وعلى العلاج الطبي المموّل تمويلاً عاماً. وفي معظم الأحوال يشير الإنفاق على الصحة العامة إلى الإعلانات النموذجية والعلاوات الخاصة (الأموال المنفقة على شبكات المياه في المجتمعات الريفية، وعلى الملح المعالَج باليود المقدم لسكان الأرياف، وغير ذلك) التي تمنحها إدارات الحكومة على جميع المستويات للمستشفيات الريفية، وللإعانات المقدمة للتعاونيات الطبية والإنفاق على الوقاية من الأمراض، والإنفاق على رعاية الأمومة والطفولة، وغير ذلك. ولكن هذا الإنفاق لا يشمل الأموال التي تمنحها الحكومة للمستشفيات الحضرية بجميع مستوياتها والمستشفيات القائمة داخل المؤسسات دعماً لما تقدمه من رعاية صحية وما تنهض به من أعمال في مجال الوقاية من الأمراض. ومنذ التسعينات، فإن مستوى إنفاق الحكومة على الرعاية الصحية الأولية آخذ في التزايد سنوياً؛ حيث يمثل هذا الإنفاق على الرعاية الصحية الأولية حصة ثابتة من إجمالي </w:t>
      </w:r>
      <w:r>
        <w:rPr>
          <w:rFonts w:hint="cs"/>
          <w:spacing w:val="0"/>
          <w:rtl/>
        </w:rPr>
        <w:t xml:space="preserve">ما تنفقه الحكومة على </w:t>
      </w:r>
      <w:r>
        <w:rPr>
          <w:rFonts w:hint="cs"/>
          <w:rtl/>
        </w:rPr>
        <w:t>الصحة تبلغ نحو 44 في المائة تقريباً (انظر الجدول 15).</w:t>
      </w:r>
    </w:p>
    <w:p w:rsidR="00000000" w:rsidRDefault="00000000">
      <w:pPr>
        <w:spacing w:line="380" w:lineRule="exact"/>
        <w:jc w:val="both"/>
        <w:rPr>
          <w:rFonts w:hint="cs"/>
          <w:rtl/>
        </w:rPr>
      </w:pPr>
      <w:r>
        <w:rPr>
          <w:rFonts w:hint="cs"/>
          <w:rtl/>
        </w:rPr>
        <w:t>159-</w:t>
      </w:r>
      <w:r>
        <w:rPr>
          <w:rFonts w:hint="cs"/>
          <w:rtl/>
        </w:rPr>
        <w:tab/>
        <w:t>وفيما يتعلق بمعدل وفيات الرضّع، تنظر الصين دوماً إلى حماية صحة الأطفال على أنها واجب مهم في ما تنهض به من أعمال في مجال الصحة العامة. وبعد مضي 50 عاماً على الجهود المتواصلة التي بذلتها، انخفض معدل وفيات الرضّع، الذي بلغ عند تأسيس الصين الجديدة 200 حالة وفاة في الألف إلى 32.2 حالة في الألف بحلول عام 2000. وفي عام 1991، أنشأت الصين الشبكة الوطنية لرصد وفيات الأطفال، التي تضم 81 مركز رصد في جميع أنحاء البلد وبمقدورها تقديم بيانات حضرية وريفية كل على حدة. وفي عام 2000، انخفض معدل وفيات الرضّع، الذي وصل إلى 50.2 حالة في الألف عام 1991، إلى 32.2 حالة في الألف، ليتحقق بذلك الهدف الذي حدده البرنامج الوطني للنهوض بالأطفال في التسعينات (انظر الجدول 16).</w:t>
      </w:r>
    </w:p>
    <w:p w:rsidR="00000000" w:rsidRDefault="00000000">
      <w:pPr>
        <w:spacing w:line="380" w:lineRule="exact"/>
        <w:jc w:val="both"/>
        <w:rPr>
          <w:rFonts w:hint="cs"/>
          <w:rtl/>
        </w:rPr>
      </w:pPr>
      <w:r>
        <w:rPr>
          <w:rFonts w:hint="cs"/>
          <w:rtl/>
        </w:rPr>
        <w:t>160-</w:t>
      </w:r>
      <w:r>
        <w:rPr>
          <w:rFonts w:hint="cs"/>
          <w:rtl/>
        </w:rPr>
        <w:tab/>
        <w:t>وبالإشارة إلى توفير إمدادات مياه الشرب الآمنة، فقد قدمت الصين كامل تأييدها ودعمها وشاركت مشاركة فعالة في العقد الدولي لتوفير مياه الشرب والمرافق الصحية الذي أعلنته الجمعية العامة للأمم المتحدة في دورتها الخامسة والثلاثين، والذي حدد هدفاً عالمياًَ يتمثل في "توفير مياه الشرب الآمنة والمرافق الصحية للجميع". وفي عام 1982، شرعت الصين في تنفيذ برنامج واسع النطاق لتحسين شبكات المياه في المجتمعات الريفية. وانطلاقاً من مبدأ سعي جميع الأطراف - الحكومة المركزية والأقاليم والمناطق والمقاطعات والقرى والأفراد - إلى تحمل المسؤولية المناسبة في عملها، شرعت الدولة في بناء مرافق مياه جارية وتقديم المساعدة في حل المشاكل المتعلقة بمياه الشرب الجارية في المناطق الفقيرة. وحددت الخطط خماسية السنوات السابعة والثامنة والتاسعة المسؤوليات المتعلقة بشبكات المياه والأهداف التي يتعين تحقيقها في المجتمعات الريفية. وبين عام 1981 وعام 2000، بلغت الاستثمارات الكلية في مشاريع شبكات المياه في المناطق الريفية 59.46 مليار يوان. وشمل هذا المبلغ نحو 22.7 في المائة قدمتها إدارات مالية محلية في شكل إعانات و27.6 في المائة قدمتها جمعيات تعاونية في شكل دعم اقتصادي و44.5 في المائة قدمها مستفيدون من الأفراد و5.2 في المائة في شكل قروض وهبات. وفي عام 2001، بلغ إجمالي الاستثمارات في مشاريع شبكات مياه المناطق الريفية 6.882 مليارات يوان، ومن أصل هذا المبلغ قدمت الدولة نحو 30.5 في المائة وجاء 27 في المائة من الجمعيات و39.1 في المائة من الأفراد و3.3 في المائة من مصادر أخرى. وبحلول نهاية عام 2001، وصل عدد المستفيدين من سكان الأرياف من هذه المشاريع المعنية بتحسين شبكات توريد المياه إلى نحو 860 مليون نسمة، أي 91 في المائة من سكان الأرياف الصينيين البالغ عددهم 946 مليون نسمة. ومن بين هؤلاء حصل نحو 520 مليون نسمة، أي 55.1 في المائة من سكان الأرياف، على مياه جارية صالحة للشرب، وتمكّن 210 مليون نسمة أي 22.4 في المائة من هؤلاء السكان، من الحصول على المياه من الآبار باستخدام مضخات يدوية. وبإمكان ما يزيد على 80 في المائة من سكان الأرياف في جميع أنحاء الصين، في نحو 673 مدينة على صعيد المقاطعات والبلديات الخاضعة للإدارة مباشرة (23.7 في المائة من عددهم الكلي) الحصول على المياه الجارية الصالحة للشرب (انظر الجدول 17).</w:t>
      </w:r>
    </w:p>
    <w:p w:rsidR="00000000" w:rsidRDefault="00000000">
      <w:pPr>
        <w:spacing w:line="380" w:lineRule="exact"/>
        <w:jc w:val="both"/>
        <w:rPr>
          <w:rFonts w:hint="cs"/>
          <w:rtl/>
        </w:rPr>
      </w:pPr>
      <w:r>
        <w:rPr>
          <w:rFonts w:hint="cs"/>
          <w:rtl/>
        </w:rPr>
        <w:t>161-</w:t>
      </w:r>
      <w:r>
        <w:rPr>
          <w:rFonts w:hint="cs"/>
          <w:rtl/>
        </w:rPr>
        <w:tab/>
        <w:t>أما فيما يتعلق بموضوع المرافق الكافية لمعالجة مياه المجاري، فقد بدأت الصين في عام 1993 بتنفيذ برنامج في جميع أرجاء البلد لتحسين المراحيض في المناطق الريفية. ومعايير المراحيض الصحية في الأرياف هي كما يلي: يجب أن يكون للمرحاض جدران وسقف؛ وينبغي ألا يكون هناك نضوح في مراحيض الحفر وخزانات التفسخ؛ ويجب أن تكون نظيفة وخالية من الذباب واليرقات، وعديمة الرائحة أساساً؛ ولا بد أن يكون خزان التفسخ مقفلاً بإحكام ومزوداً بغطاء؛ ويجب تنظيف المجاري في الوقت المناسب ومعالجة مياهها معالجة آمنة. وبين عام 1996 وعام 2000، بلغ إجمالي الاستثمارات الوطنية في مجال تحسين المراحيض في الأرياف 13.59 مليار يوان. وشمل هذا المبلغ نحو 13.62 في المائة قدمتها إدارات مالية محلية في شكل إعانات و16.12 في المائة قدمتها جمعيات تعاونية في شكل دعم اقتصادي و68.73 في المائة قدمها مستفيدون من الأفراد و1.54 في المائة في شكل قروض وهبات. وبحلول نهاية عام 2000، توفرت المراحيض الصحية لدى 44.84 في المائة من الأسر المعيشية الريفية في البلد البالغ عددها 239 مليون أسرة، كما جرت معالجة المجاري معالجة آمنة في 31.22 في المائة من القرى الريفية. وركبت مرافق المراحيض الصحية بمختلف أنماطها فيما يزيد على 80 في المائة من الأسر المعيشية الريفية في عموم أنحاء الصين، وفي نحو 197 مقاطعة ومدينة على صعيد المقاطعات وبلديات خاضعة للإدارة مباشرة (6.9 في المائة من العدد الكلي). وبحلول نهاية عام 2001، توفرت المراحيض الصحية المبنية حديثاً بمختلف أنماطها لدى 114 مليون أسرة معيشية ريفية، بينما أتيحت مرافق ملائمة لمعالجة مياه المجاري لدى 46.09 في المائة من الأسر المعيشية القروية.</w:t>
      </w:r>
    </w:p>
    <w:p w:rsidR="00000000" w:rsidRDefault="00000000">
      <w:pPr>
        <w:spacing w:line="380" w:lineRule="exact"/>
        <w:jc w:val="both"/>
        <w:rPr>
          <w:rFonts w:hint="cs"/>
          <w:rtl/>
        </w:rPr>
      </w:pPr>
      <w:r>
        <w:rPr>
          <w:rFonts w:hint="cs"/>
          <w:rtl/>
        </w:rPr>
        <w:t>162-</w:t>
      </w:r>
      <w:r>
        <w:rPr>
          <w:rFonts w:hint="cs"/>
          <w:rtl/>
        </w:rPr>
        <w:tab/>
        <w:t>من المسلّم به أن برامج التحصين هي تدابير تدخل في مجال الصحة العامة متدنية الاستثمار وعالية المردود، والحكومات في جميع أنحاء العالم تجمع على تطبيق هذه البرامج في ميدان حماية صحة الطفل. وفي عام 1978 بدأت الصين بتنفيذ برامج تحصين الأطفال. وفي مطلع الثمانينات، أظهرت بيانات مستقاة من دراسات استقصائية تمثيلية أن أقل من 10 في المائة من الأطفال الذين تقل أعمارهم عن عام واحد تلقوا لقاح بي سي جي (ضد التدرن)، واللقاح الثلاثي (ضد الدفتريا والسعال الديكي والكزاز)، ولقاحي شلل الأطفال والحصبة. وفي أواسط الثمانينات، قطعت الحكومة على نفسها التزاماً للمجتمع الدولي بشن حملة شاملة لتحصين الأطفال وأدرجت هذا الهدف في خططها الوطنية المعنية بالتنمية الاقتصادية والاجتماعية. وفي الأعوام 1988 و1990 و1995، حققت البرامج التي نُظمت على صعيد الأقاليم والمقاطعات والقرى 85 في المائة من هدف التحصين الشامل. ويولد حالياً نحو 20 مليون طفل في الصين سنوياً، ويتوقع أن يحصل كل واحد منهم على تحصين أساسي كامل في السنة الأولى من عمره. وبيَّنت إحصاءات عام 2001 أن معدل تلقيح الأطفال ضد الدفتريا والسعال الديكي والكزاز بلغ 98.2 في المائة، وضد الحصبة 97.72 في المائة، وضد شلل الأطفال 98.32 في المائة، وضد التدرن 97.59 في المائة (انظر الجدول 18). وأدى ارتفاع معدل تحصين الأطفال إلى التحكم فعلاً بانتشار الحصبة والسعال الديكي والدفتريا التي كانت في الماضي الأسباب الرئيسية لوفاة الأطفال وإصابتهم بالإعاقة. وبين عام 1978 وعام 2000، قللت هذه البرامج من حالات الإصابة بالحصبة والسعال الديكي والدفتريا والتهاب سنجابية النخاع والتدرن والكزاز بمقدار 300 مليون حالة، وخفضت معدل الوفيات المقترن بهذه الحالات بما يزيد على 4 ملايين حالة، ووفرت نحو 40 مليار يوان من نفقات علاج الأطفال في المستشفيات. وقللت اللقاحات الأربعة حالات الإصابة بالأمراض المعنية من 336.35 1 إصابة لكل 000 100 حالة من الحالات المرضية ككل إلى 11.7 لكل 000 100 حالة في نهاية التسعينات، وهو انخفاض بنحو 99 في المائة.</w:t>
      </w:r>
    </w:p>
    <w:p w:rsidR="00000000" w:rsidRDefault="00000000">
      <w:pPr>
        <w:spacing w:line="380" w:lineRule="exact"/>
        <w:jc w:val="both"/>
        <w:rPr>
          <w:rFonts w:hint="cs"/>
          <w:rtl/>
        </w:rPr>
      </w:pPr>
      <w:r>
        <w:rPr>
          <w:rFonts w:hint="cs"/>
          <w:rtl/>
        </w:rPr>
        <w:t>163-</w:t>
      </w:r>
      <w:r>
        <w:rPr>
          <w:rFonts w:hint="cs"/>
          <w:rtl/>
        </w:rPr>
        <w:tab/>
        <w:t>وقبل الخمسينات، كان متوسط العمر المتوقع لسكان الصين هو 35 عاماً. وخلال الخمسينات والستينات ارتفع هذا المتوسط إلى 57 عاماً، وبحلول نهاية الثمانينات وصل إلى 68.55 عاماً، وفي عام 2000 بلغ متوسط العمر المتوقع 71.4 عاماً. وبيَّن التعداد الوطني الخامس للسكان في عام 2000 أن متوسط العمر المتوقع للرجال هو 69.63 عاماً، بينما يصل بالنسبة للنساء إلى 73.33 عاماً. وبالمقارنة مع بيانات التعداد الوطني الخامس للسكان الذي أجري في عام 1990، فقد بيَّنت هذه الأرقام حصول زيادتين قدرهما 2.79 عاماً في عمر الرجال و2.86 عاماً في عمر النساء. ومتوسط العمر المتوقع لسكان الحضر أعلى من متوسط عمر نظرائهم الريفيين. وفيما يتعلق بالمناطق الإدارية، يتمتع سكان المناطق الشرقية الأكثر تقدماً من الناحية الاقتصادية بمعدلي ولادات ووفيات أدنى، ويتجاوز متوسط العمر المتوقع فيها 73 عاماً. وما فتئت معدلات الولادات ووفيات الرضع في المناطق الوسطى تنخفض كل عام ويتجاوز متوسط العمر المتوقع فيها 70 عاماً. وفي المناطق الغربية الأقل تطوراً، فإن معدلات ولادات ووفيات الرضع أعلى، ويعتبر متوسط العمر المتوقع الذي يصل إلى 68 عاماً، أدنى من المتوسط الوطني. أما فيما يتعلق بالأقليات السكانية، فإن متوسط العمر المتوقع فيها مستمر في الارتفاع أيضاً، على غرار ارتفاع معدلات الزيادة السكانية وتحسن المعايير الصحية.</w:t>
      </w:r>
    </w:p>
    <w:p w:rsidR="00000000" w:rsidRDefault="00000000">
      <w:pPr>
        <w:spacing w:line="380" w:lineRule="exact"/>
        <w:jc w:val="both"/>
        <w:rPr>
          <w:rFonts w:hint="cs"/>
          <w:rtl/>
        </w:rPr>
      </w:pPr>
      <w:r>
        <w:rPr>
          <w:rFonts w:hint="cs"/>
          <w:rtl/>
        </w:rPr>
        <w:t>164-</w:t>
      </w:r>
      <w:r>
        <w:rPr>
          <w:rFonts w:hint="cs"/>
          <w:rtl/>
        </w:rPr>
        <w:tab/>
        <w:t xml:space="preserve">وبيَّنت دراسة استقصائية أجريت في عام 1998 عن خدمات الصحة العامة في الصين أن سبة سكان الحضر الذين لا يبعد عن منازلهم أقرب مرفق طبي أكثر من كيلومتر واحد هي 77.5 في المائة، وأن بمقدور معظم سكان المدن الذهاب سيراً إلى أقرب مرفق طبي في غضون 20 دقيقة. وتمتلك المرافق الطبية الشعبية الموجودة في المدن ما يزيد بكثير على 20 نوعاً من الأدوية تحت تصرفها وبإمكانها معالجة معظم المشاكل الصحية الشائعة التي يعاني منها السكان المحليون. وتصل حالياً نسبة السكان الحضر ممن يستطيعون تلقي العلاج على يد موظفين مدربين على التعامل مع العلل والإصابات العامة، ويتمكنون بانتظام من الحصول على 20 دواء أساسياً من مرافق لا تبعد عنهم أكثر من مسيرة ساعة واحدة، إلى 100 في المائة تقريباً. وفي نهاية عام 2001، بلغ عدد المستشفيات الموجودة في القرى والمدن في عموم أرجاء البلد 090 48 مستشفى، وكان هناك نحو 084 637 قرية لديها مراكز معالجة طبية؛ ووصلت نسبة القرى الإدارية التي لديها مراكز طبية إلى 89.7 في المائة، وكان هناك </w:t>
      </w:r>
      <w:r>
        <w:rPr>
          <w:rtl/>
        </w:rPr>
        <w:br/>
      </w:r>
      <w:r>
        <w:rPr>
          <w:rFonts w:hint="cs"/>
          <w:rtl/>
        </w:rPr>
        <w:t xml:space="preserve">595 290 1 طبيباً ريفياً وعاملاً في مجال الصحة يعملون في المجتمعات الريفية، أي بمتوسط قدره 1.82 شخص لكل قرية (انظر الجدول 19). ووفقاً لأهداف خطة "الرعاية الصحية للجميع بحلول عام 2000" التي نفذت في قرى الصين، فإن الحد الأدنى من المعايير التي يتعين توفرها في أي عيادة صحية من الدرجة الأولى هي كما يلي: </w:t>
      </w:r>
      <w:r>
        <w:rPr>
          <w:rtl/>
        </w:rPr>
        <w:br/>
      </w:r>
      <w:r>
        <w:rPr>
          <w:rFonts w:hint="cs"/>
          <w:rtl/>
        </w:rPr>
        <w:t>(أ) توفير غرف مستقلة ومخصصة لتشخيص المرض ومعالجته وصرف الدواء؛ (ب) وإتاحة 120 دواءً شائعاً على الأقل وجميع المعدات اللازمة؛ (ج) وتوفير طبيب معتمد واحد على الأقل من الأطباء الريفيين، وطبيبة ريفية أو عاملة في مجال الصحة (قابلة)؛ (د) وتوفر إجراءات لإدارة شؤون المرضى الخارجيين، وإصدار الوصفات الطبية، وقبول المدفوعات، والتطهير، والأمن، وغير ذلك. وبحلول نهاية عام 2001، كان هناك نحو 95 في المائة من المقاطعات الزراعية الموجودة في جميع أنحاء البلد قد استوفت فعلاً هذه الشروط أو كادت. وبناء على ذلك، فإن نسبة سكان الأرياف الذين بمقدورهم الآن تلقي العلاج على يد موظفين مدربين على التعامل مع العلل والإصابات العامة، وباستطاعتهم الحصول بانتظام على 20 دواءً أساسياً من مرافق يمكنهم الوصول إليها سيراً في غضون ساعة واحدة، تتجاوز حالياً 90 في المائة.</w:t>
      </w:r>
    </w:p>
    <w:p w:rsidR="00000000" w:rsidRDefault="00000000">
      <w:pPr>
        <w:spacing w:line="380" w:lineRule="exact"/>
        <w:jc w:val="both"/>
        <w:rPr>
          <w:rFonts w:hint="cs"/>
          <w:rtl/>
        </w:rPr>
      </w:pPr>
      <w:r>
        <w:rPr>
          <w:rFonts w:hint="cs"/>
          <w:rtl/>
        </w:rPr>
        <w:t>165-</w:t>
      </w:r>
      <w:r>
        <w:rPr>
          <w:rFonts w:hint="cs"/>
          <w:rtl/>
        </w:rPr>
        <w:tab/>
        <w:t xml:space="preserve">ووفقاً لما يرد في الإحصاءات الوطنية السنوية للصحة للفترة من عام 1996 إلى عام 2001، فإن نسبة النساء اللاتي بمقدورهن الحصول على خدمات الرعاية الصحية من موظفين مدربين أثناء فترة الحمل وعند الولادة، آخذة في الزيادة كل عام (انظر الجدول 20). وتظهر البيانات المتعلقة بالوفيات أثناء الولادة خلال نفس الفترة أن معدل وفيات الأمهات أثناء النفاس في جميع أرجاء البلد آخذ أيضاً في الانخفاض عاماً بعد عام بالرغم من وجود تفاوت كبير في هذه الحالة بين معدلات وفيات الأمومة في الحضر وفي الريف. وتحدث حوالي 80 في المائة من حالات الوفاة هذه بعد الوضع. وتظهر بيانات عام 2001 أن سبب الوفاة في 47.8 في المائة من الحالات هو </w:t>
      </w:r>
      <w:r>
        <w:rPr>
          <w:rFonts w:hint="cs"/>
          <w:spacing w:val="0"/>
          <w:rtl/>
        </w:rPr>
        <w:t xml:space="preserve">النزيف عند الولادة، وفي غالبية هذه الحالات يحدث النزيف عقب الوضع. (للاطلاع على معدلات </w:t>
      </w:r>
      <w:r>
        <w:rPr>
          <w:rFonts w:hint="cs"/>
          <w:rtl/>
        </w:rPr>
        <w:t>الوفيات أثناء الولادة في عموم أنحاء البلد والنسب المقارنة لحالات الوفاة التي تحدث قبل الوضع وبعده كل عام، انظر الجدول 21).</w:t>
      </w:r>
    </w:p>
    <w:p w:rsidR="00000000" w:rsidRDefault="00000000">
      <w:pPr>
        <w:spacing w:line="380" w:lineRule="exact"/>
        <w:jc w:val="both"/>
        <w:rPr>
          <w:rFonts w:hint="cs"/>
          <w:rtl/>
        </w:rPr>
      </w:pPr>
      <w:r>
        <w:rPr>
          <w:rFonts w:hint="cs"/>
          <w:rtl/>
        </w:rPr>
        <w:t>166-</w:t>
      </w:r>
      <w:r>
        <w:rPr>
          <w:rFonts w:hint="cs"/>
          <w:rtl/>
        </w:rPr>
        <w:tab/>
        <w:t>وفي الصين، تشمل مختلف فئات الموظفين المدربين على رعاية الرضع ما يلي: العاملون في مؤسسات رعاية الأمومة والطفولة (انظر الجدول 22)؛ والعاملون في مجال الطب والتمريض في المستشفيات، وفي مؤسسات الرعاية الوقائية، والعيادات الخاصة، والمستشفيات والعيادات الممولة تمويلاً أجنبياً؛ والعاملون المدربون على رعاية الرضع والرعاية المنزلية.</w:t>
      </w:r>
    </w:p>
    <w:p w:rsidR="00000000" w:rsidRDefault="00000000">
      <w:pPr>
        <w:spacing w:line="380" w:lineRule="exact"/>
        <w:jc w:val="both"/>
        <w:rPr>
          <w:rFonts w:hint="cs"/>
          <w:rtl/>
        </w:rPr>
      </w:pPr>
      <w:r>
        <w:rPr>
          <w:rFonts w:hint="cs"/>
          <w:rtl/>
        </w:rPr>
        <w:t>167-</w:t>
      </w:r>
      <w:r>
        <w:rPr>
          <w:rFonts w:hint="cs"/>
          <w:rtl/>
        </w:rPr>
        <w:tab/>
        <w:t>والصحة العامة أدنى مستوى في الكثير من القرى الزراعية في الصين، وخاصة في الغرب وفي المناطق المأهولة بالأقليات السكانية، وهي حالة يمكن عزوها إلى معايير متخلفة نسبياً للتنمية الاقتصادية وأثر العوامل الجغرافية والبيئية. وبالنظر لحصول تغييرات في النظم الاقتصادية الريفية وتطور الحياة الاجتماعية، فقد شهدت مستويات المعيشة، بما فيها احتياجات السكان من الرعاية الصحية، تحولات كبيرة. غير أن نظم إدارة الرعاية الصحية والخدمات الصحية والاستثمار في هذا المجال لم تتكيف بعد مع هذه التغييرات. ولا تزال حالات الإصابة ببعض الأمراض المعدية والمتوطنة مرتفعة نسبياً في المناطق الفقيرة وتؤثر بشدة في صحة سكان الأرياف. ومثال ذلك ظهور مرض التدرن مجدداً في مناطق جرت فيها سابقاً السيطرة عليه سيطرة فعلية، وأصبح عدد الذين يعانون منه في تزايد ملحوظ. وتتفشى أمراض متوطنة مهمة من قبيل مرض كاشين - بك والداء المتوطن للتسمم بالفلور والبلهارسيا تفشياً على نطاق واسع وتسبب أضراراً جسيمة. وتتركز معظمها في المناطق الأصلية التي تطورت فيها والمناطق الآهلة بالأقليات السكانية والمناطق الحدودية النائية والمناطق المبتلاة بالفقر الواقعة في وسط الصين وغربها، ويبلغ عدد السكان الذين تظهر عليهم أعراض هذه الأمراض 51 مليون نسمة. ويخلق النقص الخطير في الاستثمار في مجال المرافق الصحية في المجتمعات الريفية صعوبة في ضمان توفير خدمات الصحة العامة والصحة الوقائية. وفي المناطق الفقيرة على وجه الخصوص تباطأ إيقاع تحسين مؤشرات الصحة الأساسية بين سكان الريف تباطؤاً واضحاً، بل حتى إنه توقف في بعض المناطق. وبناء على ذلك، فقد اتسعت الفجوة في مستويات الصحة بين سكان الحضر وسكان الريف.</w:t>
      </w:r>
    </w:p>
    <w:p w:rsidR="00000000" w:rsidRDefault="00000000">
      <w:pPr>
        <w:spacing w:line="380" w:lineRule="exact"/>
        <w:jc w:val="both"/>
        <w:rPr>
          <w:rFonts w:hint="cs"/>
          <w:rtl/>
        </w:rPr>
      </w:pPr>
      <w:r>
        <w:rPr>
          <w:rFonts w:hint="cs"/>
          <w:rtl/>
        </w:rPr>
        <w:t>168-</w:t>
      </w:r>
      <w:r>
        <w:rPr>
          <w:rFonts w:hint="cs"/>
          <w:rtl/>
        </w:rPr>
        <w:tab/>
        <w:t>وتعهدت الحكومة، استمراراً منها في التأكيد على أهمية الرعاية الصحية الأولية في المجتمعات الريفية، بتحقيق الأهداف المبينة في برنامج تطوير الرعاية الصحية الأولية في الأرياف (2001-2010) تحقيقاً شاملاً. وستبقى الوقاية محور اهتمامها الرئيسي، وتحقيقاً لهذه الغاية سيجري التأكيد على بناء مؤسسات الصحة الوقائية على صعيد المقاطعات، وسيتم النهوض بمستوى نماذج الخدمة المنقحة في مستشفيات الأرياف (والبلدات الصغيرة)، وسيحظى توفير الرعاية الصحية الوقائية والطبية الأساسية باهتمام خاص، ولا سيما من جانب دوائر الصحة العامة. وستركِّز المستشفيات في المقاطعات الزراعية التي أصبحت حضرية، على خدمة الأحياء المحلية. وستكثَّف الأعمال المتعلقة ببرامج التحصين المقررة، وستحسَّن ظروف التوليد في مستشفيات الأرياف والبلدات الصغيرة، وستُفرض حدود قصوى على الرسوم المطلوبة من الأمهات الريفيات لقاء الولادة في المستشفيات. وستسعى حملة معنية برفع مستوى الصحة بين جموع المزارعين إلى زيادة الوعي الشخصي بمسائل الرعاية الصحية والترويج لأسلوب معيشة رشيد ومتحضر وصحي بين سكان الأرياف.</w:t>
      </w:r>
    </w:p>
    <w:p w:rsidR="00000000" w:rsidRDefault="00000000">
      <w:pPr>
        <w:spacing w:line="380" w:lineRule="exact"/>
        <w:jc w:val="both"/>
        <w:rPr>
          <w:rFonts w:hint="cs"/>
          <w:rtl/>
        </w:rPr>
      </w:pPr>
      <w:r>
        <w:rPr>
          <w:rFonts w:hint="cs"/>
          <w:rtl/>
        </w:rPr>
        <w:t>169-</w:t>
      </w:r>
      <w:r>
        <w:rPr>
          <w:rFonts w:hint="cs"/>
          <w:rtl/>
        </w:rPr>
        <w:tab/>
        <w:t>وفي عام 2002، أصدرت الحكومة قراراً بشأن مواصلة تكثيف الأعمال المتعلقة بالرعاية الصحية في المجتمعات الريفية. وتقترح هذه الوثيقة القيام بحلول عام 2010 بإنشاء شبكة خدمات صحية ونظام طبي تعاوني في المجتمعات الريفية يكيّفان وفقاً لاحتياجات اقتصاد السوق الاشتراكي ولمستويات التنمية الاقتصادية في المجتمعات المعنية. وتشمل العناصر الرئيسية لهذه المبادرة إنشاء شبكة للخدمات الصحية الأساسية في الأرياف بكامل مرافقها، وتشكيل أفرقة للخدمات الصحية في الأرياف لديها مؤهلات تقنية جيدة، وتدريب عاملين في مجال الصحة على العمل في الريف من خلال نموذج تعليمي يقتضي تدريبهم مهنياً لمدة خمس سنوات بعد تخرجهم من مدرسة متوسطة أو لمدة ثلاث سنوات بعد تخرجهم من مدرسة إعدادية. وبحلول عام 2005، سيتعين على العاملين في مجال التمريض والطب في مستشفيات الأرياف والبلدات الصغيرة الموجودة في جميع أنحاء البلد الحصول على شهادة مساعد طبيب أو مؤهلات أعلى. وبحلول عام 2010، سيتعين على الأغلبية العظمى من أطباء الريف الحصول على شهادة طبيب مساعد أو مؤهلات أعلى. وخلال السنوات الخمس المقبلة، سيتلقى جميع موظفي الإدارة الطبية الموجودين حالياًَ على صعيدي المقاطعات والقرى، والفنيين الموظفين حالياًَ في المؤسسات الطبية الريفية دورة من التدريب الإضافي. وستعمل الحكومة بجميع مستوياتها على زيادة التمويل الطبي سنوياً، شريطة ألا يقل معدل الزيادة عن المعدل الإجمالي لزيادة الإنفاق في ذلك العام حسب ما تحدده السلطة المالية. وبين عام 2003 وعام 2010، ستوجه معظم الزيادة السنوية في الإنفاق على المرافق الطبية، من جانب الحكومات الشعبية على المستوى المركزي وعلى المستويات البلدية ومستوى المقاطعات، إلى تطوير المرافق الطبية في المجتمعات الريفية. وبتركيز الاهتمام على الأمراض الرئيسية، ستركز الجهود على وضع نموذج جديد لنظم طبية ريفية تعاونية وبرامج مساعدة طبية يتعين على الحكومة أن تنظمها وتديرها بالمشاركة الطوعية من جانب سكان الريف أنفسهم. وستقدم الإدارة المالية المركزية في الأقاليم الوسطى والغربية خارج المدن، إعانات خاصة لهذه النماذج الطبية التعاونية الجديدة تساوي 10 يوان لكل مشارك سنوياً. وسيصل معدل الإعانات التي تقدمها الحكومات المحلية في هذه الأثناء إلى 10 يوان على الأقل لكل شخص سنوياً.</w:t>
      </w:r>
    </w:p>
    <w:p w:rsidR="00000000" w:rsidRDefault="00000000">
      <w:pPr>
        <w:spacing w:line="380" w:lineRule="exact"/>
        <w:jc w:val="both"/>
        <w:rPr>
          <w:rFonts w:hint="cs"/>
          <w:rtl/>
        </w:rPr>
      </w:pPr>
      <w:r>
        <w:rPr>
          <w:rFonts w:hint="cs"/>
          <w:rtl/>
        </w:rPr>
        <w:t>170-</w:t>
      </w:r>
      <w:r>
        <w:rPr>
          <w:rFonts w:hint="cs"/>
          <w:rtl/>
        </w:rPr>
        <w:tab/>
        <w:t>وفي عام 2001، صدر عن وزارة الصحة مقترحات بشأن تكثيف الأعمال في مجال الصحة في المناطق الغربية من البلد، والتي عرضت فيها الاستمرار في زيادة الاستثمارات المتصلة بالصحة في المناطق الغربية، والأموال الموجهة نحو الميدان الصحي وغيرها من أشكال الدعم المقدمة من الحكومة المركزية للمناطق الفقيرة الواقعة في الغرب وذلك للتعجيل بإنشاء مرافق صحية أساسية في المجتمعات الريفية. وستنظم الشبكات الصحية الموجودة في جميع أرجاء البلد لدعم مثيلاتها في الغرب بتدريب الموظفين وتوفير توجيهات تقنية وأفرقة طبية جوالة ومعدات دعم. وستجري زيادة الدعم المقدم لتدريب الموظفين، والتثقيف الصحي، وتنفيذ الحملة "الوطنية للحفاظ على الصحة والإصحاح" التي طال عهدها، ورصد إنفاذ القوانين في الميادين الصحية المهمة. وابتداء من عام 2003، ستحشد الحكومة نحو 500 مؤسسة صحية كبيرة ومتوسطة الحجم في المنطقتين الوسطى والشرقية لدعم مثيلاتها الريفية في المنطقة الغربية، وخاصة عن طريق تقديم المساعدة في تشييد مرافق ومستشفيات طبية على صعيد المقاطعات في البلدات والقرى الوسطى. وسيقوم كل إقليم ومنطقة حكم ذاتي وبلدية تخضع للإدارة مباشرة بتنظيم المؤسسات الطبية على مستوى المدن والمقاطعات والمستويات الأعلى ضمن نطاق ولايتها لدعم المرافق الطبية في المجتمعات الريفية المحلية. وستشكل أفرقة طبية وتنشئ نظماً من أجل تقديم خدمات طبية جوّالة، وتجهزها بالمركبات والمعدات للتوغل في عمق المناطق الريفية النائية والآهلة بالأقليات وتنفذ برامج طبية جوّالة. وفي عام 2001، قدمت الحكومة المركزية إعانات بلغ مقدارها 80 مليون يوان لبناء مرافق صحية أساسية على مستوى "الهياكل الثلاثة" في المجتمعات الريفية. واستثمرت 120 مليون يوان في تشييد نحو 116 مستشفى في المقاطعات الفقيرة و670 مليون يوان أخرى في بناء مصارف دم في المناطق الوسطى والغربية. وفي عام 2002، واصلت الحكومة تطوير البنية الأساسية الطبية في المناطق الفقيرة باستثمارات وصلت إلى 300 مليون يوان في مستشفيات مخصصة للطب الصيني التقليدي وميادين التخصص الطبية الأخرى. كما رصدت من الميزانية سندات بمقدار 800 مليون يوان لتمويل بناء مرافق مخصصة للوقاية من الأمراض ومكافحتها على صعيد كل من المقاطعات والنواحي والمدن والأقاليم في المناطق الغربية.</w:t>
      </w:r>
    </w:p>
    <w:p w:rsidR="00000000" w:rsidRDefault="00000000">
      <w:pPr>
        <w:spacing w:line="380" w:lineRule="exact"/>
        <w:jc w:val="both"/>
        <w:rPr>
          <w:rFonts w:hint="cs"/>
          <w:rtl/>
        </w:rPr>
      </w:pPr>
      <w:r>
        <w:rPr>
          <w:rFonts w:hint="cs"/>
          <w:rtl/>
        </w:rPr>
        <w:t>171-</w:t>
      </w:r>
      <w:r>
        <w:rPr>
          <w:rFonts w:hint="cs"/>
          <w:rtl/>
        </w:rPr>
        <w:tab/>
        <w:t>وتعكف حكومة الصين على تكثيف أنشطتها في مجال الوقاية من الأمراض المعدية والمتوطنة والطفيلية ومكافحتها، مثل الطاعون الدملي والكوليرا والإيدز وشلل الأطفال وغيرها من الأمراض الرئيسية المتفشية في المناطق الغربية. وما زالت الحكومة تواصل أعمالها لمكافحة مرض البلهارسيا وحالات نقص مادة اليود في هذه المناطق وقد وسّعت برامجها الوقائية التي تستهدف مرض كاشين - بك والداء المتوطن للتسمم بمادتي الفلور والزرنيخ. وفي عام 2001 لوحده، خصصت الحكومة المركزية مبلغاً قدره 850 مليون يوان لحل مشاكل مياه الشرب التي يعاني منها نحو 3 ملايين نسمة من السكان الذين يعيشون في مناطق تقع في 10 مقاطعات وأقاليم وسطى وغربية متأثرة بحالات تسمم شديد بمادتي الفلور والزرنيخ. وخلال الخطة خماسية السنوات العاشرة سيقدم مبلغ قدره 180 مليون يوان لمقاطعات منكوبة بالفقر عُيِّنت على الصعيد الوطني تقع في 12 إقليماً غربياًَ و6 أقاليم وسطى لشراء لقاحات ضد الالتهاب الكبدي البائي والمعدات اللازمة لحقنها، كيما يتسنى التأكد من إمكانية تحصين الرضّع الذين يولدون سنوياً في هذه المناطق والبالغ عددهم 6 ملايين رضيع. وفي عام 2001 ثم في عام 2002 أيضاً، قدمت الحكومة مبلغاً قدره 20 مليون يوان للأقاليم الوسطى والغربية لشراء وتركيب مرافق سلسلة تبريد اللقاحات لتحل محل المعدات المتقادمة وتحسِّن بذلك عملية تنفيذ برامج التحصين المقررة.</w:t>
      </w:r>
    </w:p>
    <w:p w:rsidR="00000000" w:rsidRDefault="00000000">
      <w:pPr>
        <w:spacing w:line="380" w:lineRule="exact"/>
        <w:jc w:val="both"/>
        <w:rPr>
          <w:rFonts w:hint="cs"/>
          <w:rtl/>
        </w:rPr>
      </w:pPr>
      <w:r>
        <w:rPr>
          <w:rFonts w:hint="cs"/>
          <w:rtl/>
        </w:rPr>
        <w:t>172-</w:t>
      </w:r>
      <w:r>
        <w:rPr>
          <w:rFonts w:hint="cs"/>
          <w:rtl/>
        </w:rPr>
        <w:tab/>
        <w:t>وتسعى الحكومة بفعالية للحصول على مساعدات طوعية ثنائية ومتعددة الأطراف من المجتمع الدولي ومن هونغ كونغ وماكاو وتايوان، فضلاً عن سعيها للحصول على تبرعات أو قروض تفضيلية من منظمات مالية دولية وحكومات أجنبية من أجل الاضطلاع بتنفيذ مشاريع جديدة. وفي عام 2001، بدأت مشاريع التعاون الدولي تحولاً تدريجياً في توجيه اهتمامها نحو المنطقة الغربية من الصين. وأُنفقت المساعدات المقدمة من المصادر التي ورد ذكرها أعلاه والبالغة قيمتها 100 مليون دولار من دولارات الولايات المتحدة تقريباً على برامج التحصين والوقاية من التدرن والقضاء على حالات نقص اليود وعلى الخدمات الصحية المقدمة في الأحياء وبناء قدرات المناطق الغربية الفقيرة. وفي نفس الوقت، لا يزال تدريب الموظفين للعمل في الغرب مستمراً.</w:t>
      </w:r>
    </w:p>
    <w:p w:rsidR="00000000" w:rsidRDefault="00000000">
      <w:pPr>
        <w:spacing w:line="380" w:lineRule="exact"/>
        <w:jc w:val="both"/>
        <w:rPr>
          <w:rFonts w:hint="cs"/>
          <w:rtl/>
        </w:rPr>
      </w:pPr>
      <w:r>
        <w:rPr>
          <w:rFonts w:hint="cs"/>
          <w:rtl/>
        </w:rPr>
        <w:t>173-</w:t>
      </w:r>
      <w:r>
        <w:rPr>
          <w:rFonts w:hint="cs"/>
          <w:rtl/>
        </w:rPr>
        <w:tab/>
        <w:t xml:space="preserve">ومن خلال سن قوانين وأنظمة من قبيل قانون رعاية صحة الأم والطفل والتعليمات المتعلقة بتنفيذه، ومعايير تنظيم الرعاية الصحية قبل الزواج، تنهض الصين بنظام لخدمات الرعاية الصحية قبل الزواج يشتمل على </w:t>
      </w:r>
      <w:r>
        <w:rPr>
          <w:rFonts w:hint="cs"/>
          <w:spacing w:val="0"/>
          <w:rtl/>
        </w:rPr>
        <w:t xml:space="preserve">إسداء النصح والمشورة وإجراء فحوص طبية من </w:t>
      </w:r>
      <w:r>
        <w:rPr>
          <w:rFonts w:hint="cs"/>
          <w:rtl/>
        </w:rPr>
        <w:t>أجل تقليل حالات إصابة المواليد بعيوب خِلقية. وفي عام 2000، بلغ معدل الفحوص الطبية التي أجريت قبل الزواج في جميع أنحاء البلد 64.55 في المائة، بما في ذلك من تفاوت كبير في هذا المعدل بين المناطق الحضرية والمناطق الريفية. وشرعت الدولة في تقديم خدمات الرعاية الطبية والصحية التي توفر للحوامل المشورة والإرشاد في مجال الرعاية الصحية والتغذية والشؤون النفسية إلى جانب إجراء فحوص بشكل منتظم قبل الولادة، وعملت على زيادة نسبة الولادات في المستشفى. وعلاوة على ذلك، بذلت الحكومة، من خلال عدد من التدابير، الكثير لمنع وتقليل العوامل التي تلحق الضرر بالأمهات والرضّع والأجنّة، وقلّلت بذلك حالات الإصابة بالمرض والوفيات ضمن نطاق هذه الفئة. ومع ذلك، لا تزال هناك فجوة واسعة بين المناطق الفقيرة من الصين والأقاليم الأكثر تقدماً من الناحية الاقتصادية في البلد من حيث إتاحة الرعاية الصحية وجودة الخدمات المقدمة أثناء فترة الحمل. ولذلك، لا يزال هناك مجالاً مهماً جديراً باهتمام الحكومة فيما تبذله من جهود في مجال الرعاية الصحية ألا وهو حماية المجتمعات الأضعف والاهتمام باستمرار بصحة الأم والطفل في المناطق الفقيرة.</w:t>
      </w:r>
    </w:p>
    <w:p w:rsidR="00000000" w:rsidRDefault="00000000">
      <w:pPr>
        <w:spacing w:line="380" w:lineRule="exact"/>
        <w:jc w:val="both"/>
        <w:rPr>
          <w:rFonts w:hint="cs"/>
          <w:rtl/>
        </w:rPr>
      </w:pPr>
      <w:r>
        <w:rPr>
          <w:rFonts w:hint="cs"/>
          <w:rtl/>
        </w:rPr>
        <w:t>174-</w:t>
      </w:r>
      <w:r>
        <w:rPr>
          <w:rFonts w:hint="cs"/>
          <w:rtl/>
        </w:rPr>
        <w:tab/>
        <w:t>ولا يمكن للأموال والموارد المتاحة للصين، وهي البلد النامي المكتظ بالسكان والمحدود الموارد مالياً، أن تغطي احتياجات المناطق الفقيرة من البلد. وفي الأجزاء الأفقر خصوصاً من المنطقة الغربية لا تزال صحة المرأة تواجه تحديات كثيرة، وأبرزها ارتفاع معدل وفيات الأمومة. وفي عام 2000، بلغ معدل وفيات الأمومة في جميع أنحاء البلد 53 حالة وفاة لكل 000 100 ولادة؛ ووصل هذا المعدل في المناطق النائية إلى 114.9 حالة لكل 000 100 ولادة، بل حتى إنه تجاوز في بعض المناطق 400 حالة لكل 000 100 ولادة. وفي المناطق الريفية، فإن ما يزيد على 90 في المائة من حالات الوفاة عند الولادة تحصل في مناطق متخلفة، منها 40.5 في المائة عندما تكون الولادة في المنزل. وتُسهِم عوامل كثيرة في خلق هذه الحالة، وفي طليعتها الظروف الاقتصادية السائدة في هذه المجتمعات المتخلفة التي تحول دون ولادة المرأة في المستشفى. والأعراف المقترنة بالجهل والتخلف وعدم الاكتراث بشؤون الصحة والنظافة تعني أيضاً أن سلامة الحوامل لا تحظى بما تستحقه من اهتمام. وثمة عامل ثان يتمثل في أن العاملين في مجال الصحة في هذه المجتمعات الريفية غالباً ما يكون إلمامهم بهذا الميدان بسيطاً جداً ويستخدمون أساليب متخلفة وقد تكون الخدمات التي يقدمونها غير وافية بالغرض. ووفقاً لدراسة استقصائية أجرتها وزارة الصحة في عام 1998، فإن نسبة الفنيين الصحيين العاملين في مستشفيات الأرياف ممن يتمتعون بمستوى تعليم جامعي أو أعلى لا تتجاوز 1.4 في المائة، وتبلغ نسبة الذين أكملوا الدراسة في معهد عال تقني 53 في المائة، بينما تبلغ نسبة الخريجين منهم من مدارس إعدادية نظامية أو أدنى من ذلك 36.4 في المائة. ولم تتلق الغالبية العظمى من هؤلاء أي نوع من أنواع التدريب المهني المنهجي وليس بمقدورهم أن يتعاملوا بمفردهم مع أية حالة ولادة طارئة. وعلى هذا الأساس، يمثل هؤلاء خطراً كامناً فيما يتعلق بوفيات الأمومة. وهنالك عامل ثالث هو أن مرافق الرعاية الصحية في هذه المناطق الريفية متقادمة في أغلب الأحيان، ولا تتوفر في الكثير من المناطق خدمات الطوارئ أو نقل المرضى إلى المستشفيات. ومرافق التوليد المتوفرة في الكثير من مستشفيات الأرياف بدائية وعلى غير استعداد للتعامل مع حالات الطوارئ؛ وهذا أيضاً من عوامل وفيات الأمومة. وبالنظر لهذه الظروف، أدخلت حكـومة الصيـن في برنامج نماء المرأة الصينية (2001-2010)، وفي برنامج نماء الطفل الصيني وفي خماسية السنوات الخطة العاشرة وفي الاستراتيجية الإنمائية للمنطقة الغربية تشريعات من أجل تنفيذ السياسات والاستراتيجيات الهادفة إلى تحسين صحة المرأة في المناطق الفقيرة. والحكومة مستمرة في استثمار قدر لا بأس به من الموارد البشرية والمادية والمالية في هذا الميدان، وهي عاكفة على وضع برامج تعاونية ذات قاعدة عريضة بالتنسيق مع منظمة الصحة العالمية ومنظمة الأمم المتحدة للطفولة (اليونيسيف) والوكالة الكندية للتنمية الدولية وغيرها من المنظمات الدولية للتعجيل بالجهود المبذولة من أجل تحسين صحة المرأة في الأقاليم الفقيرة من الصين.</w:t>
      </w:r>
    </w:p>
    <w:p w:rsidR="00000000" w:rsidRDefault="00000000">
      <w:pPr>
        <w:spacing w:line="380" w:lineRule="exact"/>
        <w:jc w:val="both"/>
        <w:rPr>
          <w:rFonts w:hint="cs"/>
          <w:rtl/>
        </w:rPr>
      </w:pPr>
      <w:r>
        <w:rPr>
          <w:rFonts w:hint="cs"/>
          <w:rtl/>
        </w:rPr>
        <w:t>175-</w:t>
      </w:r>
      <w:r>
        <w:rPr>
          <w:rFonts w:hint="cs"/>
          <w:rtl/>
        </w:rPr>
        <w:tab/>
        <w:t>ومن أجل تخفيض معدلات الوفيات، وخاصة وفيات الرضّع، والنهوض بنماء الطفل صحياً، ومكافحة العوامل والاتجاهات التي تسهم في حدوث وفيات الرضع والأطفال دون سن 5 سنوات، وبلوغ الهدف الذي حدده برنامج نماء الطفل الصيني المتمثل في تخفيض وفيات الرضع والأطفال دون سن 5 سنوات بمقدار الثلث عما كانت عليه مستوياتها في عام 1990، بادرت وزارة الصحة بإجراء دراسات استقصائية عن الوفيات في هاتين الفئتين على أساس عينات متعددة المستويات. وفي عام 1991، كان معدل وفيات الرضع في جميع أنحاء البلد 50.19 حالة في الألف، بينما كان معدل وفيات الأطفال دون سن 5 سنوات إلى 61.03 حالة في الألف. وفي عام 2000، انخفض هذان المعدلان إلى 32.2 و39.7 حالة في الألف على التوالي، مما يبين أن الصين قد بلغت بالفعل هدفها المنشود في تخفيض حالات الوفيات في هذين المجالين.</w:t>
      </w:r>
    </w:p>
    <w:p w:rsidR="00000000" w:rsidRDefault="00000000">
      <w:pPr>
        <w:spacing w:line="380" w:lineRule="exact"/>
        <w:jc w:val="both"/>
        <w:rPr>
          <w:rFonts w:hint="cs"/>
          <w:rtl/>
        </w:rPr>
      </w:pPr>
      <w:r>
        <w:rPr>
          <w:rFonts w:hint="cs"/>
          <w:rtl/>
        </w:rPr>
        <w:t>176-</w:t>
      </w:r>
      <w:r>
        <w:rPr>
          <w:rFonts w:hint="cs"/>
          <w:rtl/>
        </w:rPr>
        <w:tab/>
        <w:t xml:space="preserve">وخلال السنوات القليلة المنصرمة، قطعت الصين على نفسها التزاماً راسخاً بتعزيز استعمال أملاح الإماهة الفموية والعلاج بالإماهة الفموية في عموم أرجاء البلد في حالات إسهال الأطفال، وذلك من أجل تقليل حالات وفيات الأطفال الناجمة عن فقدان السوائل بسبب الإسهال. وفي دراسة استقصائية بالعينة الطبقية أجريت في عام 1994 شملت 690 51 طفلاً دون سن 5 سنوات، بلغ معدل استخدام أملاح الإماهة الفموية في حالات الإسهال 84.47 في المائة. ومع أن هذا المعدل وصل إلى 80.87 في المائة في المناطق الحضرية، فقد بلغ في المناطق الريفية 85.3 في المائة، وتجاوز 80 في المائة في جميع أنحاء البلد، ليتحقق بذلك الهدف الذي حُدد مبدئياً من أجل استخدام أملاح الإماهة الفموية. وفي السنوات القلائل الأخيرة، انخفضت وفيات الأطفال الناجمة عن الإسهال بشكل كبير، حيث تبين الإحصاءات أن حالات الوفاة الناجمة عن الإسهال لدى الأطفال دون سن 5 سنوات بلغت 443.1 حالة لكل 000 100 طفل في عام 1991 و275.2 حالة لكل 000 100 طفل في عام 1995 و192.8 حالة لكل 000 100 في عام 2000، وهو انخفاض بمقدار 56.5 في المائة خلال العقد. وهكذا، فقد تحقق أيضاً الهدف المتمثل في تخفيض وفيات الأطفال الناجمة عن الإسهال بمقدار 50 في المائة بحلول عام 2000. </w:t>
      </w:r>
    </w:p>
    <w:p w:rsidR="00000000" w:rsidRDefault="00000000">
      <w:pPr>
        <w:spacing w:line="380" w:lineRule="exact"/>
        <w:jc w:val="both"/>
        <w:rPr>
          <w:rFonts w:hint="cs"/>
          <w:rtl/>
        </w:rPr>
      </w:pPr>
      <w:r>
        <w:rPr>
          <w:rFonts w:hint="cs"/>
          <w:rtl/>
        </w:rPr>
        <w:t>177-</w:t>
      </w:r>
      <w:r>
        <w:rPr>
          <w:rFonts w:hint="cs"/>
          <w:rtl/>
        </w:rPr>
        <w:tab/>
        <w:t>وتبين الإحصاءات أن معدل وفيات الأطفال دون سن 5 سنوات جراء مرض ذات الرئة قد بلغ في جميع أنحاء البلد 512.7 1 حالة وفاة لكل 000 100 طفل في عام 1991، و062.4 1 حالة لكل 000 100 طفل في عام 1995 و773.6 حالة لكل 000 100 طفل في عام 2000، أي أنه انخفض بنسبة 48.8 في المائة خلال العقد وتحقق بالتالي الهدف المتمثل في تخفيض معدل وفيات الأطفال الناجمة عن مرض ذات الرئة بمقدار الثلث بحلول عام 2000.</w:t>
      </w:r>
    </w:p>
    <w:p w:rsidR="00000000" w:rsidRDefault="00000000">
      <w:pPr>
        <w:spacing w:line="380" w:lineRule="exact"/>
        <w:jc w:val="both"/>
        <w:rPr>
          <w:rFonts w:hint="cs"/>
          <w:rtl/>
        </w:rPr>
      </w:pPr>
      <w:r>
        <w:rPr>
          <w:rFonts w:hint="cs"/>
          <w:rtl/>
        </w:rPr>
        <w:t>178-</w:t>
      </w:r>
      <w:r>
        <w:rPr>
          <w:rFonts w:hint="cs"/>
          <w:rtl/>
        </w:rPr>
        <w:tab/>
        <w:t>وفي عام 1999، وفي إطار برنامج اضطُلع بتنفيذه بالتعاون مع منظمة الصحة العالمية واليونيسيف، وُضع نهج الإدارة المتكاملة لأمراض الطفولة موضع التنفيذ في الصين، بما في ذلك تنفيذ مراحل تجريبية في مقاطعة هونان وفي منطقة نينغ زيا هوي التي تتمتع بالحكم الذاتي. وفي عام 2001، وُسِّع البرنامج ليضم مقاطعات كل من غانسو ومنغوليا الداخلية وأنهوي وغيرها من المقاطعات ليصل إجمالي عدد المقاطعات المشمولة به إلى 12 مقاطعة. ومنذ تنفيذ البرنامج، عيَّنت الحكومة أخصائيين لإعادة تدوين مواد التدريس والخرائط الجدارية والكتيبات ذات الصلة لتوائم الظروف السائدة في الصين. وتلقى نحو 178 شخصاً التدريب فيما يتصل بهذه الجوانب بموجب ثلاثة برامج نُظمت منذ ذلك الحين للتدريب الإرشادي وتدريب المعلمين. وتعلم العاملون في مجال الصحة من خلال الميادين التي شاركوا فيها طرائق بسيطة وعملية لتشخيص أمراض الأطفال وتصنيفها ومعالجتها؛ ووُضعت معايير لاستخدام الأدوية من جانب أطباء الريف، وتحققت حالات تخفيض في إساءة استعمال المضادات الحيوية؛ وجُهزت مستشفيات الأرياف بمعدات أساسية؛ وأُحكم نظام إحالة الأطفال المرضى في حالة خطيرة إلى المستشفيات.</w:t>
      </w:r>
    </w:p>
    <w:p w:rsidR="00000000" w:rsidRDefault="00000000">
      <w:pPr>
        <w:spacing w:line="380" w:lineRule="exact"/>
        <w:jc w:val="both"/>
        <w:rPr>
          <w:rFonts w:hint="cs"/>
          <w:rtl/>
        </w:rPr>
      </w:pPr>
      <w:r>
        <w:rPr>
          <w:rFonts w:hint="cs"/>
          <w:rtl/>
        </w:rPr>
        <w:t>179-</w:t>
      </w:r>
      <w:r>
        <w:rPr>
          <w:rFonts w:hint="cs"/>
          <w:rtl/>
        </w:rPr>
        <w:tab/>
        <w:t xml:space="preserve">وأفرزت حلقة دراسية عقدتها وزارة الصحة في عام 1991 لمناقشة مسألة تشجيع الأمهات على الرضاعة الطبيعية خطة لتعزيز الجوانب المتعلقة بلبن الأم في الصين، وبعد عام 1992، شنت الصين حملة واسعة النطاق لرعاية الرضع تضمنت تقييماً نقدياً يستند إلى معايير دولية للظروف السائدة أجراه خبراء صينيون ودوليون بشأن الرضاعة الطبيعية. وبحلول نهاية عام 1995، أنشأت الصين 957 2 مستشفى لرعاية الرضع، متخطية بذلك الالتزام الذي قطعته للمجتمع الدولي بإنشاء 000 1 من هذه المستشفيات في ذلك العام. </w:t>
      </w:r>
      <w:r>
        <w:rPr>
          <w:rFonts w:hint="cs"/>
          <w:spacing w:val="0"/>
          <w:rtl/>
        </w:rPr>
        <w:t>وبحلول نهاية عام</w:t>
      </w:r>
      <w:r>
        <w:rPr>
          <w:rFonts w:hint="cs"/>
          <w:rtl/>
        </w:rPr>
        <w:t xml:space="preserve"> 1999، بلغ إجمالي مستشفيات رعاية الرضع التي أنشأتها نحو 329 7 مستشفى. وتشجع حملة رعاية الرضع الرضاعة الطبيعية في جميع أنحاء البلد. وبينت دراسة استقصائية وطنية أُجريت في عام 1998 أن 67 في المائة من الأمهات يرضعن أطفالهن طبيعياً لمدة 4 أشهر، 54 في المائة في المناطق الحضرية و72 في المائة في الريف.</w:t>
      </w:r>
    </w:p>
    <w:p w:rsidR="00000000" w:rsidRDefault="00000000">
      <w:pPr>
        <w:spacing w:line="380" w:lineRule="exact"/>
        <w:jc w:val="both"/>
        <w:rPr>
          <w:rStyle w:val="FootnoteReference"/>
          <w:rFonts w:hint="cs"/>
          <w:bCs w:val="0"/>
          <w:vertAlign w:val="baseline"/>
          <w:rtl/>
        </w:rPr>
      </w:pPr>
      <w:r>
        <w:rPr>
          <w:rFonts w:hint="cs"/>
          <w:rtl/>
        </w:rPr>
        <w:t>180-</w:t>
      </w:r>
      <w:r>
        <w:rPr>
          <w:rFonts w:hint="cs"/>
          <w:rtl/>
        </w:rPr>
        <w:tab/>
        <w:t>وفي عام 2000، رصدت الحكومة المركزية مبلغاً خاصاً قدره 420 مليون يوان لشراء نحو 400 2 مركبة وذلك لتجهيز جميع المقاطعات الموجودة في الوسط والغرب، والمقاطعات التي تعاني من الفقر في الشرق، بمركبات مجهزة بمعدات خاصة لتوفير الرعاية الصحية للأمهات والأطفال وتقديم المساعدة في حالات الولادة وتربية الأطفال تربية صحيحة وتحسين المستوى الإجمالي لخدمات الصحة الإنجابية المتوفرة للمرأة الريفية. وفي عامي 2000 و2001، نفذت الحكومة برامج في 378 مقاطعة فقيرة في 12 إقليماً غربياً لتخفيض معدل وفيات الأمومة وللقضاء على مرض الكزاز الذي يصيب الأطفال حديثي الولادة، بإجمالي استثمارات قدرها 200 مليون يوان. وللنهوض أيضاً بأحوال نساء وأطفال المناطق الفقيرة قُدمت للحوامل علاوات للتخفيف من وطأة الفقر عليهن، وبنيت مرافق للتوليد في مستشفيات الأرياف، ودُرِّب العاملون في مجال الصحة على الصعيد الشعبي تدريباً متخصصاً، ووُضعت برامج للتثقيف الصحي ولإسداء النصح والمشورة على يد الخبراء. وكان الهدف الأول تخفيض معدل وفيات الأمومة. وبحلول نهاية عام 2001، انخفضت معدلات وفيات الأمومة في المقاطعات الفقيرة المستهدفة والبالغ عددها 378 مقاطعة بمتوسط قدره 28.79 في المائة؛ بينما انخفض هذا المعدل في سبعة أقاليم بمقدار النصف، وسجّل أكبر انخفاض في إقليم غانسو، حيث بلغ 72.64 في المائة. وفي التيبت التي ارتفعت فيها معايير الرعاية الصحية للحوامل بين مزارعي ورعاة المنطقة ارتفاعاً كبيراً خلال فترة قصيرة من الزمن، انخفضت وفيات الأمومة من 715.8 حالة إلى 324.7 حالة لكل 000 100 ولادة. وكان الهدف الثاني هو القضاء على حالات الإصابة بمرض الكزاز فيما بين الأطفال حديثي الولادة؛ وقد تحقق أحد أهداف البرنامج حينما انخفض معدل الإصابة بهذا المرض في 12 إقليماً إلى أقل من حالة واحدة لكل 000 1 مولود. وبعد سنتين من الجهود، تحققت الأغلبية العظمى من أهداف البرنامج العامة والثانوية، وأسهم هذا النجاح في تقليل وفيات الأمومة وحالات إصابة الأطفال حديثي الولادة بمرض الكزاز في جميع أنحاء البلد.</w:t>
      </w:r>
    </w:p>
    <w:p w:rsidR="00000000" w:rsidRDefault="00000000">
      <w:pPr>
        <w:spacing w:line="380" w:lineRule="exact"/>
        <w:jc w:val="both"/>
        <w:rPr>
          <w:rFonts w:hint="cs"/>
          <w:rtl/>
        </w:rPr>
      </w:pPr>
      <w:r>
        <w:rPr>
          <w:rFonts w:hint="cs"/>
          <w:rtl/>
        </w:rPr>
        <w:t>181-</w:t>
      </w:r>
      <w:r>
        <w:rPr>
          <w:rFonts w:hint="cs"/>
          <w:rtl/>
        </w:rPr>
        <w:tab/>
        <w:t>ومن أجل تحسين مستويات الصحة البيئية والمهنية، أنشأت الصين شبكة لمراكز مراقبة الأمراض في عام 1990. وبحلول نهاية عام 2002، قامت 400 مدينة من مدن الصين البالغ عددها 668 مدينة بإنشاء نظم لرصد نوعية الهواء. وقامت كل مدينة تبعاً لحجمها، بإنشاء محطتين إلى سبع محطات رصد ويشمل المجموع 146 نظاماً تلقائياً لرصد نوعية الهواء وما يزيد على 380 محطة فرعية تلقائية. وإجمالاً، أُنشئ 145 مركزاً لمراقبة الأمراض لتغطي نحو عشرة ملايين نسمة من السكان في 31 إقليماً من أقاليم الصين. وقام نحو 28 مدينة بإنشاء نظم لرصد نوعية الهواء ومراكز لمراقبة الأمراض في نفس الوقت، وبذلك أنشأت شبكات لرصد نوعية الهواء في البيئة وحالات الإصابة بالمرض بين السكان (انظر الجدول 23).</w:t>
      </w:r>
    </w:p>
    <w:p w:rsidR="00000000" w:rsidRDefault="00000000">
      <w:pPr>
        <w:spacing w:line="380" w:lineRule="exact"/>
        <w:jc w:val="both"/>
        <w:rPr>
          <w:rFonts w:hint="cs"/>
          <w:rtl/>
        </w:rPr>
      </w:pPr>
      <w:r>
        <w:rPr>
          <w:rFonts w:hint="cs"/>
          <w:rtl/>
        </w:rPr>
        <w:t>182-</w:t>
      </w:r>
      <w:r>
        <w:rPr>
          <w:rFonts w:hint="cs"/>
          <w:rtl/>
        </w:rPr>
        <w:tab/>
        <w:t>وقام أكثر من 100 مدينة في عموم أرجاء البلد بإنشاء نظم لرصد نوعية مياه الشرب كما جرى تنفيذ خطط رامية إلى النهوض بمستوى سلامة إمدادات مياه الشرب في المجتمعات الريفية. وبيَّنت دراسة استقصائية أُجريت في عام 1998 عن نوعية مياه الشرب في مناطق ريفية تقع في 19 إقليماً أن معايير الجودة قد ارتفعت ارتفاعاً واضحاً. ويستعمل نحو 70.6 في المائة من السكان المياه المستخرجة من المصادر الجوفية، بينما يتوفر لدى 56.5 في المائة منهم شبكة إمدادات مركزية. وتبيّن أن حوالي 32.3 في المائة ممن شملتهم الدراسة الاستقصائية لديهم مياه شرب من الدرجة الأولى وفقاً للمعايير الوطنية للمياه، ولم تتجاوز هذه النسبة 10 في المائة في عام 1985. ومنذ عام 2000، قام نحو 47 مدينة من المدن المهمة من الناحية البيئية في جميع أنحاء البلد بإجراء اختبارات شهرية لجودة المياه في مناطق مستجمعات المياه لديها، ويجري حالياً توسيع هذا البرنامج ليشمل مدناً إقليمية أخرى. وإضافة إلى ذلك، شُرع في إجراء دراسات عن درجات الضرر الذي يلحقه التلوث البيئي في صفوف السكان، وتجرى بحوث متعمقة عن الآثار الضارة لتلوث الهواء والماء على الصحة.</w:t>
      </w:r>
    </w:p>
    <w:p w:rsidR="00000000" w:rsidRDefault="00000000">
      <w:pPr>
        <w:spacing w:line="380" w:lineRule="exact"/>
        <w:jc w:val="both"/>
        <w:rPr>
          <w:rFonts w:hint="cs"/>
          <w:rtl/>
        </w:rPr>
      </w:pPr>
      <w:r>
        <w:rPr>
          <w:rFonts w:hint="cs"/>
          <w:rtl/>
        </w:rPr>
        <w:t>183-</w:t>
      </w:r>
      <w:r>
        <w:rPr>
          <w:rFonts w:hint="cs"/>
          <w:rtl/>
        </w:rPr>
        <w:tab/>
        <w:t xml:space="preserve">والصين بلد يمتلك موارد بشرية هائلة؛ ويبلغ عدد السكان العاملين في البلد حوالي 700 مليون نسمة. وفي نهاية عام 2000، بلغ عدد المؤسسات الصناعية 7.9 ملايين مؤسسة و20 مليون مؤسسة في الأرياف ونحو 000 60 مؤسسة ممولة جزئياً من الخارج (بما في ذلك من هونغ كونغ وماكاو وتايوان). وللتكيف مع شروط الصحة المهنية المتطورة باستمرار، تقوم الصين تدريجياً بإنشاء شبكة على صعيد البلد ككل لصحة العمال وسلامتهم ولوقايتهم من الأمراض المهنية، وهنالك حالياً 000 30 شخص تقريباً يضطلعون بأعمال الصحة المهنية. ومنذ الخمسينات، أجرت الحكومة دراسات استقصائية واسعة النطاق عن الأمراض المهنية، وبحلول عام 1981، أعطت هذه الاستقصاءات صورة عن مدى انتشار وتوزّع حالات التسمم المهني الناجمة عن وجود الرصاص والبنزين والزئبق والأسمدة الفوسفاتية العضوية ومادة </w:t>
      </w:r>
      <w:r>
        <w:t>(</w:t>
      </w:r>
      <w:r>
        <w:rPr>
          <w:lang w:val="fr-CH"/>
        </w:rPr>
        <w:t>TNT</w:t>
      </w:r>
      <w:r>
        <w:t>)</w:t>
      </w:r>
      <w:r>
        <w:rPr>
          <w:rFonts w:hint="cs"/>
          <w:rtl/>
          <w:lang w:val="fr-CH"/>
        </w:rPr>
        <w:t xml:space="preserve"> وغيرها من المواد السمية. وفي عام 1983، أُجري استقصاء للأوبئة شمل أكثر من 000 100 عامل ممن كانوا معرضين لثمانية أنواع من المواد المسببة للسرطان. وبين عام 1986 وعام 1990، أُجريت دراسة استقصائية شملت أرجاء البلاد عن الحالات الراهنة والسابقة للإصابة بمرض تغبُّر الرئة، وأُنشئت محفوظات منهجية لتعقب هذا المرض. وفي عام 1996، أُجري مسح لحالة الصحة المهنية في 421 1 مؤسسة قائمة في سبعة أقاليم ومدن. وجُمع عن طريق هذه الاستقصاءات واسعة النطاق كميات هائلة من البيانات، وتشكلت على مر السنين نظم لإدارة الصحة المهنية في جميع الميادين الصناعية الرئيسية - كتحويل المعادن، وتعدين الفحم، وصناعة النفط والبتروكيمياويات، والسكك الحديدية، والطاقة الكهربائية، وغير ذلك. وفي صناعة تعدين الفحم على سبيل المثال، يجري منذ سنوات على نحو فعال تعزيز تدابير من قبيل الحفر المصحوب بالماء ورش وتبليل مصادر الغبار وشطف أوجه الصخور وتنظيف أجهزة التهوية، مما أدى إلى تخفيض مستويات الغبار المحيط بأجواء العمل بمقدار يتراوح بين 68 و89.5 في المائة. ووفقاً لإحصاءات مستقاة من شبكة بيانات الصحة المهنية في الصين لعام 2000، فقد تبيَّن من خلال رصد المهن الخطرة في جميع أرجاء البلد أن 64.8 </w:t>
      </w:r>
      <w:r>
        <w:rPr>
          <w:rFonts w:hint="cs"/>
          <w:rtl/>
        </w:rPr>
        <w:t xml:space="preserve">في المائة من مؤسسات القطاع العام الصناعية تستوفي أساساً المعايير الوطنية في هذا المجال. وأصبحت حالات ضربة الحرارة شبه معدومة في ورشات المصانع التي ترتفع فيها جداً درجات الحرارة؛ وتستوفي مناطق عمل الكثير من المؤسسات أو تكاد تستوفي المعايير الوطنية للصحة فيما يتعلق بدرجة تركُّز الغبار في محيط العمل. وقد أحرز تقدم كبير في درء حالات التسمم المهني، نتيجة لاعتماد الكثير من المصانع تدابير تكميلية من قبيل الاستعاضة عن المواد السمية بأخرى غير سمية، وتنفيذ تكنولوجيات حديثة، وتحسين الاحتواء والتهوية، ووضع حد لإمكانية تسرب المواد وانسكابها وغير ذلك. وانخفضت حالات التسمم المهني المزمنة الشائعة انخفاضاً ملحوظاً. وفي عام 2000، خضع نحو 292 370 عاملاً لفحوص بدنية ذات صلة بعملهم، واتُخذت تدابير فعالة في الوقت المناسب لمعالجة الذين كُشف عن إصابتهم بمرض مهني أو شخِّص لدى فحصهم سريرياً. </w:t>
      </w:r>
    </w:p>
    <w:p w:rsidR="00000000" w:rsidRDefault="00000000">
      <w:pPr>
        <w:spacing w:line="380" w:lineRule="exact"/>
        <w:jc w:val="both"/>
        <w:rPr>
          <w:rFonts w:hint="cs"/>
          <w:rtl/>
        </w:rPr>
      </w:pPr>
      <w:r>
        <w:rPr>
          <w:rFonts w:hint="cs"/>
          <w:rtl/>
        </w:rPr>
        <w:t>184-</w:t>
      </w:r>
      <w:r>
        <w:rPr>
          <w:rFonts w:hint="cs"/>
          <w:rtl/>
        </w:rPr>
        <w:tab/>
        <w:t>وسنَّت حكومة الصين مجموعة من القوانين والنظم الأساسية الرامية إلى الوقاية من الأمراض المعدية والمتوطنة والمهنية وغيرها من الأمراض ومعالجتها ومكافحتها. وتشمل هذه المجموعة البرنامج خماسي السنوات العاشر للوقاية من الأمراض ومكافحتها والخطة الوطنية لمكافحة الحالات الطارئة للإصابة بالطاعون الدملي والخطة المتوسطة والطويلة الأجل للوقاية من مرض الإيدز ومكافحته (1998-2010) والحملة الوطنية لاحتواء مرض الإيدز والوقاية منه (2001-2005) والخطة الوطنية للوقاية من مرض التدرن (2001-2010) والبرنامج خماسي السنوات العاشر لمكافحة مرض البلهارسيا واقتراحات بشأن بذل المزيد من الجهود للقضاء على حالات نقص اليود والخطة المعنية بالصحة العقلية في الصين (2002-2010) والخطة الإنمائية للأغذية والتغذية في الصين (2001-2010).</w:t>
      </w:r>
    </w:p>
    <w:p w:rsidR="00000000" w:rsidRDefault="00000000">
      <w:pPr>
        <w:spacing w:line="380" w:lineRule="exact"/>
        <w:jc w:val="both"/>
        <w:rPr>
          <w:rFonts w:hint="cs"/>
          <w:rtl/>
        </w:rPr>
      </w:pPr>
      <w:r>
        <w:rPr>
          <w:rFonts w:hint="cs"/>
          <w:rtl/>
        </w:rPr>
        <w:t>185-</w:t>
      </w:r>
      <w:r>
        <w:rPr>
          <w:rFonts w:hint="cs"/>
          <w:rtl/>
        </w:rPr>
        <w:tab/>
        <w:t>وتنادي حكومة الصين باتباع نهج "الوقاية أولاً" إزاء المسائل الصحية وتعتبر درء المخاطر التي تهدد صحة الفرد ورفاهته كالأمراض المعدية والمتوطنة والأمراض المزمنة غير المعدية، أولى المهام الأساسية في مجال الرعاية الصحية. وأنشأت كل منطقة في جميع أرجاء البلد، مجموعة شتى من مؤسسات وأفرقة الرعاية الصحية الوقائية المتخصصة وشنت حملات وطنية جماعية من أجل الصحة. ومنذ بداية عهد الانفتاح حددت الحكومة مساراً رئيسياً في هذا المجال يمكن تلخيصه كما يلي: "هو مسار تنظمه الحكومة، وتنسقه الإدارات الإقليمية، وينفِّذه عامة الجمهور، وهو منسق علمياً، ويشرف عليه كل المجتمع". وتشتمل المبادرات الوقائية المهمة التي طرحت حتى الآن على برامج التحصين والتشجيع على إضافة اليود إلى ملح الطعام تشجيعاً واسع النطاق. وأنشئ مركز للوقاية من الأمراض ومكافحتها، واستثمر نحو 800 مليون يوان في شكل سندات حكومية لإنشاء مؤسسات للوقاية من الأمراض ومكافحتها في غرب البلاد. وجرى تعزيز رصد الأمراض المعدية الخطيرة، كيما يتسنى الوقاية من حالات التفشي المفاجئ للأمراض المتوطنة ومكافحتها. ودُشِّنت رسمياً في كانون الثاني/يناير 2002 الشبكة الوطنية للإبلاغ عن البيانات المتعلقة بالأمراض وإدارتها، وهي مسؤولة عن نشر وإدارة بيانات ذات صلة بالأمراض على الصُعد الأربعة للحكومة - وهي صعيد المقاطعات وصعيد المناطق وصعيد الأقاليم والصعيد المركزي، وقد استكملت المراحل الأولية من إصدار وإدارة التقارير عن حالة الأمراض المتوطنة في شكل بيانات إلكترونية. وفي هذه الأثناء، استكمل تصميم أنظمة لتوفير الإغاثة ومنع تفشي الأمراض في أعقاب وقوع الكوارث، ولتوفير الاستجابة الطارئة للأحداث المفاجئة التي تطرأ على الصحة العامة، وستنفَّذ هذه الأنظمة في جميع أنحاء البلد ابتداءً من عام 2003.</w:t>
      </w:r>
    </w:p>
    <w:p w:rsidR="00000000" w:rsidRDefault="00000000">
      <w:pPr>
        <w:spacing w:line="380" w:lineRule="exact"/>
        <w:jc w:val="both"/>
        <w:rPr>
          <w:rFonts w:hint="cs"/>
          <w:rtl/>
        </w:rPr>
      </w:pPr>
      <w:r>
        <w:rPr>
          <w:rFonts w:hint="cs"/>
          <w:rtl/>
        </w:rPr>
        <w:t>186-</w:t>
      </w:r>
      <w:r>
        <w:rPr>
          <w:rFonts w:hint="cs"/>
          <w:rtl/>
        </w:rPr>
        <w:tab/>
        <w:t>وثمة حملة شاملة للوقاية من مرض الإيدز جارية على قدم وساق. وخصصت أموال من سندات الحكومة لتعزيز شبكة مصارف الدم في عموم البلد، كما يسعى بنشاط للحصول على تعاون دولي. وقد وضع هيكل استراتيجي أساسي للعناية بضحايا مرض الإيدز، وحددت بروتوكولات العلاج، وبدأ العمل في البرامج المتكاملة القائمة في الأحياء لرعاية ومعالجة ضحايا الإيدز والحيلولة دون تفشيه. ويحظى بأولوية الاهتمام ضمان الحصول على تمويل من أجل تشييد مركز وطني للوقاية من مرض الإيدز ومكافحته وتغطية النفقات المتصلة بالوقاية منه.</w:t>
      </w:r>
    </w:p>
    <w:p w:rsidR="00000000" w:rsidRDefault="00000000">
      <w:pPr>
        <w:spacing w:line="380" w:lineRule="exact"/>
        <w:jc w:val="both"/>
        <w:rPr>
          <w:rFonts w:hint="cs"/>
          <w:rtl/>
          <w:lang w:val="fr-CH"/>
        </w:rPr>
      </w:pPr>
      <w:r>
        <w:rPr>
          <w:rFonts w:hint="cs"/>
          <w:rtl/>
          <w:lang w:val="fr-CH"/>
        </w:rPr>
        <w:t>187-</w:t>
      </w:r>
      <w:r>
        <w:rPr>
          <w:rFonts w:hint="cs"/>
          <w:rtl/>
          <w:lang w:val="fr-CH"/>
        </w:rPr>
        <w:tab/>
        <w:t>وجرى تنفيذ خطط لإدماج التهاب الكبد البائي في برنامج تحصين الأطفال، وارتأت الحكومة أن تتحمل حكومات المقاطعات التكاليف المترتبة على التحصين ضد التهاب الكبد البائي. ومن أجل مساعدة الأقاليم الغربية ال‍ 12 والمقاطعات التي تعيش دون المستوى الوطني للفقر الموجودة في ستة أقاليم وسطى على إدراج التهاب الكبد البائي في برامجها الخاصة لتحصين الأطفال، وقَّعت الصين اتفاقاً تعاونياً مع التحالف العالمي للقاحات والتحصين، يشترك بموجبه الطرفان في تمويل شراء اللقاحات اللازمة والمحاقن التي تستخدم لمرة واحدة. وبين عام 2001 وعام 2005، ستساهم الإدارة المالية المركزية بنحو 36 مليون يوان سنوياً لتمويل هذه البرامج.</w:t>
      </w:r>
    </w:p>
    <w:p w:rsidR="00000000" w:rsidRDefault="00000000">
      <w:pPr>
        <w:spacing w:line="380" w:lineRule="exact"/>
        <w:jc w:val="both"/>
        <w:rPr>
          <w:rFonts w:hint="cs"/>
          <w:rtl/>
          <w:lang w:val="fr-CH"/>
        </w:rPr>
      </w:pPr>
      <w:r>
        <w:rPr>
          <w:rFonts w:hint="cs"/>
          <w:rtl/>
          <w:lang w:val="fr-CH"/>
        </w:rPr>
        <w:t>188-</w:t>
      </w:r>
      <w:r>
        <w:rPr>
          <w:rFonts w:hint="cs"/>
          <w:rtl/>
          <w:lang w:val="fr-CH"/>
        </w:rPr>
        <w:tab/>
        <w:t>ولا تزال الحكومة تواصل جهودها للقضاء على مرض شلل الأطفال وهي ملتزمة بتعزيز استراتيجياتها في مجال التحصين. ووضعت تدابير لإجراء التلقيح الوقائي وقواعد لتنظيمه. كما عززت التدابير القائمة لمكافحة الأمراض المتوطنة والطفيلية وهي ملتزمة بإكمال تنفيذ ذلك الجزء من الخطة خماسية السنوات العاشرة والمعني بمكافحة مرض البلهارسيا على الصعيد الوطني. وثمة حملة جارية للقضاء على حالات نقص الحديد في المناطق المنكوبة بالفقر. وفي بعض المناطق التي توقفت فيها الزراعة كيما تستعيد الأراضي غلافها النباتي الطبيعي، تشتمل الإعانات المقدمة للسكان على دقيق القمح ومقويات من الحديد وغيرها من المغذيات النزرة.</w:t>
      </w:r>
    </w:p>
    <w:p w:rsidR="00000000" w:rsidRDefault="00000000">
      <w:pPr>
        <w:spacing w:line="380" w:lineRule="exact"/>
        <w:jc w:val="both"/>
        <w:rPr>
          <w:rFonts w:hint="cs"/>
          <w:rtl/>
        </w:rPr>
      </w:pPr>
      <w:r>
        <w:rPr>
          <w:rFonts w:hint="cs"/>
          <w:rtl/>
        </w:rPr>
        <w:t>189-</w:t>
      </w:r>
      <w:r>
        <w:rPr>
          <w:rFonts w:hint="cs"/>
          <w:rtl/>
        </w:rPr>
        <w:tab/>
        <w:t xml:space="preserve">ومن أجل تعزيز الأعمال التي يُنهض بها بالتعاون مع مشاريع إنشائية رئيسية في مجال الوقاية من الأمراض ومكافحتها، وضعت الحكومة عدداً من تدابير السياسة العامة. وتشمل هذه التدابير مذكرة عن تعزيز الوقاية من الأمراض ومكافحتها أثناء تنفيذ مشاريع إنشائية ضخمة، والتنفيذ التجريبي للقواعد التقنية الناظمة لتنظيف حوض مستودع مياه سد المضايق الثلاثة المشيد على نهر يانغزي، وبرنامج تقني للوقاية من مرض الطاعون الدملي خلال بناء سكة حديد كينغاي - تيبت. وإضافة إلى ذلك، تقدم الحكومة في الوقت المناسب المشورة في مجال التنفيذ والمواد والدعم المالي للمناطق المنكوبة بكوارث طبيعية. وقد أصدرت اشتراطات واضحة بشأن رصد التقدم المحرز والإبلاغ عنه فيما يتعلق بعمليات الإغاثة عقب الكوارث والحالة الوبائية في المناطق المنكوبة بهذه الكوارث. </w:t>
      </w:r>
    </w:p>
    <w:p w:rsidR="00000000" w:rsidRDefault="00000000">
      <w:pPr>
        <w:spacing w:line="380" w:lineRule="exact"/>
        <w:jc w:val="both"/>
        <w:rPr>
          <w:rFonts w:hint="cs"/>
          <w:rtl/>
        </w:rPr>
      </w:pPr>
      <w:r>
        <w:rPr>
          <w:rFonts w:hint="cs"/>
          <w:rtl/>
        </w:rPr>
        <w:t>190-</w:t>
      </w:r>
      <w:r>
        <w:rPr>
          <w:rFonts w:hint="cs"/>
          <w:rtl/>
        </w:rPr>
        <w:tab/>
        <w:t xml:space="preserve">ومنذ تأسيس جمهورية الصين الشعبية وضعت الحكومة عدداً من السياسات العامة والقواعد بشأن الصحة والسلامة المهنيتين، وعملت منذ الثمانينات على التعجيل بصياغة هيكل قانوني منهجي في هذا المجال. وفي تشرين الأول/أكتوبر 2001، أصدرت اللجنة الدائمة للمؤتمر الشعبي الوطني قانون الأمراض المهنية، الذي دخل حيز النفاذ رسمياً في 1 أيار/مايو 2002. ويشكّل هذا القانون، بالاشتراك مع عدد من الأنظمة التي وضعهما مجلس الدولة سابقاً، من قبيل اللوائح المتعلقة بحماية العمال في أماكن التي تستخدم فيه مواد سمية، ولوائح الوقاية من مرض تغبر الرئة ومعالجة المصابين به، واللوائح المتعلقة بالحماية من النظائر المشعة ومنشآت المواد المشعة والعديد من الأنظمة التي وضعتها وزارة الصحة مثل القواعد الخاصة بكيفية التعامل مع عمليات الإبلاغ عن الأمراض المهنية والأصناف الخطرة وحماية جهاز السمع لدى العمال في المنشآت الصناعية، يشكل هذا القانون إطاراً أساسياً للتدابير القانونية والإدارية والتنظيمية والإنفاذية لتدوين شؤون إدارة الصحة والسلامة المهنيتين في الصين. </w:t>
      </w:r>
    </w:p>
    <w:p w:rsidR="00000000" w:rsidRDefault="00000000">
      <w:pPr>
        <w:spacing w:line="380" w:lineRule="exact"/>
        <w:jc w:val="both"/>
        <w:rPr>
          <w:rFonts w:hint="cs"/>
          <w:rtl/>
        </w:rPr>
      </w:pPr>
      <w:r>
        <w:rPr>
          <w:rFonts w:hint="cs"/>
          <w:rtl/>
        </w:rPr>
        <w:t>191-</w:t>
      </w:r>
      <w:r>
        <w:rPr>
          <w:rFonts w:hint="cs"/>
          <w:rtl/>
        </w:rPr>
        <w:tab/>
        <w:t xml:space="preserve">ويجري باستمرار رفع مستوى المعايير الوطنية للصحة والسلامة المهنيتين. وفي عام 2002، وتمشياً مع قانون الأمراض المهنية وبناءً على الأعمال التي اضطلع بها في السنوات العديدة السابقة، قامت وزارة الصحة بتنقيح وإعادة إصدار نحو 157 نظاماً تشمل ما يزيد على 500 معيار من هذه المعايير الوطنية، بما في ذلك صياغة معايير صحية للمؤسسات الصناعية وفرض قيود على التماس المهني مع العوامل الضارة في مكان العمل ووضع معايير بشأن تشخيص الأمراض المهنية ومعايير الحماية من الإشعاع والمعايير المتعلقة بتشخيص الأمراض المتصلة بالإشعاع. وتشكل هذه الإصلاحات الكثيرة معاً نظاماً صينياً متميزاً من المعايير في مجال الصحة والسلامة المهنيتين يتفق والقواعد الدولية السائدة. </w:t>
      </w:r>
    </w:p>
    <w:p w:rsidR="00000000" w:rsidRDefault="00000000">
      <w:pPr>
        <w:spacing w:line="380" w:lineRule="exact"/>
        <w:jc w:val="both"/>
        <w:rPr>
          <w:rFonts w:hint="cs"/>
          <w:rtl/>
        </w:rPr>
      </w:pPr>
      <w:r>
        <w:rPr>
          <w:rFonts w:hint="cs"/>
          <w:rtl/>
        </w:rPr>
        <w:t>192-</w:t>
      </w:r>
      <w:r>
        <w:rPr>
          <w:rFonts w:hint="cs"/>
          <w:rtl/>
        </w:rPr>
        <w:tab/>
        <w:t xml:space="preserve">وتزمع الحكومة أن تعيد تنظيم وتنسيق الشبكة الحالية لبيانات الأمراض المهنية وتحسين نظم البيانات المصممة لمكافحة حالات التسمم المهني. وستشمل هذه المبادرة صياغة السياسات العامة، ووضع اللوائح والمعايير، والقيام بعمليات تفتيش، والاستجابات الطارئة والإغاثة، وتعريف التسمم بالمنتجات الكيميائية، والمشورة التكنولوجية، والتدريب والتثقيف، وإصدار الشهادات وغيرها من المهام المهمة، والعمل عموماً على رفع مستوى المعلومات المتاحة للمساعدة في مكافحة حالات التسمم المهني الحاد. ويتعين إنشاء مركز مكافحة وطني للاستجابة الطارئة لحالات التسمم المهني الحاد من أجل توجيه وتنسيق الاستجابات لحوادث التسمم على نحو موحد. </w:t>
      </w:r>
    </w:p>
    <w:p w:rsidR="00000000" w:rsidRDefault="00000000">
      <w:pPr>
        <w:spacing w:line="380" w:lineRule="exact"/>
        <w:jc w:val="both"/>
        <w:rPr>
          <w:rFonts w:hint="cs"/>
          <w:rtl/>
        </w:rPr>
      </w:pPr>
      <w:r>
        <w:rPr>
          <w:rFonts w:hint="cs"/>
          <w:rtl/>
        </w:rPr>
        <w:t>193-</w:t>
      </w:r>
      <w:r>
        <w:rPr>
          <w:rFonts w:hint="cs"/>
          <w:rtl/>
        </w:rPr>
        <w:tab/>
        <w:t>وتولي حكومة الصين مسألة الصحة والسلامة المهنيتين كل الاهتمام. وتستهدف بشكل خاص الأخطار المهنية الرئيسية وتشدد على عمليات التفتيش بشأن الغبار والتسمم في مكان العمل وتحسين ظروف العمل بشكل عام. وعلى امتداد سنوات العمل الكثيرة، قامت جميع الصناعات الكبرى في البلد - تحويل المعادن، وتعدين الفحم، والنفط والبتروكيمياويات، والسكك الحديدية، والطاقة الكهربائية، وغير ذلك - بوضع نظم داخلية كفؤة للتعامل مع مسائل الصحة والسلامة المهنيتين. وعموماً، فقد وضعت المؤسسات الكبيرة والمتوسطة الحجم التابعة للقطاع الحكومي قواعد للتعامل مع المهام الخطرة تعاملاً آمناً ورصد أماكن العمل ومراقبة صحة العمال وحمايتها. ومن أجل التكيف مع الاحتياجات الجديدة التي تمخضت عنها الإصلاحات الاقتصادية حديثة العهد، ولا سيما تلك التي أدخلت على إدارة المؤسسات والمشاكل الناشئة فيما يتعلق باستخدام اليد العاملة، اعتمدت الحكومة تدابير فعالة لحماية صحة العمال. ومنحت الأولوية لتعزيز الإطار القانوني ذي الصلة، ويجري باستمرار توسيع نطاق الإشراف عليه وإنفاذه. وبدأ في عام 2000 تنفيذ مشروع رئيسي في جميع أنحاء البلد لإعادة تنظيم إنتاج المواد الكيميائية الضارة وبيعها واستعمالها ووضع ضوابط بهذا الشأن. وفي نفس الوقت، شُنت حملة رئيسية شملت أرجاء البلد لتعزيز الصحة والسلامة المهنيتين في المؤسسات الصناعية ومؤسسات التعدين ونشر الوعي بمسائل الصحة المهنية. وأصدرت الحكومة دليلاً عن إلغاء وسائل الإنتاج المتقادمة وما يتصل بذلك من تكنولوجيات ومنتجات، وهي عاكفة تدريجياً على تقييد وإلغاء التكنولوجيات المتقادمة والمواد وأساليب العمل التي تشكل أخطاراً صناعية جسيمة، والعمل في نفس الوقت أيضاً على تشجيع نماذج الإنتاج النظيفة.</w:t>
      </w:r>
    </w:p>
    <w:p w:rsidR="00000000" w:rsidRDefault="00000000">
      <w:pPr>
        <w:spacing w:line="380" w:lineRule="exact"/>
        <w:jc w:val="both"/>
        <w:rPr>
          <w:rFonts w:hint="cs"/>
          <w:rtl/>
        </w:rPr>
      </w:pPr>
      <w:r>
        <w:rPr>
          <w:rFonts w:hint="cs"/>
          <w:rtl/>
        </w:rPr>
        <w:t>194-</w:t>
      </w:r>
      <w:r>
        <w:rPr>
          <w:rFonts w:hint="cs"/>
          <w:rtl/>
        </w:rPr>
        <w:tab/>
        <w:t xml:space="preserve">وارتفعت النسبة المئوية لسكان الصين الذين تبلغ أعمارهم 65 عاماً فأكثر من 5.85 في المائة في عام 1990 إلى 6.96 في المائة في عام 2000، مما يبين دخول فئة المسنين في هيكل أعمار السمات السكانية للصين. وبالتلازم مع تقدم السكان في السن، هناك زيادة في عدد الذين يعانون من علل مزمنة، وفرط في طول الفترة الزمنية التي يستغرقها المرض، وزيادة مستمرة في تكاليف المستحضرات الطبية والصيدلانية، وهي جميعها أمور تؤثر تأثيراً هائلاً على مرافق الرعاية الطبية والصحية. وبناءً على ذلك، اتخذت الحكومة عدداً من الخطوات الرامية إلى تأمين الرعاية الطبية للمسنين كيما يتسنى لها ضمان حماية حقوق ومصالح رعاياها من كبار السن. </w:t>
      </w:r>
    </w:p>
    <w:p w:rsidR="00000000" w:rsidRDefault="00000000">
      <w:pPr>
        <w:spacing w:line="380" w:lineRule="exact"/>
        <w:jc w:val="both"/>
        <w:rPr>
          <w:rFonts w:hint="cs"/>
          <w:rtl/>
        </w:rPr>
      </w:pPr>
      <w:r>
        <w:rPr>
          <w:rFonts w:hint="cs"/>
          <w:rtl/>
        </w:rPr>
        <w:t>195-</w:t>
      </w:r>
      <w:r>
        <w:rPr>
          <w:rFonts w:hint="cs"/>
          <w:rtl/>
        </w:rPr>
        <w:tab/>
        <w:t xml:space="preserve">ووضعت الحكومة الخطوط العريضة للبحث في ميدان الوقاية من العلل التي يعاني منها المسنون ومعالجتها كجزء من الخطة الخمسية العاشرة، وهي عاقدة العزم على إنشاء وصقل نظام للخدمات الصحية والضمان الطبي للمسنين بأسرع وقت ممكن. ومن المقرر أن يكون الرعايا من كبار السن هدفاً مهماً من أهداف الخدمات الصحية الشعبية في المناطق الحضرية والريفية على حد سواء، ويتعين وضع طائفة من نماذج الرعاية الصحية لهم. ومن المقرر وضع مجموعة مماثلة من المعايير المتعلقة بالخدمات الاجتماعية المقدمة للمسنين موضع التنفيذ وإدخال تحسينات على النظام ذي الصلة بذلك، كيما يتسنى ضمان تطوير مرافق الرعاية الطبية والصحية داخل الأحياء وتوفير التعليم الصحي. وبهذه الطريقة، ستلبى تدريجياً احتياجات المسنين من الرعاية الطبية والصحية. </w:t>
      </w:r>
    </w:p>
    <w:p w:rsidR="00000000" w:rsidRDefault="00000000">
      <w:pPr>
        <w:spacing w:line="380" w:lineRule="exact"/>
        <w:jc w:val="both"/>
        <w:rPr>
          <w:rFonts w:hint="cs"/>
          <w:rtl/>
        </w:rPr>
      </w:pPr>
      <w:r>
        <w:rPr>
          <w:rFonts w:hint="cs"/>
          <w:rtl/>
        </w:rPr>
        <w:t>196-</w:t>
      </w:r>
      <w:r>
        <w:rPr>
          <w:rFonts w:hint="cs"/>
          <w:rtl/>
        </w:rPr>
        <w:tab/>
        <w:t xml:space="preserve">ويجري حث المستشفيات الكبيرة والمتوسطة الحجم على المضي قدماً بالطب المعني بالمسنين وزيادة الخدمات الطبية المقدمة لهم وتيسير سبل حصولهم عليها؛ وإنشاء ملفات بالحالات التي يعانون منها وتطوير الرعاية في محل السكن وتقديم عروض بشأن القيام بزيارات للبيوت وتقديم الرعاية فيها، ومراقبة المسنين طوال اليوم ورعاية المحتضرين، لتُقدم بالتالي تدريجياً العلاج للمسنين داخل منازلهم وتنشئ شبكة للمعلومات والإنذار عن حالات الطوارئ. ويحصل العاملون في مجال الرعاية الصحية الشعبية ممن يعتنون بالمسنين على المزيد من التدريب البنّاء والتقني. ويجري النهوض بالبحث في ميدان الوقاية والعلاج فيما يتصل بأوضاع الشيخوخة والتشجيع على اتباع أسلوب عيش صحي ومتمدن قائم على مبادئ علمية. ويتواصل بفعالية تعزيز الجهود الرامية إلى مكافحة الأمراض المزمنة. وفيما يتعلق بالظروف السائدة والمستمرة للإصابة بالأمراض المزمنة من قبيل أمراض القلب والأوعية الدموية وداء السكري، التي يتضح أن حالات الإصابة بها آخذة في الارتفاع، يجري بشكل مستمر تطوير خدمات متكاملة وقائية وعلاجية وتعليمية داخل الأحياء. </w:t>
      </w:r>
    </w:p>
    <w:p w:rsidR="00000000" w:rsidRDefault="00000000">
      <w:pPr>
        <w:spacing w:line="380" w:lineRule="exact"/>
        <w:jc w:val="both"/>
        <w:rPr>
          <w:rFonts w:hint="cs"/>
          <w:rtl/>
        </w:rPr>
      </w:pPr>
      <w:r>
        <w:rPr>
          <w:rFonts w:hint="cs"/>
          <w:rtl/>
        </w:rPr>
        <w:t>197-</w:t>
      </w:r>
      <w:r>
        <w:rPr>
          <w:rFonts w:hint="cs"/>
          <w:rtl/>
        </w:rPr>
        <w:tab/>
        <w:t xml:space="preserve">وبإمكان دوائر السهر على الصحة في الأحياء أن توفر الرعاية الخاصة الإنسانية والصحية للأفراد الأكثر حرماناً في المجتمع، بما يؤدي إلى زيادة شعورهم بهويتهم في المجتمع والانتماء إليه. وهي مفيدة أيضاً للغاية في تشجيع نظرة علمية بشأن المسائل الصحية والحفاظ على صحة السكان والنهوض بها، مما يعزز في نهاية المطاف ثقافة إيجابية في المجتمع. وتُبرز المقترحات المتعلقة بالنهوض بمستوى تطوير الأحياء الحضرية في عموم أرجاء البلد الصادرة عن الحكومة في تشرين الثاني/نوفمبر 2000 الخدمات الصحية الموجودة في الأحياء بوصفها جزءاً مهماً من عملية تطوير الأحياء، وتطالب المدن بالشروع في تحويل موارد الرعاية الصحية نحو أحيائها، منشئة بذلك نظاماً جديداً للرعاية الصحية الحضرية يقوم على مجتمع الأحياء. وتبين إحصاءات جمعت في نهاية عام 2002 أن نحو 358 مدينة قامت بتطوير خدمات من هذا القبيل وأنشأت ما يزيد على 700 11 مركز من المراكز الصحية الموجودة في الأحياء. والأحياء تحتضن أيضاً عدداً كبيراً من مراكز رعاية المسنين والعيادات وغيرها من المرافق الطبية التي تقدم للسكان المحليين خدمات متخصصة في مجال الرعاية الصحية. </w:t>
      </w:r>
    </w:p>
    <w:p w:rsidR="00000000" w:rsidRDefault="00000000">
      <w:pPr>
        <w:spacing w:line="380" w:lineRule="exact"/>
        <w:jc w:val="both"/>
        <w:rPr>
          <w:rFonts w:hint="cs"/>
          <w:rtl/>
        </w:rPr>
      </w:pPr>
      <w:r>
        <w:rPr>
          <w:rFonts w:hint="cs"/>
          <w:rtl/>
        </w:rPr>
        <w:t>198-</w:t>
      </w:r>
      <w:r>
        <w:rPr>
          <w:rFonts w:hint="cs"/>
          <w:rtl/>
        </w:rPr>
        <w:tab/>
        <w:t>وأصدرت حكومة الصين مجموعة من الأوامر التوجيهية المهمة بشأن الخدمات الصحية في الأحياء. وعلى سبيل المثال، فقد حدد الأمر الإداري "بعض المقترحات بشأن تطوير الخدمات الصحية في الأحياء الحضرية" لعام 1999، الأهداف التالية: يتعين تنفيذ مشاريع رائدة للخدمات الصحية في الأحياء في كافة أرجاء البلد بحلول عام 2000؛ ومن المقرر وضع إطار منهجي أساسي لتقديم خدمات من هذا القبيل موضع التنفيذ بحلول عام 2005؛ وإنشاء نظام كامل نسبياً بحلول عام 2010. وتطالب "المقترحات بشأن أهداف عام 2005 في تطوير الخدمات الصحية في الأحياء الحضرية"، الصادرة في عام 2001، معظم المدن في جميع أنحاء البلد بضرورة إقامة إطار أساسي لتنفيذ السياسات العامة، وتشغيل شبكة خدمات كاملة، وترشيد عملية تعيين الموظفين، وشحذ وظائف تقديم الخدمات، ووضع المعايير المتعلقة بالإشراف والإدارة، والسهر على قيام قنوات التمويل بوظيفتها كما ينبغي، والتوفيق بين الخدمات الصحية واحتياجات الأحياء. وطالبت "المقترحات بشأن التعجيل بتطوير الخدمات الصحية في الأحياء الحضرية"، الصادرة في آب/أغسطس 2002، الدوائر الصحية في الأحياء باعتماد آليات السوق التنافسية، وشجعت المنظمات الاجتماعية والأفراد على إنشاء دوائر من هذا النوع. وفي نفس الوقت، يفترض في الحكومة أن تعزز الدوائر الصحية في الأحياء عن طريق ما تتبعه من سياسات عامة بشأن الإعانات المالية والحوافز الضريبية وما شابهها من تدابير.</w:t>
      </w:r>
    </w:p>
    <w:p w:rsidR="00000000" w:rsidRDefault="00000000">
      <w:pPr>
        <w:spacing w:line="380" w:lineRule="exact"/>
        <w:jc w:val="both"/>
        <w:rPr>
          <w:rFonts w:hint="cs"/>
          <w:rtl/>
        </w:rPr>
      </w:pPr>
      <w:r>
        <w:rPr>
          <w:rFonts w:hint="cs"/>
          <w:rtl/>
        </w:rPr>
        <w:t>199-</w:t>
      </w:r>
      <w:r>
        <w:rPr>
          <w:rFonts w:hint="cs"/>
          <w:rtl/>
        </w:rPr>
        <w:tab/>
        <w:t>وبحلول عام 2005، تخطط الحكومة لإنشاء شبكة من الدوائر الصحية في الأحياء بنماذج إمدادات متباينة فيما لا يقل عن 80 في المائة من المدن على الصعيد الإقليمي فما فوقه. وستقدم لهذه الشبكة توجيهات صادرة عن مؤسسات لا تسعى إلى تحقيق الربح، وهي هيئة رئيسية مؤلفة من مؤسسات للخدمات الصحية تؤدي مجموعة شاملة من الوظائف، ودعماً من المرافق الطبية والصحية الشعبية. وسيتمكن ما نسبته 35 في المائة على الأقل من المدن على صعيد المقاطعات من تطوير شبكات صحية في الأحياء تلائم الظروف الحقيقية السائدة في المناطق التابعة لها. وسيكون باستطاعة 70 في المائة من السكان المقيمين المشمولين بكل مكتب من المكاتب دون الإقليمية الوصول إلى مركز صحي مجاور أو مؤسسة أخرى للخدمات الصحية الشاملة في غضون 15 دقيقة من المشي على الأقدام من محل سكناهم، وسيكون بإمكانهم الاتصال بهذه المراكز بواسطة الهاتف. وستتخذ الخطوات الأولى بالتركيز على ممارسي الطب العام المؤهلين، لتشكيل أفرقة متخصصة من العاملين في مجال الصحة في الأحياء ممن يتمتعون بثقافة عالية بحلول عام 2005. والمعدل المتوسط لهؤلاء الممارسين المشتغلين في الأحياء هو شخص على الأقل لكل 000 10 نسمة من سكان المدينة، بالرغم من أن المدن التي تستوفي شروطاً معينة مستمرة في بذل قصارى جهدها لمضاعفة هذه الخدمة أو تحسين مستواها. وحصل ما لا يقل عن 50 في المائة من الممرضين في هذه الخدمات على تدريب لمرحلة ما بعد التأهيل الأولي بإدارة السلطات الصحية الإقليمية. وقد ازدادت نسبة سكان المدن الذين يتوجّهون إلى الخدمات الصحية الموجودة في الأحياء لتلقي الرعاية الطبية زيادة كبيرة مقارنة بعام 2000، حيث وصلت إلى نحو 50 في المائة في المدن الكبيرة والمتوسطة الحجم، وتزيد نسبة الأشخاص المرتاحين للخدمات التي يحصلون عليها على 80 في المائة. وتحسنت مستويات معرفة السكان بأمور الصحة الأساسية وبالتطعيم من خلال برامج التحصين، والعلاج الموحد للأمراض الرئيسية المزمنة غير المعدية، والرعاية الصحية المدارة للنساء والأطفال والمسنين تحسناً ملحوظاً مقارنة بعام 2000. وفي هذه الأثناء، لا يزال معدل الزيادة في التكاليف المترتبة على ما يحصل عليه السكان من رعاية طبية على مستوياته التي وصلها في عام 2000 أو دون تلك المستويات.</w:t>
      </w:r>
    </w:p>
    <w:p w:rsidR="00000000" w:rsidRDefault="00000000">
      <w:pPr>
        <w:spacing w:line="380" w:lineRule="exact"/>
        <w:jc w:val="both"/>
        <w:rPr>
          <w:rFonts w:hint="cs"/>
          <w:rtl/>
        </w:rPr>
      </w:pPr>
      <w:r>
        <w:rPr>
          <w:rFonts w:hint="cs"/>
          <w:rtl/>
        </w:rPr>
        <w:t>200-</w:t>
      </w:r>
      <w:r>
        <w:rPr>
          <w:rFonts w:hint="cs"/>
          <w:rtl/>
        </w:rPr>
        <w:tab/>
        <w:t>وفي تشرين الأول/أكتوبر 2001، أبرز التنفيذ التجريبي لمواصفات الوظائف الأساسية للخدمات الصحية في الأحياء الحضرية المهام الأكثر جوهرية لهذه الخدمات في الوقت الحالي، وهي: الخدمات المحلية لتشخيص الأمراض، ورعاية الصحة النفسية، والخدمات الطبية المقدمة في الأحياء، والتثقيف الصحي، والرعاية الصحية للأم والطفل، وفترات النقاهة داخل المجتمعات المحلية، والوقاية من الأمراض المعدية والمتوطنة والطفيلية ومعالجتها، والرعاية الصحية المقدمة للأطفال، وخدمات تنظيم الأسرة، والوقاية من الأمراض المزمنة غير المعدية ومعالجتها، والرعاية الصحية للمسنين، وجمع البيانات المتصلة بذلك ومعالجتها وتحليلها ونشرها.</w:t>
      </w:r>
    </w:p>
    <w:p w:rsidR="00000000" w:rsidRDefault="00000000">
      <w:pPr>
        <w:spacing w:line="380" w:lineRule="exact"/>
        <w:jc w:val="both"/>
        <w:rPr>
          <w:rFonts w:hint="cs"/>
          <w:rtl/>
        </w:rPr>
      </w:pPr>
      <w:r>
        <w:rPr>
          <w:rFonts w:hint="cs"/>
          <w:rtl/>
        </w:rPr>
        <w:t>201-</w:t>
      </w:r>
      <w:r>
        <w:rPr>
          <w:rFonts w:hint="cs"/>
          <w:rtl/>
        </w:rPr>
        <w:tab/>
        <w:t>وأصدرت الحكومة قراراً بشأن الإصلاحات والتطوير في مجال الصحة في عام 1997. وأوضح هذا القرار أن التثقيف الصحي جزء مهم من ثقافة الرعايا ولا بد من التأكيد عليه بشدة كيما يتسنى رفع مستوى الوعي الصحي بين الجمهور وتعزيز قدرة عامة الناس على الاعتناء بصحتهم؛ وينبغي النهوض بهمة بمستوى التثقيف الصحي فيما بين سكان أرياف الصين البالغ عددهم 900 مليون نسمة. وأوضح كلٌ من "المقترحات بشأن تطوير الخدمات الصحية في الأحياء الحضرية" لعام 1999، و"المقترحات التوجيهية بشأن إصلاح النظام الحضري للخدمات الطبية والصحية" وظائف التثقيف الصحي التي تؤديها الدوائر الصحية في الأحياء. وأكّدت "مقترحات السياسات العامة بشأن الإعانات المقدمة للمرافق الصحية" السياسة العامة لجعل الإعانات المقدمة إلى المؤسسات الصحية العامة إعانات لتغطية نفقات الخدمات الصحية العامة، بما في ذلك التثقيف الصحي.</w:t>
      </w:r>
    </w:p>
    <w:p w:rsidR="00000000" w:rsidRDefault="00000000">
      <w:pPr>
        <w:spacing w:line="380" w:lineRule="exact"/>
        <w:jc w:val="both"/>
        <w:rPr>
          <w:rFonts w:hint="cs"/>
          <w:rtl/>
        </w:rPr>
      </w:pPr>
      <w:r>
        <w:rPr>
          <w:rFonts w:hint="cs"/>
          <w:rtl/>
        </w:rPr>
        <w:t>202-</w:t>
      </w:r>
      <w:r>
        <w:rPr>
          <w:rFonts w:hint="cs"/>
          <w:rtl/>
        </w:rPr>
        <w:tab/>
        <w:t>وحدّد الأمر التوجيهي الصادر في تشرين الثاني/نوفمبر 2001 عن وزارة الصحة بشأن مواصفات الوظائف الأساسية للخدمات الصحية في الأحياء الحضرية المهام الملموسة التي يتعين القيام بها فيما يتعلق بالتثقيف الصحي في الأحياء. وأكدت "المقترحات التوجيهية بشأن إصلاح وتطوير النظام الصحي في المجتمعات الريفية"، الصادرة عن الحكومة في عام 2001، على الاستمرار في تشجيع الحملة الرامية إلى تعزيز التثقيف الصحي في صفوف سكان أرياف الصين البالغ عددهم 900 مليون نسمة، ونشر الفهم العلمي للأدوية والمستحضرات الصيدلانية والدفاع عن أسلوب حياة متمدن وصحي. وقام برنامج تطوير الرعاية الصحية الأولية في المجتمعات الريفية (2001-2010)، الذي وُضع في عام 2002، بدمج هذه الحملة في المجال العام للرعاية الصحية الأولية في الريف.</w:t>
      </w:r>
    </w:p>
    <w:p w:rsidR="00000000" w:rsidRDefault="00000000">
      <w:pPr>
        <w:spacing w:line="380" w:lineRule="exact"/>
        <w:jc w:val="both"/>
        <w:rPr>
          <w:rFonts w:hint="cs"/>
          <w:rtl/>
        </w:rPr>
      </w:pPr>
      <w:r>
        <w:rPr>
          <w:rFonts w:hint="cs"/>
          <w:rtl/>
        </w:rPr>
        <w:t>203-</w:t>
      </w:r>
      <w:r>
        <w:rPr>
          <w:rFonts w:hint="cs"/>
          <w:rtl/>
        </w:rPr>
        <w:tab/>
        <w:t>وخلال التسعينات، شرعت الصين في تنفيذ مشروع وطني للتثقيف الصحي في الأحياء للمجتمعات الريفية والحضرية على حد سواء. وركّز المشروع في المجتمعات الريفية على حملة التثقيف الصحي لسكان الأرياف البالغ عددهم 900 مليون نسمة، ونشر معلومات ذات صلة بالصحة الأساسية والدفاع عن أساليب عيش صحية، واستغلال موارد الرعاية الصحية استغلالاً رشيداً، وخلق بيئة طبيعية تفضي إلى التمتع بحياة صحية. وفي عام 2002، رسمت الإدارات الحكومية المعنية خطة حملة رامية إلى مواصلة تعزيز الأعمال التي يجري النهوض بها في هذا الميدان، مؤكدة بذلك على السلامة والصحة بوصفهما موضوعين رئيسيين، ومركزة على نشر المعلومات بشأن سلامة الأم والرضيع وعمليات الحقن الآمنة، والعلاقات الجنسية الآمنة، وسلامة الأغذية. وتتواصل الجهود الرامية إلى تنفيذ الخطة المعنية بضمان إتاحة الفرصة أمام سكان المناطق المنكوبة بالفقر لتعلم وفهم مبادئ الرعاية الصحية الشخصية. ووزِعَت 000 200 نسخة تقريباً من "التثقيف الصحي للقارئ الريفي" و"النسخ المكتوبة للبرامج الإذاعية للتثقيف الصحي في الأرياف"، بينما يُعكف على إنتاج وتوزيع 000 110 نسخة أخرى مجاناً من أشرطة الفيديو والأشرطة السمعية لبرنامج مؤلف من 140 حلقة تلفزيونية و30 حلقة إذاعية. وتتضمن المواد الأخرى في هذه المجموعة ملصقات وكتباً تعليمية. وقام كل إقليم بإضفاء الطابع المحلي على الملصقات والكتب والكراريس التعليمية، وعمد إلى الاستفادة من تدابير أخرى من قبيل لوحات الإعلانات والمعارض وخدمات المشورة والمحاضرات والمنافسات في طرح الأسئلة وتشخيص الأمراض ومعالجتها لنشر المعلومات الصحية. وقام أكثر من 000 2 محطة من محطات التلفزيون والإذاعة في عموم أرجاء البلد ببث برامج عن الحملة؛ وترجمت بعض المقاطعات والأقاليم المادة التي بثتها المحطات إلى لهجات محلية ولغات تستخدمها الأقليات لبثها في مناطق معينة. وتبث نحو 702 من المحطات التلفزيونية في جميع أنحاء البلد البرنامج التعليمي "عالم الصحة"، الذي يستقبله أكثر من 600 مليون مشاهد.</w:t>
      </w:r>
    </w:p>
    <w:p w:rsidR="00000000" w:rsidRDefault="00000000">
      <w:pPr>
        <w:spacing w:line="380" w:lineRule="exact"/>
        <w:jc w:val="both"/>
        <w:rPr>
          <w:rFonts w:hint="cs"/>
          <w:rtl/>
        </w:rPr>
      </w:pPr>
      <w:r>
        <w:rPr>
          <w:rFonts w:hint="cs"/>
          <w:rtl/>
        </w:rPr>
        <w:t>204-</w:t>
      </w:r>
      <w:r>
        <w:rPr>
          <w:rFonts w:hint="cs"/>
          <w:rtl/>
        </w:rPr>
        <w:tab/>
        <w:t>والمشروع المشترك للنهوض بمستوى الصحة بين الصين واليونيسيف في عام 1990، يركز منذ بدايته على صحة المجتمعات الضعيفة في المناطق الريفية وفي صفوف أقليات السكان في البلد. ويتولى المشروع نشر معلومات أساسية عن الرضاعة الطبيعية، وتنشئة الأطفال، والتلقيح، وصحة الأسرة، والظروف التي تؤدي إلى الإصابة بأمراض من قبيل الإسهال، والسعال، والملاريا، والإيدز، ونقص اليود، ومنع تدخين المراهقين. ويجري حالياً تنفيذ المشروع في 488 بلدة في 28 إقليماً. وأظهر تقييم لفعالية المشروع على مختلف المراحل أن 75 في المائة من السكان المستهدفين لديهم ما نسبته 75 في المائة من المعلومات الواردة في كتاب "المعرفة من أجل الحياة".</w:t>
      </w:r>
    </w:p>
    <w:p w:rsidR="00000000" w:rsidRDefault="00000000">
      <w:pPr>
        <w:spacing w:line="380" w:lineRule="exact"/>
        <w:jc w:val="both"/>
        <w:rPr>
          <w:rFonts w:hint="cs"/>
          <w:rtl/>
        </w:rPr>
      </w:pPr>
      <w:r>
        <w:rPr>
          <w:rFonts w:hint="cs"/>
          <w:rtl/>
        </w:rPr>
        <w:t>205-</w:t>
      </w:r>
      <w:r>
        <w:rPr>
          <w:rFonts w:hint="cs"/>
          <w:rtl/>
        </w:rPr>
        <w:tab/>
        <w:t>ومنذ عام 1979، سنَّت الصين إجمالاً 24 قانوناً ولائحة وإشعاراً بهدف فرض قيود على التدخين. ويشمل ذلك قانون احتكار التبغ وقانون حماية القصَّر وقانون الإشهار وقانون جنوح الأحداث. وبحلول نيسان/أبريل 2000، قام نحو 14 مقاطعة وبلدية تخضع للإدارة المباشرة و88 مدينة بسنّ قوانين وضعية تحظر التدخين في الأماكن العامة. وتتمثل أهداف هذه التشريعات القانونية وعدد من الحملات العامة ذات الصلة في إيجاد بيئة خالية من التدخين، وحماية صحة الأطفال والشباب، وتمهيد السبيل أمام خلق بيئة اجتماعية صحية عموماً.</w:t>
      </w:r>
    </w:p>
    <w:p w:rsidR="00000000" w:rsidRDefault="00000000">
      <w:pPr>
        <w:spacing w:line="380" w:lineRule="exact"/>
        <w:jc w:val="both"/>
        <w:rPr>
          <w:rStyle w:val="FootnoteReference"/>
          <w:rFonts w:hint="cs"/>
          <w:bCs w:val="0"/>
          <w:vertAlign w:val="baseline"/>
          <w:rtl/>
        </w:rPr>
      </w:pPr>
      <w:r>
        <w:rPr>
          <w:rFonts w:hint="cs"/>
          <w:rtl/>
        </w:rPr>
        <w:t>206-</w:t>
      </w:r>
      <w:r>
        <w:rPr>
          <w:rFonts w:hint="cs"/>
          <w:rtl/>
        </w:rPr>
        <w:tab/>
        <w:t>وفي عام 1998، أقرت منظمة الصحة العالمية مسألة تطوير النُظم الصحية بوصفها توجهاً من توجهاتها الرئيسية الأربعة في ميدان وضع الاستراتيجيات. وهذه التوجهات هي: تخفيض عدد الوفيات وحالات الإعاقة البدنية، والتقليل من الأخطار البيئية، وتطوير النُظم الصحية، والنهوض بمستوى العناصر ذات الصلة بالصحة في السياسات العامة المتعلقة بالتنمية الاجتماعية والاقتصادية والبيئية. واغتنمت حكومة الصين هذه الفرصة لتوسيع نطاق تعاونها مع منظمة الصحة العالمية وقدمت طلباً للحصول على تمويل من خارج الميزانية لمشاريع البحوث بشأن المسائل المتصلة بإدخال إصلاحات على النُظم الطبية والصحية في المناطق الحضرية والريفية في الصين. ووُفِّقت الحكومة في طلبها، وأصبحت مشاريع إصلاح الرعاية الصحية في الصين بنداً مدرجاً رسمياً في ميزانيتي منظمة الصحة العالمية واليونيسيف.</w:t>
      </w:r>
    </w:p>
    <w:p w:rsidR="00000000" w:rsidRDefault="00000000">
      <w:pPr>
        <w:spacing w:line="380" w:lineRule="exact"/>
        <w:jc w:val="both"/>
        <w:rPr>
          <w:rFonts w:hint="cs"/>
          <w:rtl/>
        </w:rPr>
      </w:pPr>
      <w:r>
        <w:rPr>
          <w:rFonts w:hint="cs"/>
          <w:rtl/>
        </w:rPr>
        <w:t>207-</w:t>
      </w:r>
      <w:r>
        <w:rPr>
          <w:rFonts w:hint="cs"/>
          <w:rtl/>
        </w:rPr>
        <w:tab/>
        <w:t>وتعاونت الصين لعدة سنوات مع منظمة الصحة العالمية واليونيسيف وبرنامج الأمم المتحدة المشترك المعني بفيروس نقص المناعة البشرية/الإيدز وبرنامج الأمم المتحدة الإنمائي وغيرها من المنظمات الدولية، مستفيدة بذلك من الأرصدة المخصصة في الميزانية العادية والبالغة قيمتها 40 مليون دولار من دولارات الولايات المتحدة، ووُفِّقت في طلبها بشأن الحصول على تمويل من خارج الميزانية بمبلغ إضافي قدره 28 مليون دولار من دولارات الولايات المتحدة. وحصلت على مبلغ قدره 54 مليون دولار من دولارات الولايات المتحدة من الصندوق العالمي لمكافحة الإيدز والتدرن والملاريا، وعلى أموال بقيمة 38 مليون دولار من دولارات الولايات المتحدة من التحالف العالمي للقاحات والتحصين. ويُضطلع بتنفيذ جميع هذه المشاريع في مجالات مهمة من أجل تطوير المرافق الصحية في الصين. ومنذ عام 1984، أبرمت الصين أيضاً 10 اتفاقات قروض مع البنك الدولي من أجل الحصول على أموال لدعم برامج متنوعة من قبيل التطوير الشامل للخدمات الصحية الإقليمية وتطوير الخدمات الصحية في الريف، وتدريب الموظفين والخدمات الصحية الأساسية، ومكافحة الأمراض المتوطنة والمعدية (كالإيدز، والأمراض التي ينقلها الاتصال الجنسي، والتدرن، وغير ذلك) ورعاية صحة الأم والطفل والخدمات الصحية والتثقيف الطبي والتعليم الصحي وبرامج التطعيم وغيرها من المشاريع المهمة. واستُغلت هذه القروض المتصلة بالصحة لتوفير كم هائل من التكنولوجيات والمعدات الأجنبية والمحلية المنشأ على حد سواء، ولتدريب أعداد كبيرة من العمال المؤهلين.</w:t>
      </w:r>
    </w:p>
    <w:p w:rsidR="00000000" w:rsidRDefault="00000000">
      <w:pPr>
        <w:spacing w:line="380" w:lineRule="exact"/>
        <w:jc w:val="both"/>
        <w:rPr>
          <w:rFonts w:hint="cs"/>
          <w:rtl/>
        </w:rPr>
      </w:pPr>
      <w:r>
        <w:rPr>
          <w:rFonts w:hint="cs"/>
          <w:rtl/>
        </w:rPr>
        <w:t>208-</w:t>
      </w:r>
      <w:r>
        <w:rPr>
          <w:rFonts w:hint="cs"/>
          <w:rtl/>
        </w:rPr>
        <w:tab/>
        <w:t xml:space="preserve">وأبرمت حكومة الصين عدداً من اتفاقات التعاون الثنائي. وتشمل هذه الاتفاقات ما يلي: منحة مقدمة من حكومة المملكة المتحدة لدعم مشاريع مكافحة الإيدز وتوفير الخدمات الصحية في الأحياء؛ ومشاريع واسعة النطاق للتطعيم ومكافحة مرض التدرن يجري تنفيذها بمساعدة حكومة اليابان؛ ومشروع للوقاية من مرض التدرن ومعالجته يُنفَّذ بالتعاون مع مؤسسة داميين البلجيكية؛ واتفاق ثانٍ لمدة 10 سنوات مع مؤسسة ساغاوا اليابانية للمنح الدراسية من أجل تدريب الموظفين الطبيين؛ ومشروع تعاوني بين حكومتي الصين وأستراليا من أجل مكافحة الإيدز في المنطقة الآسيوية. وزادت الصين أيضاً من اتصالاتها مع البلدان المجاورة في مجالي الصحة والنظافة، وهي تشارك في أنشطة التعاون الصحي والإقليمي. والصين جهة من الجهات الموقعة على مذكرة التفاهم المتعلقة بتنقلات السكان ومدى التأثر بمرض الإيدز من بين وزارات الصحة لخمس من دول حوض نهر الميكونغ، وقد استضافت المؤتمر الوزاري المعني برصد الأمراض في بلدان حوض نهر الميكونغ الستة، حيث وقَّعت وزارات الصحة الست المشاركة في المؤتمر مذكرة تفاهم بشأن رصد الأمراض في حوض نهر الميكونغ. وفي تشرين الأول/أكتوبر 2000، استضافت الصين محفلاً للتعاون بينها وبين أفريقيا في بيجين، وهو مَعلَم مهم في تعاونها مع بلدان أفريقيا تحدث فيه خبراء صينيون بارزون عن قضايا تتعلق بتعاون الصين مع هذه البلدان في ميدان الطب. وأصبح التعاون في مجال الصحة منذ ذلك الحين ناتجاً مهماً من نواتج المحفل. </w:t>
      </w:r>
    </w:p>
    <w:p w:rsidR="00000000" w:rsidRDefault="00000000">
      <w:pPr>
        <w:spacing w:line="380" w:lineRule="exact"/>
        <w:jc w:val="both"/>
        <w:rPr>
          <w:rFonts w:hint="cs"/>
          <w:rtl/>
        </w:rPr>
      </w:pPr>
      <w:r>
        <w:rPr>
          <w:rFonts w:hint="cs"/>
          <w:rtl/>
        </w:rPr>
        <w:t>209-</w:t>
      </w:r>
      <w:r>
        <w:rPr>
          <w:rFonts w:hint="cs"/>
          <w:rtl/>
        </w:rPr>
        <w:tab/>
        <w:t xml:space="preserve">كما تربط علاقات واتفاقات تعاون في ميدان تكنولوجيا الصحة بين الصين وبين عدد من المؤسسات الأجنبية غير الرسمية، بما فيها كليات الطب وكليات البحث الطبي والبيولوجي في عدة جامعات بارزة، ومنظمات غير حكومية دولية ومتخصصة. والصين إذ تهتم بالتطورات في جميع أنحاء العالم على الميدانين الطبي والبيولوجي، فهي تشارك أيضاً في مشاريع تقنية تعاونية في مجالي الطب الأساسي والتكنولوجيا العالية، وتوسع بذلك علاقات تعاونها في كل فرع من فروع الطب. </w:t>
      </w:r>
    </w:p>
    <w:p w:rsidR="00000000" w:rsidRDefault="00000000">
      <w:pPr>
        <w:spacing w:line="380" w:lineRule="exact"/>
        <w:jc w:val="center"/>
        <w:rPr>
          <w:rFonts w:hint="cs"/>
          <w:b/>
          <w:bCs/>
          <w:rtl/>
        </w:rPr>
      </w:pPr>
      <w:r>
        <w:rPr>
          <w:rFonts w:hint="cs"/>
          <w:b/>
          <w:bCs/>
          <w:rtl/>
        </w:rPr>
        <w:t>المادتان 13 و14</w:t>
      </w:r>
    </w:p>
    <w:p w:rsidR="00000000" w:rsidRDefault="00000000">
      <w:pPr>
        <w:spacing w:line="380" w:lineRule="exact"/>
        <w:jc w:val="center"/>
        <w:rPr>
          <w:rFonts w:hint="cs"/>
          <w:b/>
          <w:bCs/>
          <w:rtl/>
        </w:rPr>
      </w:pPr>
      <w:r>
        <w:rPr>
          <w:rFonts w:hint="cs"/>
          <w:b/>
          <w:bCs/>
          <w:rtl/>
        </w:rPr>
        <w:t>الحق في التعليم</w:t>
      </w:r>
    </w:p>
    <w:p w:rsidR="00000000" w:rsidRDefault="00000000">
      <w:pPr>
        <w:spacing w:line="380" w:lineRule="exact"/>
        <w:jc w:val="both"/>
        <w:rPr>
          <w:rFonts w:hint="cs"/>
          <w:rtl/>
        </w:rPr>
      </w:pPr>
      <w:r>
        <w:rPr>
          <w:rFonts w:hint="cs"/>
          <w:rtl/>
        </w:rPr>
        <w:t>210-</w:t>
      </w:r>
      <w:r>
        <w:rPr>
          <w:rFonts w:hint="cs"/>
          <w:rtl/>
        </w:rPr>
        <w:tab/>
        <w:t>وينص دستور الصين وتنص القوانين الأخرى على حق المواطن في الحصول على التعليم. ويرد في المادة 64 من الدستور أن مواطني جمهورية الصين الشعبية لهم الحق في الحصول على التعليم فضلاً عما يترتب عليهم من واجبات تجاه هذا الحق. وتشجع الدولة النمو الشامل للأطفال والشباب أخلاقياً وثقافياً وبدنياً. وتنص المادة 9 من قانون التعليم على أن "رعايا جمهورية الصين الشعبية يتمتعون بحق الحصول على التعليم وتترتب عليهم مسؤولية ذلك. ويتساوى الرعايا كافة في حق الحصول على التعليم وفقاً للقانون، بغض النظر عن جنسيتهم أو أصلهم العرقي أو جنسهم أو مهنتهم أو مركزهم المالي أو معتقداتهم الدينية". والتشريعات من قبيل قانون التعليم الإلزامي وقانون التعليم المهني وقانون التعليم العالي وقانون المعلمين وقانون حماية القُصَّر وقانون حقوق المرأة ومصالحها وتفاصيل تنفيذ قانون التعليم الإلزامي واللوائح المتعلقة بتعليم المعوقين والأمر الذي يحظر بموجبه عمل الأطفال، توفّر كلّها ضمانات قوية وشاملة لحق جميع السكان في الحصول على تعليم.</w:t>
      </w:r>
    </w:p>
    <w:p w:rsidR="00000000" w:rsidRDefault="00000000">
      <w:pPr>
        <w:spacing w:line="380" w:lineRule="exact"/>
        <w:jc w:val="both"/>
        <w:rPr>
          <w:rFonts w:hint="cs"/>
          <w:rtl/>
        </w:rPr>
      </w:pPr>
      <w:r>
        <w:rPr>
          <w:rFonts w:hint="cs"/>
          <w:rtl/>
        </w:rPr>
        <w:t>211-</w:t>
      </w:r>
      <w:r>
        <w:rPr>
          <w:rFonts w:hint="cs"/>
          <w:rtl/>
        </w:rPr>
        <w:tab/>
        <w:t xml:space="preserve">وتدير حكومة الصين نظام تعليم إلزامي لمدة تسع سنوات تعتبره إلى حد بعيد من أهم جوانب العمل الذي تنهض به في مجال التعليم. وتنص المادة 18 من قانون التعليم على ما يلي: "تضطلع الدولة بتنفيذ نظام تعليم إلزامي لمدة تسع سنوات. وتتخذ الحكومة بجميع مستوياتها التدابير اللازمة لضمان انخراط الأطفال والشباب في العمر المناسب في الدراسة". ويرد في المادة 4 من قانون التعليم الإلزامي ما يلي: "يكفل كل من الدولة والمجتمع والمدرسة والمنزل حق الأطفال والشباب في الأعمار المعنية في الحصول على التعليم وفقاً للقانون". وتنص المادة 10 على أن "الدولة تُعفي الطلاب الحاصلين على التعليم الإلزامي من سداد رسوم التعليم". وفي عام 2000، امتدت تغطية نظام التعليم الإلزامي لمدة تسع سنوات لتشمل 85 في المائة من سكان أقاليم الصين، محققة بذلك الأهداف التي حددها المؤتمر العالمي لعام 1990 لتوفير التعليم للجميع، المعقود في جومتين، تايلند، والمتمثلة فيما يلي: "توفير التعليم الأساسي للأطفال والشبان والكبار؛ والقضاء فعلياً على أوجه التفاوت في التعليم؛ والعمل على إتاحة التعليم الابتدائي عموماً وإجمالاً". وبحلول نهاية عام 2001، ازداد نطاق تغطية نظام التعليم الإلزامي لمدة تسع سنوات لسكان الأقاليم توسّعا فتجاوز نسبة 90 في المائة. كما وصل عدد الطلاب المنخرطين في التعليم الإلزامي في عام 2001 إلى 000 579 190 طالب، أي زاد بنحو 000 999 28 طالب عما كان عليه في عام 1990 (وهي زيادة بنسبة 18.9 في المائة). وبلغ عدد الطلاب المسجلين في المدارس الثانوية المتوسطة 800 143 65 طالب، وهي زيادة بنحو 500 978 25 طالب مقارنة مع عام 1990، أي زيادة بما نسبته 66.3 في المائة. وعلى صعيد المدارس الابتدائية، وصل معدل تسجيل الأطفال البالغين سن الدراسة في هذه المدارس خلال نفس الفترة 99.05 في المائة، حيث زادت نسبته عما كانت عليه في عام 1990 وهي 97.8 في المائة. وبلغ معدل تسجيل الفتيان في المدارس الابتدائية 99.08 في المائة ومعدل تسجيل الفتيات 99.01 في المائة، وهو اختلاف بين الجنسين خُفِّض إلى نسبة 0.07 في المائة. </w:t>
      </w:r>
    </w:p>
    <w:p w:rsidR="00000000" w:rsidRDefault="00000000">
      <w:pPr>
        <w:spacing w:line="380" w:lineRule="exact"/>
        <w:jc w:val="both"/>
        <w:rPr>
          <w:rStyle w:val="FootnoteReference"/>
          <w:rFonts w:hint="cs"/>
          <w:bCs w:val="0"/>
          <w:vertAlign w:val="baseline"/>
          <w:rtl/>
        </w:rPr>
      </w:pPr>
      <w:r>
        <w:rPr>
          <w:rFonts w:hint="cs"/>
          <w:rtl/>
        </w:rPr>
        <w:t>212-</w:t>
      </w:r>
      <w:r>
        <w:rPr>
          <w:rFonts w:hint="cs"/>
          <w:rtl/>
        </w:rPr>
        <w:tab/>
        <w:t xml:space="preserve">وتهتم الصين اهتماماً كبيراً بتعليم الأطفال المنحدرين من أسر فقيرة. وفي عام 1995، أعطت الحكومة جميع الأقاليم تعليمات لإنشاء نظام قويم معني بتقديم مساعدات مالية لطلاب المدارس الابتدائية والمتوسطة، وقررت أن تقوم الإدارة المالية المركزية خلال الفترة المشمولة بالخطة الخمسية التاسعة، باستقطاع مبلغ قدره 130 مليون يوان من صندوق المساعدات الخاصة للتعليم الإلزامي وصندوق المساعدات الخاص بتعليم السكان (من الأقليات) بغية إنشاء صندوق وطني لمساعدة الطلاب في التعليم الإلزامي في المناطق الفقيرة. ويقدم هذا الصندوق سنوياً مساعدات مالية لما يزيد على 000 600 طفل ممن يُحرَمون من التعليم أو ينقطعون عنه لأسباب عائلية. وأثناء تنفيذ الخطة الوطنية الأولى للتعليم الإلزامي في المناطق المنكوبة بالفقر، التي استمرت من عام 1995 إلى عام 2000، سمح التزام الحكومة بتخصيص مبلغ إجمالي قدره 12.6 مليار يوان بوصول معدل تسجيل الأطفال البالغين سن الدراسة في المدارس الابتدائية الموجودة في المناطق المستفيدة من هذه الخطة إلى ما نسبته 99.34 في المائة، ومعدل تسجيلهم في المدارس المتوسطة إلى 91.76 في المائة. وخلال نفس الفترة، انخفض معدل توقّف تلاميذ الابتدائي عن الدراسة إلى 0.46 في المائة، بينما انخفض هذا المعدل في صفوف طلاب المدارس المتوسطة إلى 1.77 في المائة. وشُيِّد نحو 000 4 مدرسة جديدة من المدارس الابتدائية والمتوسطة وجرى توسيع 000 30 مدرسة ابتدائية ومتوسطة، مع ما رافق ذلك من زيادة إجمالية في مساحة أراضي المدارس بلغت 60 مليون متر مربع. وأُدخلت تحسينات كبيرة على نوعية وسائل ومعدات التعليم والكتب والمواد المرجعية، مما أدى إلى إصلاح مرافق التعليم التي كانت متخلفة في السابق. وعملت الحكومة بجميع مستوياتها على تخفيض أو إلغاء رسوم متنوعة، بما فيها رسوم الكتب والإقامة، مخففة بذلك الأعباء المالية التي تثقل كاهل الطلاب المنحدرين من أسر محرومة. وفي عام 2001، أصدرت وزارتا التعليم والمالية مقترحات بشأن توزيع الكتب، على سبيل التجربة، على طلاب المدارس الابتدائية والمتوسطة في بعض المناطق المنكوبة بالفقر. وبموجب هذه المبادرة، تُفرد الإدارة المالية المركزية حصة خاصة من الأموال قدرها 200 مليون يوان سنوياً لتوفير الكتب مجاناً لطلاب المدارس الابتدائية والمتوسطة المنحدرين من أسر محرومة من الناحية الاقتصادية في المناطق الفقيرة. وبالرغم من تنفيذ هذا البرنامج على أساس تجريبي، يصل عدد الطلاب المستفيدين منه سنوياً إلى نحو 2.45 مليون طالب. </w:t>
      </w:r>
    </w:p>
    <w:p w:rsidR="00000000" w:rsidRDefault="00000000">
      <w:pPr>
        <w:spacing w:line="380" w:lineRule="exact"/>
        <w:jc w:val="both"/>
        <w:rPr>
          <w:rFonts w:hint="cs"/>
          <w:rtl/>
        </w:rPr>
      </w:pPr>
      <w:r>
        <w:rPr>
          <w:rFonts w:hint="cs"/>
          <w:rtl/>
        </w:rPr>
        <w:t>213-</w:t>
      </w:r>
      <w:r>
        <w:rPr>
          <w:rFonts w:hint="cs"/>
          <w:rtl/>
        </w:rPr>
        <w:tab/>
        <w:t xml:space="preserve">وتُبذل جهود حثيثة لتحسين تعليم الفتيات. وفي وثيقة صدرت في عام 1996 تحت عنوان "الخطة الخمسية التاسعة المعنية ببرنامج المرافق التعليمية وخطة التنمية لعام 2010"، أعربت حكومة الصين عن اعتزامها تقليص الفجوات التي تتخلل معدلات التسجيل في المدارس بين الطلاب والطالبات، وبين المناطق الحضرية والمناطق الريفية، وبين المناطق المحرومة والمناطق المتقدمة، وبين المناطق الآهلة بالأقليات الإثنية في أغلبها وغيرها من المناطق. وتقدمت الحكومة في تموز/يوليه من نفس العام بعشرة مقترحات من أجل الاستمرار في إدخال تحسينات على العمل مع الطالبات في المناطق المنكوبة بالفقر والآهلة بالأقليات الوطنية، طالبت فيها بجعل تعليم الفتيات جزءا ًمهماً من جدول الأعمال الحالي لكل منطقة في مجال التعليم الإلزامي، ودعت إلى خلق ظروف تتمكن الفتيات في ظلها من التردد على المدارس، وشرعت في تنفيذ مشاريع لمحو الأمية وتكثيف البحوث في مجال تعليم الأطفال، وحددت الاحتياجات الفعلية من أجل التعاون الدولي في ميدان تعليم الفتيات. وتنص القواعد المؤقتة لوزارة التعليم بشأن تقييم وإقرار التعليم الإلزامي على أنه ينبغي لمعدل تسجيل الفتيات البالغات سن الدراسة في المدارس ومعدل توقفهن عن الدراسة أن يستوفيا المعايير على صعيد المقاطعات، وهما يعتبران من بين المعايير المتعلقة بإقرار برامج التعليم الإلزامي. ويتضمن كل من قانون التعليم وقانون حماية القصَّر وقانون التعليم الإلزامي وبرنامج النهوض بالمرأة الصينية قواعد مماثلة بشأن تعليم الفتيات. </w:t>
      </w:r>
    </w:p>
    <w:p w:rsidR="00000000" w:rsidRDefault="00000000">
      <w:pPr>
        <w:spacing w:line="380" w:lineRule="exact"/>
        <w:jc w:val="both"/>
        <w:rPr>
          <w:rFonts w:hint="cs"/>
          <w:rtl/>
        </w:rPr>
      </w:pPr>
      <w:r>
        <w:rPr>
          <w:rFonts w:hint="cs"/>
          <w:rtl/>
        </w:rPr>
        <w:t>214-</w:t>
      </w:r>
      <w:r>
        <w:rPr>
          <w:rFonts w:hint="cs"/>
          <w:rtl/>
        </w:rPr>
        <w:tab/>
        <w:t>ولمعالجة مشاكل الأطفال في سن الدراسة في صفوف السكان غير المستقرين، أصدرت الحكومة في عام 1998 ترتيبات مؤقتة حددت بموجبها معايير تسجيل أطفال هؤلاء السكان المتأثرين في المدارس. وطالب مجلس الدولة في قرار صدر عنه في عام 2001 بشأن إصلاح وتطوير التعليم الأساسي كل منطقة بالتصدي لمشاكل التعليم في صفوف السكان غير المستقرين، وجعلها مسؤولية رئيسية تقع على عاتق الحكومات في المناطق الآهلة بالسكان غير المستقرين لضمان حقوق الأطفال المعنيين في التعليم من خلال توفير مدارس ابتدائية ومتوسطة تعمل طوال الوقت، وذلك بوسائل متنوعة. وتم إصدار تشريعات في جميع المناطق المعنية وتُدار حالياً صفوف مساعدة. وافتُتحت مدارس خصيصاً لأطفال السكان غير المستقرين في بعض المناطق التي يتركز فيها هؤلاء السكان. وإضافة إلى ذلك، تُقدم معونات لتلاميذ الأسر التي تواجه صعوبات، لضمان حقهم في الحصول على التعليم.</w:t>
      </w:r>
    </w:p>
    <w:p w:rsidR="00000000" w:rsidRDefault="00000000">
      <w:pPr>
        <w:spacing w:line="380" w:lineRule="exact"/>
        <w:jc w:val="both"/>
        <w:rPr>
          <w:rFonts w:hint="cs"/>
          <w:rtl/>
        </w:rPr>
      </w:pPr>
      <w:r>
        <w:rPr>
          <w:rFonts w:hint="cs"/>
          <w:rtl/>
        </w:rPr>
        <w:t>215-</w:t>
      </w:r>
      <w:r>
        <w:rPr>
          <w:rFonts w:hint="cs"/>
          <w:rtl/>
        </w:rPr>
        <w:tab/>
        <w:t xml:space="preserve">ومن خلال التعليم الإلزامي للأطفال المعوقين الذي هو جزء من الخطة الخمسية التاسعة، أدرجت حكومة الصين تعليم الأطفال المعوقين ضمن نطاق التعليم الإلزامي النظامي، وهي ملتزمة في هذا الصدد بضمان تحديد نفس معايير الإشراف والإقرار. ودعت اقتراحات أصدرتها الحكومة في عام 2001 بشأن مواصلة إصلاح وتطوير التعليم الخاص خلال الخطة الخمسية العاشرة إلى إدراج تعليم الأطفال المعوقين ضمن نطاق نظام التعليم الإلزامي النظامي؛ وإلى الالتزام بجعل تعليم الأطفال المعوقين مهمة أساسية من مهام نظام التعليم الإلزامي ككل والجهود الرامية إلى تعزيز ورفع مستوى معايير التعليم ومستويات الإنجازات التي تحققت في هذا النظام؛ وإلى جعل التعليم الإلزامي للأطفال المعوقين محط اهتمام الجهود المبذولة لتطوير مرافق التعليم الخاص. وأنشأت الدولة نظاماً لعلاوات التعليم الخاص ساهمت فيها الحكومة المركزية بنحو 260 مليون يوان منذ عام 1989، بينما أنفقت السلطات الإقليمية أكثر من ملياري يوان لدعم التعليم الإلزامي للأطفال والشباب المعوقين. وفي عام 1990، بلغ عدد مدارس التعليم الخاص في البلد 746 مدرسة ووصل عدد طلابها إلى 959 71 طالباً. وبحلول عام 2001، بلغ عدد هذه المدارس 531 1 مدرسة، وبلغ عدد طلاب التعليم الإلزامي 360 386 طالباً. </w:t>
      </w:r>
    </w:p>
    <w:p w:rsidR="00000000" w:rsidRDefault="00000000">
      <w:pPr>
        <w:spacing w:line="380" w:lineRule="exact"/>
        <w:jc w:val="both"/>
        <w:rPr>
          <w:rFonts w:hint="cs"/>
          <w:rtl/>
        </w:rPr>
      </w:pPr>
      <w:r>
        <w:rPr>
          <w:rFonts w:hint="cs"/>
          <w:rtl/>
        </w:rPr>
        <w:t>216-</w:t>
      </w:r>
      <w:r>
        <w:rPr>
          <w:rFonts w:hint="cs"/>
          <w:rtl/>
        </w:rPr>
        <w:tab/>
        <w:t>وبهدف تطبيق التعليم الإلزامي تطبيقاً كاملاً في المجتمعات الريفية، أصدر مجلس الدولة في عام 2001 قراراً بشأن التعليم الأساسي وإصلاحه وتطويره، دعا فيه إلى الاستمرار في إدخال إصلاحات على إدارة التعليم الإلزامي في المجتمعات الريفية. ومنذ عام 2002، يجرى تطبيق التعليم الإلزامي في المجتمعات الريفية تطبيقاً كاملاً على أساس نموذج قيادة مجلس الدولة وتنفيذ الحكومات المحلية والإدارة على مختلف الأصعدة، ولكن أساساً على صعيد المقاطعة.</w:t>
      </w:r>
    </w:p>
    <w:p w:rsidR="00000000" w:rsidRDefault="00000000">
      <w:pPr>
        <w:spacing w:line="380" w:lineRule="exact"/>
        <w:jc w:val="both"/>
        <w:rPr>
          <w:rFonts w:hint="cs"/>
          <w:rtl/>
        </w:rPr>
      </w:pPr>
      <w:r>
        <w:rPr>
          <w:rFonts w:hint="cs"/>
          <w:rtl/>
        </w:rPr>
        <w:t>217-</w:t>
      </w:r>
      <w:r>
        <w:rPr>
          <w:rFonts w:hint="cs"/>
          <w:rtl/>
        </w:rPr>
        <w:tab/>
        <w:t>وتهتم الصين اهتماماً كبيراً بتعليم الأطفال في سن مبكرة، وقد تخطت الجدول الزمني لبلوغ الأهداف المحددة في برنامج إصلاح وتطوير التعليم في الصين. وفي عام 1997، بلغ معدل التسجيل في رياض الأطفال (بالنسبة للأطفال في سن 3 إلى 6 سنوات) 43 في المائة (وكان الهدف الذي تصبو الصين إلى تحقيقه 30 في المائة)، أما في المجتمعات الريفية، فقد وصلت نسبة تسجيل الأطفال في مرحلة ما قبل الدراسة في العام الذي يسبق التعليم الرسمي إلى 60 في المائة. وتتباين نماذج تعليم الأطفال في الكثير من مناطق الصين تبايناً كبيراً بسبب الاختلافات الاقتصادية والثقافية، وهي تشمل رياض الأطفال التي تحتضن الأطفال البالغين من العمر 3 سنوات ليوم كامل، ورياض الأطفال التي تعمل لنصف يوم، وصفوف مرحلة ما قبل الدراسة لعام واحد. كما تنتشر نماذج غير رسمية مرنة ومتباينة تُكيَّف وفقاً للظروف المحلية، من قبيل الصفوف الموسمية وصفوف عطلة نهاية الأسبوع ومجموعات لعب الأطفال والصفوف التكميلية المتنقلة والتدريس في البيوت والأنشطة التي يساعد الوالدين في الاضطلاع بها.</w:t>
      </w:r>
    </w:p>
    <w:p w:rsidR="00000000" w:rsidRDefault="00000000">
      <w:pPr>
        <w:spacing w:line="380" w:lineRule="exact"/>
        <w:jc w:val="both"/>
        <w:rPr>
          <w:rFonts w:hint="cs"/>
          <w:rtl/>
        </w:rPr>
      </w:pPr>
      <w:r>
        <w:rPr>
          <w:rFonts w:hint="cs"/>
          <w:rtl/>
        </w:rPr>
        <w:t>218-</w:t>
      </w:r>
      <w:r>
        <w:rPr>
          <w:rFonts w:hint="cs"/>
          <w:rtl/>
        </w:rPr>
        <w:tab/>
        <w:t>ومنذ عام 1990، تنفّذ الدولة نظاماً للمعونات المقدمة خصيصاً لتطوير التعليم فيما بين سكان الأقليات في البلد. وتخصص الخطة الوطنية للتعليم الإلزامي المعنية بالمناطق المنكوبة بالفقر ما يزيد على 7 مليارات يوان لتمويل المناطق الغربية التي يتركز فيها سكان الأقليات. ويركز الصندوق الوطني الخاص بالمساعدات المقدمة للطلاب من أجل الحصول على التعليم الإلزامي في المناطق المنكوبة بالفقر على مناطق الأقليات ويمدهم بالمساعدة بغية تمكين أطفال الأسر المحرومة في جميع الفئات الوطنية من مزاولة التعليم. وأمنت الدولة أيضاً أموالاً قدرها 415 مليون دولار من دولارات الولايات المتحدة بموجب أربعة مشاريع من مشاريع البنك الدولي لتطوير التعليم الأساسي في المناطق المنكوبة بالفقر، مركزة في هذه المشاريع على تطوير مرافق التعليم في 466 مقاطعة فقيرة في 28 إقليماً من الأقاليم الغربية والوسطى. وبين عام 1996 و2001، استخدمت سندات حكومية وأموال خاصة أخرى لاستثمار مبلغ إضافي قدره 368 5 مليون يوان في مناطق الأقليات والمناطق الغربية. وفي عام 2001، بلغ عدد طلاب الأقليات المترددين على المدارس في عموم أرجاء البلد نحو 19.49 مليون طالب، وهي زيادة بنسبة 39 في المائة مقارنة مع عام 1991.</w:t>
      </w:r>
    </w:p>
    <w:p w:rsidR="00000000" w:rsidRDefault="00000000">
      <w:pPr>
        <w:spacing w:line="380" w:lineRule="exact"/>
        <w:jc w:val="both"/>
        <w:rPr>
          <w:rFonts w:hint="cs"/>
          <w:rtl/>
        </w:rPr>
      </w:pPr>
      <w:r>
        <w:rPr>
          <w:rFonts w:hint="cs"/>
          <w:rtl/>
        </w:rPr>
        <w:t>219-</w:t>
      </w:r>
      <w:r>
        <w:rPr>
          <w:rFonts w:hint="cs"/>
          <w:rtl/>
        </w:rPr>
        <w:tab/>
        <w:t xml:space="preserve">وزادت حكومة الصين التمويل الذي تقدمه لدعم برنامج التعليم الإلزامي. ويرد في المادة 56 من قانون التعليم ما يلي: "يقوم مجلس الدولة والحكومات الشعبية على صعيد المقاطعات فما فوق برصد أموال خاصة من أجل التعليم وتركيز الدعم على التعليم الإلزامي في المناطق النائية والفقيرة والآهلة بالأقليات الوطنية". وبين عام 1990 وعام 2001، تضاعفت حصص الأموال المرصودة في الميزانية لبرنامج التعليم الإلزامي بمعامل زيادة قدره 11 مرة تقريباً. وخلال هذه السنوات العشر، بلغ إجمالي العوائد الضريبية التي جُبيت وخُصصت للتعليم 171.733 مليار يوان، بينما ساهمت الهبات العامة والأموال المجمّعة بمبلغ إضافي قدره 139.417 مليار يوان، ليصل بذلك إجمالي مبلغ الأموال إلى 311.1 مليار يوان، والذي خُصص معظمه للتعليم الإلزامي. ويجري تحقيق ورصد دقيقان لممارسات تقاضي الرسوم الدراسية من الطلاب أثناء التعليم الإلزامي، ويجري إنفاذ قوانين مكافحة هذه الممارسات إنفاذاً صارماً. وفي عام 1996، اشتركت وزارة التعليم واللجنة الحكومية للتخطيط الإنمائي (وهي الآن اللجنة الحكومية للتنمية والإصلاح) ووزارة المالية في إصدار تعليمات مؤقتة بشأن تقاضي رسوم عن الدراسة في مدارس التعليم الإلزامي، أقرت المبدأ القائل بأنه ينبغي حصول التلميذ على التعليم الإلزامي مجاناً، وحددت الرسوم المفروضة على ذلك بنفقات متنوعة وقصَرت حق إقرار معايير بشأن هذه الرسوم على الحكومات الشعبية على صعيد المقاطعات. وطالبت مذكرة صدرت في عام 2001 بشأن مشكلة تقاضي رسوم الدراسة جزافاً في المدارس الابتدائية والمتوسطة في المجتمعات الريفية، بضرورة إنشاء نظام معنون "تقاضي الرسوم مرة واحدة تغطي جميع النفقات" اعتباراً من ذلك العام وعلى أساس تجريبي. وتعين إصلاح الوضع الفوضوي السائد بمعايير صارمة تنظم الرسوم المتنوعة التي يسمح بتقاضيها عن الكتب والحد الأعلى لهذه الرسوم. ومن ثم تقرر أن يسدد الطلاب رسماً واحداً شاملاً. ومن شأن وزارة التعليم واللجنة الحكومية للتخطيط الإنمائي ووزارة المالية أن تشترك في تعيين الحد الأدنى لهذه الرسوم بموجب النظام الذي وضعته. </w:t>
      </w:r>
    </w:p>
    <w:p w:rsidR="00000000" w:rsidRDefault="00000000">
      <w:pPr>
        <w:spacing w:line="380" w:lineRule="exact"/>
        <w:jc w:val="both"/>
        <w:rPr>
          <w:rFonts w:hint="cs"/>
          <w:rtl/>
        </w:rPr>
      </w:pPr>
      <w:r>
        <w:rPr>
          <w:rFonts w:hint="cs"/>
          <w:rtl/>
        </w:rPr>
        <w:t>220-</w:t>
      </w:r>
      <w:r>
        <w:rPr>
          <w:rFonts w:hint="cs"/>
          <w:rtl/>
        </w:rPr>
        <w:tab/>
        <w:t>وفي عام 1992، أعلنت حكومة الصين عن هدف يتمثل في القضاء تماماً على الأمية في صفوف الشباب ومن تقل أعمارهم عن الأربعين سنة بحلول نهاية القرن العشرين. وتبين الأرقام المستقاة من التعداد الوطني الخامس للسكان أن عدد الأميين من الكبار في الصين انخفض من 182 مليون أمي مسجل في عام 1990 إلى 85 مليون أمي في عام 2000. ويمثل هذا الانخفاض البالغ 100 مليون شخص تقريباً خلال عشر سنوات انخفاضاً في معدل أمية الكبار من 22.2 إلى 8.72 في المائة. وانخفض معدل الأمية لدى الشباب ومن تقل أعمارهم عن الأربعين عاماً بمقدار 700 669 48 شخص من مجموع يزيد على 62 مليون شخص (10.38 في المائة) في عام 1990 إلى 20 مليون شخص أو نحو ذلك (4.8 في المائة) في عام 2000. وبحلول عام 2000، بلغ عدد المقاطعات والأقاليم المتمتعة بالحكم الذاتي والبلديات الخاضعة للإدارة مباشرة التي حققت من الناحية الجوهرية الأهداف التي كُلفت ببلوغها على الصعيد الوطني من أجل القضاء على الأمية، 24 مقاطعة وإقليماً وبلدية.</w:t>
      </w:r>
    </w:p>
    <w:p w:rsidR="00000000" w:rsidRDefault="00000000">
      <w:pPr>
        <w:spacing w:line="380" w:lineRule="exact"/>
        <w:jc w:val="both"/>
        <w:rPr>
          <w:rStyle w:val="FootnoteReference"/>
          <w:rFonts w:hint="cs"/>
          <w:bCs w:val="0"/>
          <w:vertAlign w:val="baseline"/>
          <w:rtl/>
        </w:rPr>
      </w:pPr>
      <w:r>
        <w:rPr>
          <w:rFonts w:hint="cs"/>
          <w:rtl/>
        </w:rPr>
        <w:t>221-</w:t>
      </w:r>
      <w:r>
        <w:rPr>
          <w:rFonts w:hint="cs"/>
          <w:rtl/>
        </w:rPr>
        <w:tab/>
        <w:t xml:space="preserve">ولضمان إمكانية حصول المواطنين على تعليم ثانوي، أنشأت الصين مؤسسات تعليم ثانوي في جميع أنحاء البلد. وتؤمّن هذه المؤسسات إمكانية حصول المواطنين على تعليم مهني أو تلقيهم التدريب على مهارات مناسبة قبل دخول سوق العمل. وفي عام 2001، بلغ عدد مؤسسات التعليم الإعدادي أو الثانوي في عموم أرجاء البلد نحو 300 34 مؤسسة (بما فيها المدارس الإعدادية النظامية والمدارس الثانوية المهنية والمدارس المهنية الإعدادية النظامية والمدارس التقنية ومدارس الكبار الثانوية ومدارس الكبار الثانوية المهنية) بمعية عدد المسجَلين الجدد الذي بلغ 900 879 9 طالب ليصل بذلك إجمالي عدد الطلاب إلى 300 009 26 طالب. وبلغت نسبة خريجي المدارس المتوسطة ممن واصلوا دراستهم في مدارس ثانوية أعلى نحو 52.9 في المائة، وهو ارتفاع بمقدار 12 نقطة مئوية عما كان عليه الحال في عام 1990. ووصل عدد طلاب المدارس الإعدادية النظامية إلى 000 049 14 طالب، أي ما يمثل زيادة قدرها نحو 000 876 6 طالب (95.9 في المائة) عما كان عليه في عام 1990. وبلغ عدد طلاب المدارس الثانوية المهنية 11.64 مليون طالب، أي ضعف المستوى المسجّل في عام 1988. وأكمل طلاب مدراس التدريب التقني الكبار في عموم أرجاء البلد 92.7 مليون دورة دراسية. </w:t>
      </w:r>
    </w:p>
    <w:p w:rsidR="00000000" w:rsidRDefault="00000000">
      <w:pPr>
        <w:spacing w:line="380" w:lineRule="exact"/>
        <w:jc w:val="both"/>
        <w:rPr>
          <w:rFonts w:hint="cs"/>
          <w:rtl/>
        </w:rPr>
      </w:pPr>
      <w:r>
        <w:rPr>
          <w:rFonts w:hint="cs"/>
          <w:rtl/>
        </w:rPr>
        <w:t>222-</w:t>
      </w:r>
      <w:r>
        <w:rPr>
          <w:rFonts w:hint="cs"/>
          <w:rtl/>
        </w:rPr>
        <w:tab/>
        <w:t xml:space="preserve">وتقوم الصين بعزم بتطوير قطاع التعليم العالي. ولقد بلغ عدد الطلاب المسجلين في معاهد التعليم العالي 13 مليون طالب في عام 2001، أي ما يقارب 3.4 أضعاف عدد الطلاب المسجلين في عام 1989. وتخرج في الفترة بين عامي 1989 و2001 نحو 12 مليون شخص من مدارس التعليم العالي النظامية المخصصة للكبار، كما أحرز أكثر من 000 300 شخص على شهادات جامعية عليا. وارتفعت نسبة التسجيل الإجمالية في مجال التعليم العالي من 3.5 </w:t>
      </w:r>
      <w:r>
        <w:rPr>
          <w:rFonts w:hint="eastAsia"/>
          <w:rtl/>
        </w:rPr>
        <w:t>في</w:t>
      </w:r>
      <w:r>
        <w:t xml:space="preserve"> </w:t>
      </w:r>
      <w:r>
        <w:rPr>
          <w:rtl/>
        </w:rPr>
        <w:t>المائة</w:t>
      </w:r>
      <w:r>
        <w:rPr>
          <w:rFonts w:hint="cs"/>
          <w:rtl/>
        </w:rPr>
        <w:t xml:space="preserve"> في عام 1991 إلى 13.3 </w:t>
      </w:r>
      <w:r>
        <w:rPr>
          <w:rFonts w:hint="eastAsia"/>
          <w:rtl/>
        </w:rPr>
        <w:t>في</w:t>
      </w:r>
      <w:r>
        <w:t xml:space="preserve"> </w:t>
      </w:r>
      <w:r>
        <w:rPr>
          <w:rtl/>
        </w:rPr>
        <w:t>المائة</w:t>
      </w:r>
      <w:r>
        <w:rPr>
          <w:rFonts w:hint="cs"/>
          <w:rtl/>
        </w:rPr>
        <w:t xml:space="preserve"> في عام 2001، وذلك يشكل زيادة تقارب 10 نقاط مئوية؛ وارتفع معدل قبول الناجحين في مسابقات الدراسات العليا من 21 إلى 57 </w:t>
      </w:r>
      <w:r>
        <w:rPr>
          <w:rFonts w:hint="eastAsia"/>
          <w:rtl/>
        </w:rPr>
        <w:t>في</w:t>
      </w:r>
      <w:r>
        <w:t xml:space="preserve"> </w:t>
      </w:r>
      <w:r>
        <w:rPr>
          <w:rtl/>
        </w:rPr>
        <w:t>المائة</w:t>
      </w:r>
      <w:r>
        <w:rPr>
          <w:rFonts w:hint="cs"/>
          <w:rtl/>
        </w:rPr>
        <w:t xml:space="preserve">، أي ما يمثل ارتفاعاً بمقدار 36 نقطة مئوية. ولقد استثمرت الإدارة المالية المركزية، منذ عام 1995، ما يعادل 8.76 من مليارات اليوان في إطار "برنامج 211" الخاص بالتعليم العالي (انظر الحاشية 4 أعلاه)، وهو يركز على بناء زهاء مائة من المعاهد المخصصة للتعليم العالي. وتركز الصين تركيزاً كبيراً أيضاً على تطوير التعليم الحديث عن بعد، وبرامج التعليم المهني لمنح شهادات مهنية، كما تركز على نماذج أخرى من نماذج التعليم المستمر، وعلى صقل نظام مسابقات خاص بدورات التعليم الذاتي بغية إنشاء شبكة مفتوحة لتعليم المجتمع عن طريق الاتصال الإلكتروني المباشر. ولقد تم، في الفترة بين عامي 1999 و2002، تطوير التعليم العالي عن طريق شبكة الإنترنت بدءاً من لا شيء، وتوَسَّع نطاق هذا التعليم بسرعة كبيرة حيث أصبح الآن عدد الأشخاص المسجلين لمتابعة دراستهم بالاتصال الإلكتروني المباشر يقارب 1.3 من ملايين الأشخاص. وبحلول عام 2001 بلغ عدد المسجلين المقبولين لدخول مسابقات دورات التعليم الذاتـي في مجال التعليم العالي زهاء 300 394 13 شـخص، وقد حصل 000 641 طالب على شهاداتهم، وتم تسجيل 800 559 4 طالب في مدارس تعليم الكبار في كافة أرجاء البلد. وسمح انتشار مرافق التعليم العالي بالتخفيف، إلى حد كبير، من حدة المشاكل المواجهة منذ وقت طويل من الزمن من حيث العرض والطلب على هذا المستوى من التعليم. وتدعم الحكومة، بالإضافة إلى ذلك، سفر المواطنين الصينيين للتعلم في الخارج دعماً كلياً. وقد سافر، في الفترة بين عام 1978 ونهاية عام 2002، زهاء 000 580 شخص لمتابعة دراستهم في الخارج. </w:t>
      </w:r>
    </w:p>
    <w:p w:rsidR="00000000" w:rsidRDefault="00000000">
      <w:pPr>
        <w:spacing w:line="380" w:lineRule="exact"/>
        <w:jc w:val="both"/>
        <w:rPr>
          <w:rFonts w:hint="cs"/>
          <w:rtl/>
        </w:rPr>
      </w:pPr>
      <w:r>
        <w:rPr>
          <w:rFonts w:hint="cs"/>
          <w:rtl/>
        </w:rPr>
        <w:t>223-</w:t>
      </w:r>
      <w:r>
        <w:rPr>
          <w:rFonts w:hint="cs"/>
          <w:rtl/>
        </w:rPr>
        <w:tab/>
        <w:t xml:space="preserve">واعتمدت الدولة عدداً من التدابير لتوفير المساعدة المالية للطلاب الذين يتابعون دراساتهم العليا والذين يواجهون صعوبات مالية. فبدأت في عام 1987 بتطبيق نظام لتوفير المنح الدراسية؛ وشرعت مدارس التعليم العالي بتطبيق سياسات متنوعة منذ عام 1993، وهي تشمل توفير المنح الدراسية، والقروض الطلابية، وبرامج الدراسة والعمل في آن واحد، وعلاوات المشقة الخاصة، كما تشمل تخفيض الرسوم المدرسية أو الإعفاء منها. وخصصت الإدارة المالية المركزية، في الفترة بين عامي 1994 و2001، ما مجموعه 1.15 من مليارات اليوان لمساعدة طلاب التعليم العالي الذين يواجهون صعوبات. وأنشأت الدولة، في عام 1999، نظاماً وطنياً لمنح القروض للطلاب وأصبح هذا النظام نافذاً تماماً في عام 2000. ويوفر صندوق المنح الدراسية الوطني المُنشأ في عام 2002، ما مجموعه 200 مليون يوان من المنح سنوياً، ويساعد بها زهاء 000 45 طالب من الطلاب المنتمين إلى أسر فقيرة في سعيهم للنهوض بأنفسهم معنوياً وفكرياً وبدنياً وجمالياً. </w:t>
      </w:r>
    </w:p>
    <w:p w:rsidR="00000000" w:rsidRDefault="00000000">
      <w:pPr>
        <w:spacing w:line="380" w:lineRule="exact"/>
        <w:jc w:val="both"/>
        <w:rPr>
          <w:rFonts w:hint="cs"/>
          <w:rtl/>
        </w:rPr>
      </w:pPr>
      <w:r>
        <w:rPr>
          <w:rFonts w:hint="cs"/>
          <w:rtl/>
        </w:rPr>
        <w:t>224-</w:t>
      </w:r>
      <w:r>
        <w:rPr>
          <w:rFonts w:hint="cs"/>
          <w:rtl/>
        </w:rPr>
        <w:tab/>
        <w:t>وما انفكت الصين تسعى لرفع مستوى المعلمين من حيث الثقافة، والمعاشات، وظروف العمل، والمركز الاجتماعي، بغية النهوض بمستوى التعليم. فسنت عدداً من القوانين، كقانون المعلمين، ووضعت تنظيمات لضبط مؤهلات المعلمين، وأعلنت يوم 10 أيلول/سبتمبر من كل عام "يوم المعلّم". ورعت الحكومة المركزية جيلاً جديداً من القادة الجامعيين بفضل مبادرات مثل مبادرة خطة نهر يانغزي لتحفيز العلماء، وخطة تحفيز المعلمين المتفوقين الشباب في مجالي التعليم العالي والأبحاث،</w:t>
      </w:r>
      <w:r>
        <w:rPr>
          <w:rFonts w:hint="cs"/>
          <w:sz w:val="28"/>
          <w:szCs w:val="28"/>
          <w:rtl/>
        </w:rPr>
        <w:t xml:space="preserve"> وخطة توفير المِنَح</w:t>
      </w:r>
      <w:r>
        <w:rPr>
          <w:rFonts w:hint="cs"/>
          <w:rtl/>
        </w:rPr>
        <w:t xml:space="preserve"> للمعلمين المتفوقين الشباب. كما تمكنت من اجتذاب وتثبيت وتدريب مجموعة من المعلمين المتفوقين الشباب من الذين يعتزمون متابعة حياتهم المهنية في مجال التعليم العالي. ولقد سمح برنامج ساحة مدرسة القرن الجديد، وخطة معلمي الصفوف الخاصة، بتحسين التدريب الموفر لمديري المدارس الابتدائية والمدارس المتوسطة وللمجموعة الجديدة من المعلمين الدائمين ومديري المدارس تحسيناً منتظماً. وأفضى ذلك إلى زيادة نسبة المعلمين المؤهلين رسمياً لشغل مناصب في المدارس الابتدائية والمتوسطة والثانوية من 94.6 </w:t>
      </w:r>
      <w:r>
        <w:rPr>
          <w:rFonts w:hint="eastAsia"/>
          <w:rtl/>
        </w:rPr>
        <w:t>في</w:t>
      </w:r>
      <w:r>
        <w:t xml:space="preserve"> </w:t>
      </w:r>
      <w:r>
        <w:rPr>
          <w:rtl/>
        </w:rPr>
        <w:t>المائة</w:t>
      </w:r>
      <w:r>
        <w:rPr>
          <w:rFonts w:hint="cs"/>
          <w:rtl/>
        </w:rPr>
        <w:t xml:space="preserve">، و83.4 </w:t>
      </w:r>
      <w:r>
        <w:rPr>
          <w:rFonts w:hint="eastAsia"/>
          <w:rtl/>
        </w:rPr>
        <w:t>في</w:t>
      </w:r>
      <w:r>
        <w:t xml:space="preserve"> </w:t>
      </w:r>
      <w:r>
        <w:rPr>
          <w:rtl/>
        </w:rPr>
        <w:t>المائة</w:t>
      </w:r>
      <w:r>
        <w:rPr>
          <w:rFonts w:hint="cs"/>
          <w:rtl/>
        </w:rPr>
        <w:t xml:space="preserve"> و63.5 </w:t>
      </w:r>
      <w:r>
        <w:rPr>
          <w:rFonts w:hint="eastAsia"/>
          <w:rtl/>
        </w:rPr>
        <w:t>في</w:t>
      </w:r>
      <w:r>
        <w:t xml:space="preserve"> </w:t>
      </w:r>
      <w:r>
        <w:rPr>
          <w:rtl/>
        </w:rPr>
        <w:t>المائة</w:t>
      </w:r>
      <w:r>
        <w:rPr>
          <w:rFonts w:hint="cs"/>
          <w:rtl/>
        </w:rPr>
        <w:t xml:space="preserve"> في عام 1998 إلى 96.8 </w:t>
      </w:r>
      <w:r>
        <w:rPr>
          <w:rFonts w:hint="eastAsia"/>
          <w:rtl/>
        </w:rPr>
        <w:t>في</w:t>
      </w:r>
      <w:r>
        <w:t xml:space="preserve"> </w:t>
      </w:r>
      <w:r>
        <w:rPr>
          <w:rtl/>
        </w:rPr>
        <w:t>المائة</w:t>
      </w:r>
      <w:r>
        <w:rPr>
          <w:rFonts w:hint="cs"/>
          <w:rtl/>
        </w:rPr>
        <w:t xml:space="preserve">، و88.8 </w:t>
      </w:r>
      <w:r>
        <w:rPr>
          <w:rFonts w:hint="eastAsia"/>
          <w:rtl/>
        </w:rPr>
        <w:t>في</w:t>
      </w:r>
      <w:r>
        <w:t xml:space="preserve"> </w:t>
      </w:r>
      <w:r>
        <w:rPr>
          <w:rtl/>
        </w:rPr>
        <w:t>المائة</w:t>
      </w:r>
      <w:r>
        <w:rPr>
          <w:rFonts w:hint="cs"/>
          <w:rtl/>
        </w:rPr>
        <w:t xml:space="preserve">، و70.7 </w:t>
      </w:r>
      <w:r>
        <w:rPr>
          <w:rFonts w:hint="eastAsia"/>
          <w:rtl/>
        </w:rPr>
        <w:t>في</w:t>
      </w:r>
      <w:r>
        <w:t xml:space="preserve"> </w:t>
      </w:r>
      <w:r>
        <w:rPr>
          <w:rtl/>
        </w:rPr>
        <w:t>المائة</w:t>
      </w:r>
      <w:r>
        <w:rPr>
          <w:rFonts w:hint="cs"/>
          <w:rtl/>
        </w:rPr>
        <w:t xml:space="preserve"> في عام 2001، على التوالي. وتنص المادة 25 من قانون المعلمين على أن "مستوى المرتّب المتوسط المدفوع للمعلمين يجب ألا يقل عن مستوى المرتّب المتوسط المدفوع لموظفي الخدمة المدنية الوطنية وألا يتجاوز ذلك المستوى، كما يجب زيادته تدريجياً". وبالفعل، قامت الصين بزيادة المرتّبات المدفوعة للمعلمين عدة مرات. فبلغ متوسط المعاش الشهري المدفوع لمعلمي المدارس الابتدائية والمتوسطة 804 يواناً و906 يواناً على التوالي في عام 2001 بعد أن كان 415 يواناً و452 يواناً في عام 1995، (أي ما يعادل زيادة بنسبة 93.7 في المائة و100.4 في المائة على التوالي في غضون الفترة المذكورة). وبدأ التعليم، نتيجة ذلك، يتحول إلى خيار مغر أكثر فأكثر من خيارات الحياة المهنية. وتجاوزت المبالغ المستثمرة في بناء المساكن الجديدة للعاملين في مجال التعليم 140 من مليارات اليوان خلال الفترة بين عامي 1991 و2001، مما أدى إلى زيادة المساحة السكنية المخصصة للمعلمين بمقدار 190 من ملايين الأمتار المربعة في المجموع، أي ما يعادل 2.7 من ملايين المساكن المستقلة. وازداد متوسط المساحة الأرضية المخصصة للفرد الواحد في أسر المعلمين المقيمين في المناطق الحضرية من 6.29 من الأمتار المربّعة في عام 1991 إلى 10.81 من الأمتار المربّعة في عام 2001، أي ما يعادل 0.56 متراً مربعاً إضافياً للفرد الواحد مقارنة بمتوسط المساحة المخصصة للمقيمين في المناطق الحضرية عموماً، وهي 10.25 من الأمتار المربّعة.</w:t>
      </w:r>
    </w:p>
    <w:p w:rsidR="00000000" w:rsidRDefault="00000000">
      <w:pPr>
        <w:spacing w:line="380" w:lineRule="exact"/>
        <w:jc w:val="both"/>
        <w:rPr>
          <w:rFonts w:hint="cs"/>
          <w:rtl/>
        </w:rPr>
      </w:pPr>
      <w:r>
        <w:rPr>
          <w:rFonts w:hint="cs"/>
          <w:rtl/>
        </w:rPr>
        <w:t>225-</w:t>
      </w:r>
      <w:r>
        <w:rPr>
          <w:rFonts w:hint="cs"/>
          <w:rtl/>
        </w:rPr>
        <w:tab/>
        <w:t xml:space="preserve">وترى الصين أن الاعتماد على شتى أنواع الموارد الاجتماعية لإنشاء مؤسسات التعليم العام أمر هام. وقد أصدر مجلس الدولة في عام 1997 قوانين لإنشاء مدارس بفضل مجهود المجتمع، وفي عام 2002 قامت اللجنة الدائمة التابعة للمؤتمر الوطني الشعبي، بمناقشة مسألة تعزيز قانون التعليم الخاص ووافقت على ذلك القانون الذي سيدخل حيز النفاذ في شهر أيلول/سبتمبر 2003. وبذلك تكون الصين قد دخلت مرحلة التطور السريع في مجال التعليم الخاص. وقد بلغ عدد المؤسسات التعليمية الخاصة في عام 2001 زهاء 274 56 مؤسسة، أي 190 27 مؤسسة إضافية مقارنة بعام 1996، وبلغ عدد التلاميذ المسجلين في تلك المؤسسات 9.23 من ملايين التلاميذ، أكثر من عددهم في عام 1996 أي بمقدار 5.85 مليون تلميذ. وكانت هذه المدارس الخاصة تشمل 526 44 روضة للأطفال، أي 39.9 </w:t>
      </w:r>
      <w:r>
        <w:rPr>
          <w:rFonts w:hint="eastAsia"/>
          <w:rtl/>
        </w:rPr>
        <w:t>في</w:t>
      </w:r>
      <w:r>
        <w:rPr>
          <w:rFonts w:hint="cs"/>
          <w:rtl/>
        </w:rPr>
        <w:t xml:space="preserve"> </w:t>
      </w:r>
      <w:r>
        <w:rPr>
          <w:rtl/>
        </w:rPr>
        <w:t>المائة</w:t>
      </w:r>
      <w:r>
        <w:rPr>
          <w:rFonts w:hint="cs"/>
          <w:rtl/>
        </w:rPr>
        <w:t xml:space="preserve"> من المجموع الوطني، و846 4 مدرسة ابتدائية، أي 1 في المائة من إجمالي المدارس الابتدائية في البلد، ولكن كان 1.82 مليون تلميذ يستفيد من 1.4 </w:t>
      </w:r>
      <w:r>
        <w:rPr>
          <w:rFonts w:hint="eastAsia"/>
          <w:rtl/>
        </w:rPr>
        <w:t>في</w:t>
      </w:r>
      <w:r>
        <w:rPr>
          <w:rFonts w:hint="cs"/>
          <w:rtl/>
        </w:rPr>
        <w:t xml:space="preserve"> </w:t>
      </w:r>
      <w:r>
        <w:rPr>
          <w:rtl/>
        </w:rPr>
        <w:t>المائة</w:t>
      </w:r>
      <w:r>
        <w:rPr>
          <w:rFonts w:hint="cs"/>
          <w:rtl/>
        </w:rPr>
        <w:t xml:space="preserve"> من المجموع. وعلى مستوى التعليم الثانوي، بلغ عدد المدارس المتوسطة النظامية الخاصة في الصين، 571 4 مدرسـة، أي 5.7 </w:t>
      </w:r>
      <w:r>
        <w:rPr>
          <w:rFonts w:hint="eastAsia"/>
          <w:rtl/>
        </w:rPr>
        <w:t>ف</w:t>
      </w:r>
      <w:r>
        <w:rPr>
          <w:rFonts w:hint="cs"/>
          <w:rtl/>
        </w:rPr>
        <w:t>ـ</w:t>
      </w:r>
      <w:r>
        <w:rPr>
          <w:rFonts w:hint="eastAsia"/>
          <w:rtl/>
        </w:rPr>
        <w:t>ي</w:t>
      </w:r>
      <w:r>
        <w:t xml:space="preserve"> </w:t>
      </w:r>
      <w:r>
        <w:rPr>
          <w:rtl/>
        </w:rPr>
        <w:t>المائة</w:t>
      </w:r>
      <w:r>
        <w:rPr>
          <w:rFonts w:hint="cs"/>
          <w:rtl/>
        </w:rPr>
        <w:t xml:space="preserve"> من المجموع الوطني، وبلغ عدد الطلاب المسجلين فيها 2.33 مليون طالب (أي 3 </w:t>
      </w:r>
      <w:r>
        <w:rPr>
          <w:rFonts w:hint="eastAsia"/>
          <w:rtl/>
        </w:rPr>
        <w:t>ف</w:t>
      </w:r>
      <w:r>
        <w:rPr>
          <w:rFonts w:hint="cs"/>
          <w:rtl/>
        </w:rPr>
        <w:t xml:space="preserve">ي </w:t>
      </w:r>
      <w:r>
        <w:rPr>
          <w:rtl/>
        </w:rPr>
        <w:t>المائة</w:t>
      </w:r>
      <w:r>
        <w:rPr>
          <w:rFonts w:hint="cs"/>
          <w:rtl/>
        </w:rPr>
        <w:t xml:space="preserve"> من العدد الإجمالي). </w:t>
      </w:r>
      <w:r>
        <w:rPr>
          <w:rFonts w:hint="cs"/>
          <w:spacing w:val="0"/>
          <w:rtl/>
        </w:rPr>
        <w:t xml:space="preserve">وكذلك بلغ عدد المدارس المتوسطة المهنية الخاصة 040 1 مدرسة، أي 13.3 </w:t>
      </w:r>
      <w:r>
        <w:rPr>
          <w:rFonts w:hint="eastAsia"/>
          <w:spacing w:val="0"/>
          <w:rtl/>
        </w:rPr>
        <w:t>في</w:t>
      </w:r>
      <w:r>
        <w:rPr>
          <w:spacing w:val="0"/>
        </w:rPr>
        <w:t xml:space="preserve"> </w:t>
      </w:r>
      <w:r>
        <w:rPr>
          <w:spacing w:val="0"/>
          <w:rtl/>
        </w:rPr>
        <w:t>المائة</w:t>
      </w:r>
      <w:r>
        <w:rPr>
          <w:rFonts w:hint="cs"/>
          <w:spacing w:val="0"/>
          <w:rtl/>
        </w:rPr>
        <w:t xml:space="preserve"> من العدد الإجمالي لتلك</w:t>
      </w:r>
      <w:r>
        <w:rPr>
          <w:rFonts w:hint="cs"/>
          <w:rtl/>
        </w:rPr>
        <w:t xml:space="preserve"> المدارس على الصعيد الوطني، وهي تضم 000 380 طالب، أي ما يعادل 8.1 </w:t>
      </w:r>
      <w:r>
        <w:rPr>
          <w:rFonts w:hint="eastAsia"/>
          <w:rtl/>
        </w:rPr>
        <w:t>في</w:t>
      </w:r>
      <w:r>
        <w:t xml:space="preserve"> </w:t>
      </w:r>
      <w:r>
        <w:rPr>
          <w:rtl/>
        </w:rPr>
        <w:t>المائة</w:t>
      </w:r>
      <w:r>
        <w:rPr>
          <w:rFonts w:hint="cs"/>
          <w:rtl/>
        </w:rPr>
        <w:t xml:space="preserve"> من إجمالي عدد الطلاب المسجلين في هذا النوع من المدارس. وبلغ عدد معاهد التعليم العالي الخاصة 202 1 من المعاهد، وكان عدد الطلاب المسجلين فيها يبلغ 1.13 مليون طالب. ولقد أصدرت لجنة التعليم الوطنية تنظيمات مؤقتة في عام 1995 لإدارة مشاريع تعليم مشتركة مع جهات شريكة أجنبية. وأدى ذلك إلى تطور تلك المشاريع بسرعة: إذ بلغ عددها 657 مشروعاً بحلول نهاية عام 2001. وأصدر مجلس الدولة في شهر آذار/مارس 2003، قوانين لمتابعة مشاريع التعليم المشتركة مع جهات شريكة أجنبية، وسيبدأ إعمالها في 1 أيلول/سبتمبر 2003. </w:t>
      </w:r>
    </w:p>
    <w:p w:rsidR="00000000" w:rsidRDefault="00000000">
      <w:pPr>
        <w:spacing w:line="380" w:lineRule="exact"/>
        <w:jc w:val="both"/>
        <w:rPr>
          <w:rFonts w:hint="cs"/>
          <w:rtl/>
        </w:rPr>
      </w:pPr>
      <w:r>
        <w:rPr>
          <w:rFonts w:hint="cs"/>
          <w:rtl/>
        </w:rPr>
        <w:t>226-</w:t>
      </w:r>
      <w:r>
        <w:rPr>
          <w:rFonts w:hint="cs"/>
          <w:rtl/>
        </w:rPr>
        <w:tab/>
        <w:t xml:space="preserve">وما انفكت حكومة الصين تزيد استثماراتها في مجال التعليم. وتنص المادة 53 من قانون التعليم على أنه "يجب على الدولة أن تضع نظاماً لتمويل التعليم يعتمد بصفة أساسية على الموارد المالية التي تخصصها الحكومة ومن ثَمَّ على الأموال التي يتم جمعها بكافة السبل الأخرى، كما يجب على الدولة أن تزيد استثماراتها في مجال التعليم بصورة تدريجية". وتنص المادة 54 على "وجوب زيادة الموارد المالية المخصصة لدعم التعليم والمحسوبة كنسبة من الناتج المحلي الإجمالي للبلد، بالتدرج مع تطور الاقتصاد الوطني وما يترتب عليه من زيادات في إيرادات الدولة". ولقد بلغ الاستثمار الوطني الإجمالي في مجال التعليم 000 766 463 يوان في عام 2001، أي ما يعادل زيادة بنسبة 20.49 </w:t>
      </w:r>
      <w:r>
        <w:rPr>
          <w:rFonts w:hint="eastAsia"/>
          <w:rtl/>
        </w:rPr>
        <w:t>في</w:t>
      </w:r>
      <w:r>
        <w:t xml:space="preserve"> </w:t>
      </w:r>
      <w:r>
        <w:rPr>
          <w:rtl/>
        </w:rPr>
        <w:t>المائة</w:t>
      </w:r>
      <w:r>
        <w:rPr>
          <w:rFonts w:hint="cs"/>
          <w:rtl/>
        </w:rPr>
        <w:t xml:space="preserve"> مقارنة بنفقات عام 2000، وزهاء 7.03 أضعاف المبالغ المستثمرة في عام 1990 وقدرها 000 936 65 يوان. وبلغ متوسط الزيادة السنوية للاستثمارات في مجال التعليم 19.4 </w:t>
      </w:r>
      <w:r>
        <w:rPr>
          <w:rFonts w:hint="eastAsia"/>
          <w:rtl/>
        </w:rPr>
        <w:t>في</w:t>
      </w:r>
      <w:r>
        <w:t xml:space="preserve"> </w:t>
      </w:r>
      <w:r>
        <w:rPr>
          <w:rtl/>
        </w:rPr>
        <w:t>المائة</w:t>
      </w:r>
      <w:r>
        <w:rPr>
          <w:rFonts w:hint="cs"/>
          <w:rtl/>
        </w:rPr>
        <w:t xml:space="preserve"> خلال الفترة بين عامي 1990 و2001.</w:t>
      </w:r>
    </w:p>
    <w:p w:rsidR="00000000" w:rsidRDefault="00000000">
      <w:pPr>
        <w:spacing w:line="380" w:lineRule="exact"/>
        <w:jc w:val="both"/>
        <w:rPr>
          <w:rStyle w:val="FootnoteReference"/>
          <w:rFonts w:hint="cs"/>
          <w:bCs w:val="0"/>
          <w:vertAlign w:val="baseline"/>
          <w:rtl/>
        </w:rPr>
      </w:pPr>
      <w:r>
        <w:rPr>
          <w:rFonts w:hint="cs"/>
          <w:rtl/>
        </w:rPr>
        <w:t>227-</w:t>
      </w:r>
      <w:r>
        <w:rPr>
          <w:rFonts w:hint="cs"/>
          <w:rtl/>
        </w:rPr>
        <w:tab/>
        <w:t xml:space="preserve">وبلغت الموارد المرصودة للتعليم في الميزانية على كافة المستويات 000 238 258 يوان في عام 2001، أي زهاء 6.06 أضعاف المبلغ المخصص في عام 1990 وقدره 000 614 42 يوان. وبلغ متوسط الزيادة السنوية للموارد المخصصة للتعليم من الأموال العامة خلال الفترة بين عامي 1990 و2001 ما يعادل 17.8 </w:t>
      </w:r>
      <w:r>
        <w:rPr>
          <w:rFonts w:hint="eastAsia"/>
          <w:rtl/>
        </w:rPr>
        <w:t>في</w:t>
      </w:r>
      <w:r>
        <w:t xml:space="preserve"> </w:t>
      </w:r>
      <w:r>
        <w:rPr>
          <w:rtl/>
        </w:rPr>
        <w:t>المائة</w:t>
      </w:r>
      <w:r>
        <w:rPr>
          <w:rFonts w:hint="cs"/>
          <w:rtl/>
        </w:rPr>
        <w:t xml:space="preserve">. وبلغ متوسط المبلغ المخصص في الميزانية لكل طالب من طلاب المدارس الابتدائية 645.28 يوان على المستوى الوطني، أي نحو 3.96 أضعاف المبلغ المخصص في عام 1993، بما يمثل زيادة في متوسط المعدل السنوي بنسبة 18.79 </w:t>
      </w:r>
      <w:r>
        <w:rPr>
          <w:rFonts w:hint="eastAsia"/>
          <w:rtl/>
        </w:rPr>
        <w:t>في</w:t>
      </w:r>
      <w:r>
        <w:rPr>
          <w:rFonts w:hint="cs"/>
          <w:rtl/>
        </w:rPr>
        <w:t xml:space="preserve"> </w:t>
      </w:r>
      <w:r>
        <w:rPr>
          <w:rtl/>
        </w:rPr>
        <w:t>المائة</w:t>
      </w:r>
      <w:r>
        <w:rPr>
          <w:rFonts w:hint="cs"/>
          <w:rtl/>
        </w:rPr>
        <w:t>. وبلغ متوسط المبلغ المرصود في الميزانية لكل طالب على مستوى المدرسة المتوسطة 817.028 يوان أي ما يقارب 2.57 أضعاف المبلغ المخصص في عام 1993، وذلك يمثل زيادة في متوسط المعدل السنوي بنسبة 12.53 في المائة. وبلغ متوسط المبلغ المرصود في الميزانية لكل طالب في المدارس المتوسطة 817.028 يوان أي قرابة 2.57 أضعاف المبلغ المرصود في عام 1993، وذلك يمثل زيادة في متوسط المعدل السنوي بنسبة 12.53 في المائة. وبلغ متوسط المبلغ المرصود في الميزانية لكل طالب على مستوى المدرسة الثانوية 471.12 1 يوان، أي قرابة 2.38 أضعاف المبلغ المرصود في عام 1993، وذلك يمثل زيادة في متوسط المعدل السنوي بنسبة 11.45 في المائة. وأخيراً، بلغ متوسط المبلغ المرصود في الميزانية للطالب الواحد على مستوى التعليم العالي 816.23 6 يوان، أي قرابة 1.68 ضعف المبلغ المرصود في عام 1993، وذلك يمثل زيادة في متوسط المعدل السنوي بنسبة 6.66 في المائة.</w:t>
      </w:r>
    </w:p>
    <w:p w:rsidR="00000000" w:rsidRDefault="00000000">
      <w:pPr>
        <w:spacing w:line="380" w:lineRule="exact"/>
        <w:jc w:val="both"/>
        <w:rPr>
          <w:rFonts w:hint="cs"/>
          <w:rtl/>
        </w:rPr>
      </w:pPr>
      <w:r>
        <w:rPr>
          <w:rFonts w:hint="cs"/>
          <w:rtl/>
        </w:rPr>
        <w:t>228-</w:t>
      </w:r>
      <w:r>
        <w:rPr>
          <w:rFonts w:hint="cs"/>
          <w:rtl/>
        </w:rPr>
        <w:tab/>
        <w:t>وبلغت الأموال الإجمالية المنفقة على التعليم على المستوى الوطني، محسوبة لكل عام اعتباراً من عام 1995 وحتى عام 2001 (الموارد المرصودة من الميزانية على كافة مستويات الحكومة، والمبالغ الإضافية المخصصة للتعليم في المناطق الحضرية والريفية، والمبالغ التي أنفقتها المؤسسات لإدارة المدارس الابتدائية والمتوسطة، والمبالغ المخصومة من ضرائب المؤسسات التجارية التي تمتلكها وتشغلها المدارس)، ومحسوبة كنسبة من الناتج المحلي الإجمالي، 2.41 في المائة، و2.44 في المائة، و2.49 في المائة، و2.55 في المائة و2.79 في المائة، و2.87 في المائة، و3.19 في المائة، على التوالي. وبلغت الأموال التي أنفقتها الدولة على التعليم في عام 2001 ما يعادل  000 701 305 يوان، أي قرابة 5.4 أضعاف المبلغ المنفق في عام 1990، وذلك يمثل زيادة في المعدل السنوي بنسبة 16.61 في المائة. وتزداد بصورة مستمرة أيضاً المبالغ التي تنفقها جهات أخرى على التعليم: فقد بلغت الأموال الإجمالية التي أنفقتها جهات غير حكومية على التعليم في عام 2001 ما يعادل 000 065 158 يوان، أي قرابة 16.57 ضعف المبلغ المخصص في عام 1990، وذلك يمثل زيادة في المعدل السنوي بنسبة 29.08 في المائة.</w:t>
      </w:r>
    </w:p>
    <w:p w:rsidR="00000000" w:rsidRDefault="00000000">
      <w:pPr>
        <w:spacing w:line="380" w:lineRule="exact"/>
        <w:jc w:val="both"/>
        <w:rPr>
          <w:rFonts w:hint="cs"/>
          <w:rtl/>
        </w:rPr>
      </w:pPr>
      <w:r>
        <w:rPr>
          <w:rFonts w:hint="cs"/>
          <w:rtl/>
        </w:rPr>
        <w:t>229-</w:t>
      </w:r>
      <w:r>
        <w:rPr>
          <w:rFonts w:hint="cs"/>
          <w:rtl/>
        </w:rPr>
        <w:tab/>
        <w:t>وبسبب أوجه التفاوت القديمة العهد القائمة في التنمية بين مختلف مناطق الصين، تعيش نسبة 10 في المائة تقريباً من السكان في مناطق لا يمكن فيها توفير التعليم للجميع إلا على المستوى الابتدائي بل وحتى السنة الثالثة أو الرابعة فقط من المرحلة الابتدائية. ويبلغ إجمالي عدد السكان المقيمين في المناطق التي لم يحقق فيها هدف توفير التعليم الإلزامي الشامل الممتد على تسع سنوات 110 ملايين نسمة؛ وما زالت نسبة التلاميذ الذين يتوقفون عن الدراسة في المرحلة المتوسطة عالية جداً في بعض المناطق الريفية. ففي عام 2000، بلغت هذه النسبة 0.55 في المائة في المدارس الابتدائية على الصعيد الوطني، و3.21 في المائة على مستوى المدارس المتوسطة. وما انفك التحدي المواجه في تعليم أطفال السكان غير المستقرين يزداد بازدياد عدد هؤلاء السكان.</w:t>
      </w:r>
    </w:p>
    <w:p w:rsidR="00000000" w:rsidRDefault="00000000">
      <w:pPr>
        <w:spacing w:line="380" w:lineRule="exact"/>
        <w:jc w:val="both"/>
        <w:rPr>
          <w:rFonts w:hint="cs"/>
          <w:rtl/>
        </w:rPr>
      </w:pPr>
      <w:r>
        <w:rPr>
          <w:rFonts w:hint="cs"/>
          <w:rtl/>
        </w:rPr>
        <w:t>230-</w:t>
      </w:r>
      <w:r>
        <w:rPr>
          <w:rFonts w:hint="cs"/>
          <w:rtl/>
        </w:rPr>
        <w:tab/>
        <w:t>ولقد بين مجلس الدولة بأتم الوضوح، عندما أصدر في عام 2001 قراراً بشأن إصلاح التعليم الأساسي وتطويره، أنه يجب على الحكومات الشعبية المحلية بكافة مستوياتها أن تواصل، خلال فترة تطبيق الخطة الخمسية العاشرة، إيلاء الأولوية العليا، في مجال التعليم، لجعل التعليم الإلزامي الممتد على تسع سنوات متاحاً للجميع، وللقضاء على الأمية بين الشباب والأشخاص دون سن 40 عاماً، كما يجب عليها أن توسع نطاق التعليم الإلزامي الكامل كي تسمح لنسبة 90 في المائة من الأشخاص في فئة العمر المعنية بإتمام المدرسة المتوسطة، وكي تظل نسبة الملمين بالقراءة والكتابة بين الشباب والأشخاص دون 40 عاماً من العمر، أعلى من 95 في المائة، وكذلك لزيادة نسبة المسجلين في المدارس الثانوية لتقارب 60 في المائة. ولقد تم تحديد مسؤوليات مختلف المناطق بالتركيز على النحو الواجب على المبادرة، وعلى الأسلوب العملي، والخطط وما يلائم الظروف المحلية من تعليمات: فطُلب إلى المناطق التي لم تطبق حتى الآن التعليم الإلزامي الشامل الممتد على تسع سنوات، أن تبذل قصارى جهودها لتحقق ذلك الهدف. وكذلك طُلب في القرار تحسين إدارة التعليم الإلزامي في المجتمعات الريفية؛ ودفع مرتبات معلمي المدارس الابتدائية والمتوسطة في المجتمعات الريفية؛ واتخاذ الترتيبات اللازمة لتوفير التمويل لبناء المدارس الابتدائية والمتوسطة في المجتمعات الريفية؛ والتوقف تماماً عن اقتطاع الرسوم بصورة عشوائية في بعض المدارس والمناطق؛ ومواصلة تنفيذ البرنامج الوطني الثاني للتعليم الإلزامي في المناطق الفقيرة، وبرامج توأمة مدارس المناطق الشرقية مع مدارس المناطق الغربية الفقيرة، وتوأمة مدارس المناطق الحضرية مع المدارس الفقيرة في الأقاليم؛ كما طُلِب تحسين خطة توفير المساعدة المالية لطلاب المدارس الابتدائية والمتوسطة وتنفيذ تلك الخطة.</w:t>
      </w:r>
    </w:p>
    <w:p w:rsidR="00000000" w:rsidRDefault="00000000">
      <w:pPr>
        <w:spacing w:line="380" w:lineRule="exact"/>
        <w:jc w:val="both"/>
        <w:rPr>
          <w:rFonts w:hint="cs"/>
          <w:rtl/>
        </w:rPr>
      </w:pPr>
      <w:r>
        <w:rPr>
          <w:rFonts w:hint="cs"/>
          <w:rtl/>
        </w:rPr>
        <w:t>231-</w:t>
      </w:r>
      <w:r>
        <w:rPr>
          <w:rFonts w:hint="cs"/>
          <w:rtl/>
        </w:rPr>
        <w:tab/>
        <w:t>وتقوم الصين منذ الثمانينات بتنفيذ مشاريع تربوية تعاونية مع منظمة الأمم المتحدة للطفولة (اليونيسيف) وبرنامج الأمم المتحدة الإنمائي. أما الفترة المتراوحة بين عامي 2001 و2005 فهي فترة التعاون الخامسة بين الصين واليونسيف؛ وتبلغ الميزانية الشاملة المخصصة للمشاريع المزمع تنفيذها 14 مليوناً من دولارات الولايات المتحدة، وسيستخدم الجزء الأكبر من هذا المبلغ في المقاطعات الغربية الاثنتي عشرة للنهوض بالتعليم الأساسي، وتحسين تدريب المعلمين، وزيادة فرص التعليم المتاحة في مرحلة الطفولة المبكرة، وإنشاء نظام للتعليم عن بعد. وتركز مشاريع التعاون التي تنجزها الصين مع البرنامج الإنمائي في نفس الفترة تركيزاً أساسياًً على مقاطعات غانسو وسيتشوان ويونان الثلاث، حيث تُستخدم أساليب التعليم عن بعد لتحسين مؤهلات المعلمين المهنية ومعايير الأداء. ولقد بلغت الميزانية التي خصصها البرنامج الإنمائي لتلك المشاريع، 6.5 من ملايين دولارات الولايات المتحدة. وتشترك الصين في عدد من مشاريع التعاون المتعددة الأطراف مع البنك الدولي، وصندوق الأمم المتحدة للسكان، ومع بلدان عديدة أخرى أيضاً، وتركز تلك المشاريع على مجالات مثل التعليم الأساسي، والتدريب على المهارات المهنية، وتدريب المعلمين، والتعليم العالي، وقد أعطت نتائج ممتازة.</w:t>
      </w:r>
    </w:p>
    <w:p w:rsidR="00000000" w:rsidRDefault="00000000">
      <w:pPr>
        <w:spacing w:line="380" w:lineRule="exact"/>
        <w:jc w:val="both"/>
        <w:rPr>
          <w:rFonts w:hint="cs"/>
          <w:rtl/>
        </w:rPr>
      </w:pPr>
      <w:r>
        <w:rPr>
          <w:rFonts w:hint="cs"/>
          <w:rtl/>
        </w:rPr>
        <w:t>232-</w:t>
      </w:r>
      <w:r>
        <w:rPr>
          <w:rFonts w:hint="cs"/>
          <w:rtl/>
        </w:rPr>
        <w:tab/>
        <w:t>وللصين تاريخ حافل في مجال التعاون مع منظمة الأمم المتحدة للتربية والعلم والثقافة (اليونسكو) أثمر نتائج ممتازة. أما في مجال التعليم الشامل، فقد حضر وفد يمثل حكومة الصين المؤتمر العالمي المعقود في عام 1990 لتوفير التعليم للجميع، ووقَّع الوفد على الإعلان العالمي لتوفير التعليم للجميع ملتزماً رسمياً بموجبه ببلوغ الهدفين المتلازمين المتمثلين في ترسيخ التعليم الأساسي الشامل ومحو الأمية، بحلول عام 2000. ولقد قطعت الصين شوطاً كبيراً في مجال التعليم الشامل بعد 10 سنوات من الجهود التي بذلتها بدون كلل. وتمكنت، في عام 2001 وفي إطار الاجتماع الرابع لوزراء التعليم في البلدان التسع المأهولة بأكبر عدد من السكان، الذي استضافته، من إعلان أنها بلغت أساساً هدفي ترسيخ نظام شامل للتعليم الإلزامي لمدة تسع سنوات، ومحو الأمية، وأنها تسعى الآن لبلوغ هدف أعلى، ألا وهو توفير التعليم الشامل الرفيع المستوى. ولقد تعاونت الصين، خلال السنوات الماضية، مع اليونيسيف على إجراء تجارب تربوية مبتكرة، وعلى تطوير المناهج الدراسية وإصلاحها، وإنجاز الأبحاث والتدريب في مجال التعليم.</w:t>
      </w:r>
    </w:p>
    <w:p w:rsidR="00000000" w:rsidRDefault="00000000">
      <w:pPr>
        <w:spacing w:line="380" w:lineRule="exact"/>
        <w:jc w:val="center"/>
        <w:rPr>
          <w:rFonts w:hint="cs"/>
          <w:b/>
          <w:bCs/>
          <w:rtl/>
        </w:rPr>
      </w:pPr>
      <w:r>
        <w:rPr>
          <w:rFonts w:hint="cs"/>
          <w:b/>
          <w:bCs/>
          <w:rtl/>
        </w:rPr>
        <w:t>المادة 15</w:t>
      </w:r>
    </w:p>
    <w:p w:rsidR="00000000" w:rsidRDefault="00000000">
      <w:pPr>
        <w:spacing w:line="380" w:lineRule="exact"/>
        <w:jc w:val="center"/>
        <w:rPr>
          <w:rFonts w:hint="cs"/>
          <w:b/>
          <w:bCs/>
          <w:rtl/>
        </w:rPr>
      </w:pPr>
      <w:r>
        <w:rPr>
          <w:rFonts w:hint="cs"/>
          <w:b/>
          <w:bCs/>
          <w:rtl/>
        </w:rPr>
        <w:t>الحق في المشاركة في الحياة الثقافية والحق في التمتع بفوائد التقدم العلمي</w:t>
      </w:r>
    </w:p>
    <w:p w:rsidR="00000000" w:rsidRDefault="00000000">
      <w:pPr>
        <w:spacing w:line="380" w:lineRule="exact"/>
        <w:jc w:val="both"/>
        <w:rPr>
          <w:rFonts w:hint="cs"/>
          <w:rtl/>
        </w:rPr>
      </w:pPr>
      <w:r>
        <w:rPr>
          <w:rFonts w:hint="cs"/>
          <w:rtl/>
        </w:rPr>
        <w:t>233-</w:t>
      </w:r>
      <w:r>
        <w:rPr>
          <w:rFonts w:hint="cs"/>
          <w:rtl/>
        </w:rPr>
        <w:tab/>
        <w:t>تنص المادة 47 من الدستور بصورة واضحة على أن:</w:t>
      </w:r>
    </w:p>
    <w:p w:rsidR="00000000" w:rsidRDefault="00000000">
      <w:pPr>
        <w:spacing w:line="380" w:lineRule="exact"/>
        <w:ind w:left="720"/>
        <w:jc w:val="both"/>
        <w:rPr>
          <w:rFonts w:hint="cs"/>
          <w:rtl/>
        </w:rPr>
      </w:pPr>
      <w:r>
        <w:rPr>
          <w:rFonts w:hint="cs"/>
          <w:rtl/>
        </w:rPr>
        <w:t>"مواطني جمهورية الصين الشعبية يتمتعون بحرية القيام بأبحاث علمية ووضع مؤلفات أدبية وإنجاز أعمال فنية والقيام بأنشطة ثقافية أخرى. وتشجع الدولة وتدعم المساعي الإبداعية التي تخدم مصالح السكان ويقوم بها مواطنون عاملون في مجالات التعليم والعلم والتكنولوجيا والأدب والفن، وغير ذلك من المنجزات الثقافية".</w:t>
      </w:r>
    </w:p>
    <w:p w:rsidR="00000000" w:rsidRDefault="00000000">
      <w:pPr>
        <w:spacing w:line="380" w:lineRule="exact"/>
        <w:jc w:val="both"/>
        <w:rPr>
          <w:rFonts w:hint="cs"/>
          <w:rtl/>
        </w:rPr>
      </w:pPr>
      <w:r>
        <w:rPr>
          <w:rFonts w:hint="cs"/>
          <w:rtl/>
        </w:rPr>
        <w:t>وتنص المادة 19 على أن: "الدولة تنمّي التربية الاشتراكية وتعمل على رفع المستوى العلمي والثقافي للأمة برمتها". وتنص المادة 22 على أن:</w:t>
      </w:r>
    </w:p>
    <w:p w:rsidR="00000000" w:rsidRDefault="00000000">
      <w:pPr>
        <w:spacing w:line="380" w:lineRule="exact"/>
        <w:ind w:left="720"/>
        <w:jc w:val="both"/>
        <w:rPr>
          <w:rFonts w:hint="cs"/>
          <w:spacing w:val="4"/>
          <w:rtl/>
        </w:rPr>
      </w:pPr>
      <w:r>
        <w:rPr>
          <w:rFonts w:hint="cs"/>
          <w:spacing w:val="4"/>
          <w:rtl/>
        </w:rPr>
        <w:t>"الدولة تشجع تطور الفنون والآداب، والصحافة، والبث الإذاعي والتلفزيوني، وخدمات النشر والتوزيع، والمكتبات، والمتاحف، والمراكز الثقافية، وغير ذلك من المنجزات الثقافية التي تخدم الشعب والاشتراكية، كما تتكفل برعاية الأنشطة الثقافية الجماهيرية. وتصون الأماكن ذات الأهمية الطبيعية والتاريخية، والنصب والآثار الثقافية القيّمة وغير ذلك من الأشياء الهامة التي تشكل تراث الصين التاريخي والثقافي".</w:t>
      </w:r>
    </w:p>
    <w:p w:rsidR="00000000" w:rsidRDefault="00000000">
      <w:pPr>
        <w:spacing w:line="380" w:lineRule="exact"/>
        <w:jc w:val="both"/>
        <w:rPr>
          <w:rFonts w:hint="cs"/>
          <w:rtl/>
        </w:rPr>
      </w:pPr>
      <w:r>
        <w:rPr>
          <w:rFonts w:hint="cs"/>
          <w:rtl/>
        </w:rPr>
        <w:tab/>
        <w:t>ولقد قامت الصين، بالإضافة إلى تلك الأحكام، بسن مجموعة من القوانين التي تنص على حقوق وتدابير ملموسة تفيد في صونها، ومن بينها ما يلي: قانون الإجراءات المدنية، وقانون حقوق التأليف والنشر، وقانون البراءات، وقانون العلامات التجارية، وقانون حماية الآثار الثقافية، وقانون الاستقلال الذاتي لمناطق الأقليات، وقانون حماية المعوقين، وقانون حماية القُصّر، وقانون حقوق والمرأة ومصالحها، وقانون حقوق المسنين ومصالحهم، وقانون الأحداث. وأصدر مجلس الدولة مجموعات عديدة من اللوائح الإدارية بشأن تنفيذ قانون حقوق التأليف والنشر، وحماية البرامج الحاسوبية، وحماية تصاميم لوحات الدوائر المتكاملة؛ كما أصدر لوائح مفصلة بشأن تنفيذ قانون البراءات؛ ولوائح بشأن تنفيذ قانون العلامات التجارية، وإدارة إنتاج المواد السمعية - البصرية، وإدارة شؤون النشر، ودور السينما، والأفلام، والبث التلفزيوني والإذاعي، والأداء للأغراض التجارية، والأنشطة الترفيهية والأنشطة التي توفر خدمات تجارية عن طريق شبكة الإنترنت؛ كما أصدر لوائح جمركية لحماية حقوق الملكية الفكرية؛ ولوائح لحماية الفنون والحرف اليدوية والتقليدية. ويناقش مجلس الدولة، في الوقت الحاضر، مشروع لوائح خاص بالمرافق الثقافية والرياضية العامة، ينص بوضوح على شروط واقعية لبناء المكتبات والمتاحف والمراكز الثقافية ومرافق أخرى، واستخدامها وإدارتها وحمايتها. ولقد أصدرت إدارات حكومية تعليمات بشأن إدارة المؤسسات التي توزع مواد سمعية - بصرية تنتجها الصين بالاشتراك مع جهات أجنبية، وبشأن إدارة دور السينما التي تؤسسها الصين بالاشتراك مع جهات أجنبية؛ وتؤثر هذه اللوائح، بالإضافة إلى لوائح شبيهة أخرى، تأثيراً فعلياً في حماية حقوق المواطنين الثقافية. وقامت الصين، منذ انضمامها إلى منظمة التجارة العالمية بتنقيح بعض قوانينها ولوائحها الإدارية بمختلف أنواعها، بما يشمل قانون حماية الآثار الثقافية، فأبطلت بعض الأحكام التي تتنافى وقواعد منظمة التجارة العالمية، وأدخلت تعديلات حيثما اقتضى الأمر ذلك.</w:t>
      </w:r>
    </w:p>
    <w:p w:rsidR="00000000" w:rsidRDefault="00000000">
      <w:pPr>
        <w:spacing w:line="380" w:lineRule="exact"/>
        <w:jc w:val="both"/>
        <w:rPr>
          <w:rFonts w:hint="cs"/>
          <w:rtl/>
        </w:rPr>
      </w:pPr>
      <w:r>
        <w:rPr>
          <w:rFonts w:hint="cs"/>
          <w:rtl/>
        </w:rPr>
        <w:t>234-</w:t>
      </w:r>
      <w:r>
        <w:rPr>
          <w:rFonts w:hint="cs"/>
          <w:rtl/>
        </w:rPr>
        <w:tab/>
        <w:t>أما التدابير التشريعية الأساسية التي اتخذتها حكومة الصين في الآونة الأخيرة لحماية حقوق مواطنيها الثقافية فهي تتعلق بما يلي:</w:t>
      </w:r>
    </w:p>
    <w:p w:rsidR="00000000" w:rsidRDefault="00000000">
      <w:pPr>
        <w:spacing w:line="380" w:lineRule="exact"/>
        <w:jc w:val="both"/>
        <w:rPr>
          <w:rFonts w:hint="cs"/>
          <w:rtl/>
        </w:rPr>
      </w:pPr>
      <w:r>
        <w:rPr>
          <w:rFonts w:hint="cs"/>
          <w:rtl/>
        </w:rPr>
        <w:tab/>
        <w:t>(أ)</w:t>
      </w:r>
      <w:r>
        <w:rPr>
          <w:rFonts w:hint="cs"/>
          <w:rtl/>
        </w:rPr>
        <w:tab/>
        <w:t>تشجيع ازدهار الحياة الأدبية والفنية: وذلك بإصدار تعليمات بشأن كيفية تدبير المؤسسات التي تدير بصورة جماعية حقوق التأليف والنشر، ووضع تنظيمات لضبط المسائل المتصلة بفِرق الأداء الفني، ووضع لوائح بشأن تدبير الصناديق الوطنية للنهوض بالثقافة، في جملة أمور أخرى. وتفيد تلك التدابير في حماية حقوق المؤلفين والفنانين ومصالحهم، وتحدد بوضوح مؤهلات فرق فنون الأداء ومركزها القانوني، وتشجعها على الإبداع وأداء إنتاج أفضل لإفادة الجماهير وتلبية حقوق الجماهير في التمتع بالمنتجات الثقافية؛</w:t>
      </w:r>
    </w:p>
    <w:p w:rsidR="00000000" w:rsidRDefault="00000000">
      <w:pPr>
        <w:spacing w:line="380" w:lineRule="exact"/>
        <w:jc w:val="both"/>
        <w:rPr>
          <w:rFonts w:hint="cs"/>
          <w:rtl/>
        </w:rPr>
      </w:pPr>
      <w:r>
        <w:rPr>
          <w:rFonts w:hint="cs"/>
          <w:rtl/>
        </w:rPr>
        <w:tab/>
        <w:t>(ب)</w:t>
      </w:r>
      <w:r>
        <w:rPr>
          <w:rFonts w:hint="cs"/>
          <w:rtl/>
        </w:rPr>
        <w:tab/>
        <w:t>تعزيز ازدهار الثقافة الشعبية. وقد تم سن قوانين ووضع لوائح أحادية الموضوع بشأن المكتبات والمتاحف والمراكز الثقافية ومرافق أخرى، وهي مرتبطة باللوائح التي ستوضع عما قريب بشأن المرافق العامة الثقافية والرياضية؛</w:t>
      </w:r>
    </w:p>
    <w:p w:rsidR="00000000" w:rsidRDefault="00000000">
      <w:pPr>
        <w:spacing w:line="380" w:lineRule="exact"/>
        <w:jc w:val="both"/>
        <w:rPr>
          <w:rFonts w:hint="cs"/>
          <w:rtl/>
        </w:rPr>
      </w:pPr>
      <w:r>
        <w:rPr>
          <w:rFonts w:hint="cs"/>
          <w:rtl/>
        </w:rPr>
        <w:tab/>
        <w:t>(ج)</w:t>
      </w:r>
      <w:r>
        <w:rPr>
          <w:rFonts w:hint="cs"/>
          <w:rtl/>
        </w:rPr>
        <w:tab/>
        <w:t xml:space="preserve">سن قوانين تكمل قانون حماية الآثار الثقافية أو تتصل بحماية الثقافات الشعبية والقومية. ولقد وضعت وزارة الثقافة مشاريع قوانين لحماية هذه الجوانب من ثقافة الصين، وأحالت تلك المشاريع على المؤتمر الوطني الشعبي. وسيتم، بعد صدور هذه القوانين، اتخاذ مجموعة إضافية من التدابير لتنفيذ القوانين بصورة فعلية، كما سيتم وضع صكوك قانونية أخرى ذات صلة. </w:t>
      </w:r>
    </w:p>
    <w:p w:rsidR="00000000" w:rsidRDefault="00000000">
      <w:pPr>
        <w:spacing w:line="380" w:lineRule="exact"/>
        <w:jc w:val="both"/>
        <w:rPr>
          <w:rFonts w:hint="cs"/>
          <w:rtl/>
        </w:rPr>
      </w:pPr>
      <w:r>
        <w:rPr>
          <w:rFonts w:hint="cs"/>
          <w:rtl/>
        </w:rPr>
        <w:t>235-</w:t>
      </w:r>
      <w:r>
        <w:rPr>
          <w:rFonts w:hint="cs"/>
          <w:rtl/>
        </w:rPr>
        <w:tab/>
        <w:t>ولقد التزمت الصين منذ وقت طويل من الزمن باتباع سياسة أساسية في مجالي الفن والأدب تقوم على مفهوم "دع مائة زهرة تتفتح ومائة مذهب فكري يتبارى". وتشجع هذه السياسة الشعب على خلق بيئة علمية متحررة وبيئة اجتماعية تتميز بالحرية والتناسق وتسمح بتنمية روح الإبداع في كل فرد. وهي تشجع، من حيث المؤلفات الأدبية والأعمال الفنية، على تشعب الإبداع الذي يتميز بتنوع الأساليب واختلاف الحركات وتعدد المواضيع وتغاير النهج. وتشجع من حيث التنظير الأكاديمي على فتح باب النقاش الحر فيما بين مختلف مدارس الفكر، كما تشجع على تفاعل مختلف التيارات. وبالإضافة إلى ذلك، جعلت الصين من مفهومي "الشمول" و"النهوض" جانبين هامين في تنمية المشاريع الثقافية. "والشمول" يعني السماح لكل مواطن بالمشاركة في شتى أنواع الأنشطة الثقافية أو الفنية مشاركة حرة تمشياً مع رغبته الخاصة. "والنهوض" يتصل بمجهود مستمر يبذل لرفع المستوى الفني وتلبية احتياجات الجماهير الثقافية التي ما انفكت تزداد.</w:t>
      </w:r>
    </w:p>
    <w:p w:rsidR="00000000" w:rsidRDefault="00000000">
      <w:pPr>
        <w:spacing w:line="380" w:lineRule="exact"/>
        <w:jc w:val="both"/>
        <w:rPr>
          <w:rFonts w:hint="cs"/>
          <w:rtl/>
        </w:rPr>
      </w:pPr>
      <w:r>
        <w:rPr>
          <w:rFonts w:hint="cs"/>
          <w:rtl/>
        </w:rPr>
        <w:t>236-</w:t>
      </w:r>
      <w:r>
        <w:rPr>
          <w:rFonts w:hint="cs"/>
          <w:rtl/>
        </w:rPr>
        <w:tab/>
        <w:t>وبدأت الصين تطبق، في مطلع الثمانينات، سياسة تقضي بأن يكون "في كل إقليم مكتبة ومركز ثقافي، وفي كل بلدة محطة ثقافية" كجزء لا يتجزأ من المخطط الوطني للتنمية الاجتماعية، وذلك بهدف إنشاء شبكة ثقافية شعبية تشمل كل مدينة وبلدة في الدولة. وبحلول نهاية عام 2001، أصبحت الصين تَعُدُّ 696 2 مكتبة عامة، و402 من مراكز الفنون الشعبية على مستوى المقاطعات (أو البلديات)، و851 2 مركزاً ثقافياً على مستوى الأقاليم (أو البلديات)، و138 40 محطة ثقافية في البلدات، و117 20 مركزاً ثقافياً في المجتمعات الريفية، و846 55 غرفة للمطالعة، و903 32 فرق فنية هاوية. ولقد تم الاضطلاع بزهاء 600 382 1 نشاط ثقافي شعبي خلال الفترة بين عامي 1997 و2001، وتم تنظيم 000 500 معرض، وعقد 000 660 دورة تدريبية. وبدأت الدولة، في شهر نيسان/أبريل 2002، بتنفيذ البرنامج الوطني لتقاسم موارد المعلومات الثقافية، وهو مشروع هام يستخدم ما استجد من تكنولوجيا معالجة البيانات لتحويل الموارد والثروات الثقافية العديدة التي أنتجها الشعب الصيني على مر آلاف الأعوام، فضلاً عن تحويل الموارد الثقافية للمجتمع الحديث إلى بيانات رقمية وتنظيمها. وسيؤدي البرنامج دوراً بارزاً في تغيير الوضع المستفحل من حيث الافتقار إلى المعلومات في المقاطعات الوسطى والغربية، ولا سيما في المناطق الفقيرة والنائية والمتخلفة اقتصادياً وثقافياً.</w:t>
      </w:r>
    </w:p>
    <w:p w:rsidR="00000000" w:rsidRDefault="00000000">
      <w:pPr>
        <w:spacing w:line="380" w:lineRule="exact"/>
        <w:jc w:val="both"/>
        <w:rPr>
          <w:rFonts w:hint="cs"/>
          <w:rtl/>
        </w:rPr>
      </w:pPr>
      <w:r>
        <w:rPr>
          <w:rFonts w:hint="cs"/>
          <w:rtl/>
        </w:rPr>
        <w:t>237-</w:t>
      </w:r>
      <w:r>
        <w:rPr>
          <w:rFonts w:hint="cs"/>
          <w:rtl/>
        </w:rPr>
        <w:tab/>
        <w:t xml:space="preserve">وتولي الصين أهمية كبيرة لإرشاد وتشجيع الجهود التي يبذلها مواطنوها في مجال الإبداع الثقافي والفني بتنظيم وتعزيز مجموعة غنية ومتنوعة من الأنشطة الثقافية. وتقوم وزارة الثقافة منذ عام 1991 بتنفيذ خطة "جوائز المجرة" الواسعة النطاق التي تسمح للشعب باختيار المؤلفات الأدبية والأعمال الفنية المقدمة من مواطنين موهوبين </w:t>
      </w:r>
      <w:r>
        <w:rPr>
          <w:rFonts w:hint="cs"/>
          <w:rtl/>
        </w:rPr>
        <w:t xml:space="preserve">التي تنال استحسانه، مشجعة الإبداع وموفرة مسرحاً عمومياً للأعمال البارزة. ويولى اهتمام خاص للأعمال التي توجه الانتباه إلى خصائص قومية أو سمات إقليمية معينة وتشجع أيضاً الأصالة والتنوع. وتولي الحكومة اهتماماً خاصاً لمنح المسنين والأطفال والمعوقين وغيرهم من الفئات الضعيفة المساواة في الحقوق الثقافية، كما تولي اهتماماً خاصاً لإشراكهم في الأنشطة الإبداعية. فوضعت الحكومة "برنامج الهندباء البرية" لرفع مستوى الثقافة العامة والمستوى الفني بين الأطفال والشباب، وهي تمنح "جوائز الهندباء البرية" للإنجازات الفنية التي يحققها الشباب. وكذلك أسست الحكومة جامعة للمواطنين المسنين، وهي تدير المهرجان الصيني لجوقة المنشدين المسنين التي اشترك فيها أكثر من مليون مواطن مسن. وتقوم مجموعات الفنانين المعوقين الصينيين بصون حقوق المواطنين المعوقين في المشاركة في الأنشطة الثقافية على أتم وجه، وتقدم لهم، في نفس الوقت، الدعم في مساعيهم الفنية والإبداعية. </w:t>
      </w:r>
    </w:p>
    <w:p w:rsidR="00000000" w:rsidRDefault="00000000">
      <w:pPr>
        <w:spacing w:line="380" w:lineRule="exact"/>
        <w:jc w:val="both"/>
        <w:rPr>
          <w:rFonts w:hint="cs"/>
          <w:rtl/>
        </w:rPr>
      </w:pPr>
      <w:r>
        <w:rPr>
          <w:rFonts w:hint="cs"/>
          <w:rtl/>
        </w:rPr>
        <w:t>238-</w:t>
      </w:r>
      <w:r>
        <w:rPr>
          <w:rFonts w:hint="cs"/>
          <w:rtl/>
        </w:rPr>
        <w:tab/>
        <w:t>ولقد التزمت الصين منذ عهد طويل بتشجيع وجود ساحة ثقافية وفنية ناجعة توفر للمواطنين عدداً أكبر وأفضل من المنتجات والخدمات. فازدهرت الفرق الفنية والثقافية. وأصبح الاتحاد الصيني للنوادي الأدبية والفنية يضم الآن 51 عضواً مؤسسياًً وأكثر من مليوني عضو مستقل. وتم إنشاء جوائز وطنية في كافة فروع الفنون التي تجرى فيها مسابقات منتظمة لمنح تلك الجوائز. ففي مجال الآداب تجدر الإشارة، على سبيل المثال، إلى جائزة لو شون للآداب، وجائزة ماو دون للآداب؛ وتوجد في مجال الفنون المسرحية جائزة زهرة البرقوق، وجائزة تساو يو للفنون المسرحية؛ وتذكر في مجال الأفلام السينمائية جائزة الديك الذهبي، وجائزة المئة زهرة؛ بينما توجد في مجال التلفزيون جائزة النسر الذهبي، وما شابه ذلك. وتوجد مكافآت مخصصة لمجالات أخرى كالفنون الجميلة، والموسيقى، والرقص، والألعاب البهلوانية، وهي تمنح للأعمال البارزة ولأصحاب تلك الأعمال. وكان يوجد في عام 2001 زهاء 600 2 فرقة في الصين، اشتركت في 892 4 إنتاجاً فنياً، وقدمت 000 71 عرض حضره 470 مليون شخص؛ وتم إعداد وإخراج 100 فلم سينمائي بالإضافة إلى 877 8 فلماً ومسلسلاً تلفزيونياً. وجميع تلك المنتجات الثقافية المتنوعة والعديدة تُظهر إلى حد كبير حرية المواطن في المشاركة في الأنشطة الثقافية والإبداعية والمساهمة فيما تتمتع به الجماهير من حياة روحية وثقافية نشطة ومزدهرة.</w:t>
      </w:r>
    </w:p>
    <w:p w:rsidR="00000000" w:rsidRDefault="00000000">
      <w:pPr>
        <w:spacing w:line="380" w:lineRule="exact"/>
        <w:jc w:val="both"/>
        <w:rPr>
          <w:rFonts w:hint="cs"/>
          <w:rtl/>
        </w:rPr>
      </w:pPr>
      <w:r>
        <w:rPr>
          <w:rFonts w:hint="cs"/>
          <w:rtl/>
        </w:rPr>
        <w:t>239-</w:t>
      </w:r>
      <w:r>
        <w:rPr>
          <w:rFonts w:hint="cs"/>
          <w:rtl/>
        </w:rPr>
        <w:tab/>
        <w:t>ولقد شرعت الصين في عام 2002 في تطبيق برنامج يهدف إلى إنتاج مجموعة تضم 50 من "الروائع" للمسرح بحلول عام 2006. وتخصص ميزانية سنوية قدرها 40 مليون يوان لدعم هذا البرنامج الخمسي. وتولي الصين أهمية كبرى للحياة الثقافية للمواطنين المقيمين في المناطق الفقيرة والنائية. وترصد أموالاً خاصة لشراء حقوق المؤلفات الفنية التي تتسم بأهمية خاصة، وتُشَجِّع الفرق المسرحية المحلية على استيراد تلك المؤلفات وأدائها. وتُنَظِّم حملات ثقافية وعلمية وحملات للنظافة في المناطق الريفية، وتقوم فرق أداء معروفة على المستوى الوطني ومستوى المقاطعات والبلديات بزيارة تلك المناطق وتقديم عروض مجان</w:t>
      </w:r>
      <w:r>
        <w:rPr>
          <w:rFonts w:hint="cs"/>
          <w:rtl/>
        </w:rPr>
        <w:t xml:space="preserve">ية فيها، كما تسدي مشورتها وتوفر الدعم لفرق الأداء المحلية. ويفيد البرنامج التلفزيوني والإذاعي المسمى"كل قرية موصولة" بالإضافة إلى برنامج "21-31" (وهو مبادرة من مبادرات القرن الحادي والعشرين الرامية إلى تزويد كل قرية بفيلم شهرياً) في ضمان إمكانية الاستماع إلى برامج إذاعية وإمكانية مشاهدة برامج تلفزيونية وأفلام للأغلبية الساحقة من السكان، ولا سيما للمقيمين في المجتمعات النائية وأفراد الأقليات القومية. </w:t>
      </w:r>
    </w:p>
    <w:p w:rsidR="00000000" w:rsidRDefault="00000000">
      <w:pPr>
        <w:spacing w:line="380" w:lineRule="exact"/>
        <w:jc w:val="both"/>
        <w:rPr>
          <w:rFonts w:hint="cs"/>
          <w:rtl/>
        </w:rPr>
      </w:pPr>
      <w:r>
        <w:rPr>
          <w:rFonts w:hint="cs"/>
          <w:rtl/>
        </w:rPr>
        <w:t>240-</w:t>
      </w:r>
      <w:r>
        <w:rPr>
          <w:rFonts w:hint="cs"/>
          <w:rtl/>
        </w:rPr>
        <w:tab/>
        <w:t>ولقد طلبت حكومة الصين في عام 1996 إلى الإدارات المالية المركزية والإقليمية أن تزيد المبالغ التي  تستثمرها سنوياً في المرافق الثقافية بالتدرج مع النمو الاقتصادي، وبمعدل لا يقل عن الزيادة المسجلة في الإيرادات الضريبية للإدارة المعنية. وأصدر مجلس الدولة قوانين بشأن تحسين السياسة الثقافية والاقتصادية، فأقر ضريبة لتغطية تكاليف بناء المرافق الثقافية، وحافظ على المزايا الضريبية الهامة لتشجيع الجماهير على تقديم تبرعات لتدعيم تلك المرافق، وإيجاد مصادر تمويل سليمة ومحددة الغرض. وأصدر مجلس الدولة، في عام 2000، مذكرة بشأن السياسات الاقتصادية التي تدعم تنمية المرافق الثقافية، وأكدت المذكرة، مرة أخرى، أن استخدام الموارد الضريبية المتزايدة لدعم المرافق الثقافية العامة سيستمر، وطلبت إلى الإدارات المالية أن ترصد في ميزانياتها مبالغ للتنمية الثقافية. وقام المجلس، بالإضافة إلى ذلك، بزيادة الحد الأقصى للخصم الضريبي الجائز منحه على الدخل عن التبرعات المقدمة للمرافق الثقافية، وذلك من 3 في المائة إلى 10 في المائة من ضريبة الدخل المدفوعة في حالة المؤسسات، ومن 3 في المائة إلى 30 في المائة في حالة الأفراد.</w:t>
      </w:r>
    </w:p>
    <w:p w:rsidR="00000000" w:rsidRDefault="00000000">
      <w:pPr>
        <w:spacing w:line="380" w:lineRule="exact"/>
        <w:jc w:val="both"/>
        <w:rPr>
          <w:rStyle w:val="FootnoteReference"/>
          <w:rFonts w:hint="cs"/>
          <w:bCs w:val="0"/>
          <w:vertAlign w:val="baseline"/>
          <w:rtl/>
        </w:rPr>
      </w:pPr>
      <w:r>
        <w:rPr>
          <w:rFonts w:hint="cs"/>
          <w:rtl/>
        </w:rPr>
        <w:t>241-</w:t>
      </w:r>
      <w:r>
        <w:rPr>
          <w:rFonts w:hint="cs"/>
          <w:rtl/>
        </w:rPr>
        <w:tab/>
        <w:t xml:space="preserve">وفي الفترة بين عامي 1996 و2001 بلغ إجمالي الإنفاق على المرافق الثقافية في جميع أرجاء البلد 32.55 من مليارات اليوان، وذلك يشكل معدل زيادة سنوياً بنسبة 13.6 في المائة. وبلغت الإعانات المالية المقدمة للمرافق الثقافية في عام 2001 مبلغاً قدره 7.09 من مليارات اليوان، أي بما يزيد بزهاء 783 من ملايين اليوان (12.4 في المائة) على العام السابق. وبلغت الأموال التي استثمرتها الإدارة المالية الوطنية الصينية لصالح الفرق الفنية، خلال الفترة بين عامي 1996 و2001، ما مجموعه 9.13 من مليارات اليوان، وذلك يشكل معدل زيادة سنوياً بنسبة 17.8 في المائة؛ وارتفعت المبالغ المستثمرة في المكتبات العامة بنسبة 16.2 في المائة سنوياً، فبلغت 851 6 من مليارات اليوان في المجموع، بينما ازدادت الأموال المخصصة للمرافق الثقافية العامة بنسبة 15.8 في المائة سنوياً، وبلغت 6.31 من مليارات اليوان في المجموع. وكذلك أنشأت الدولة صناديق مخصصة لإنتاج وأداء مسرحيات متألقة، واستحداث مرافق لصنع الأفلام ولتطوير صناعة النشر. وأنشأت في عام 2001 صندوقاً خاصاً لتدعيم مشروع للإنتاج المسرحي الوطني ومشروع لنشر </w:t>
      </w:r>
      <w:r>
        <w:rPr>
          <w:rFonts w:hint="cs"/>
          <w:rtl/>
        </w:rPr>
        <w:t>مطبوعات علمية.</w:t>
      </w:r>
    </w:p>
    <w:p w:rsidR="00000000" w:rsidRDefault="00000000">
      <w:pPr>
        <w:spacing w:line="380" w:lineRule="exact"/>
        <w:jc w:val="both"/>
        <w:rPr>
          <w:rFonts w:hint="cs"/>
          <w:rtl/>
        </w:rPr>
      </w:pPr>
      <w:r>
        <w:rPr>
          <w:rFonts w:hint="cs"/>
          <w:rtl/>
        </w:rPr>
        <w:t>242-</w:t>
      </w:r>
      <w:r>
        <w:rPr>
          <w:rFonts w:hint="cs"/>
          <w:rtl/>
        </w:rPr>
        <w:tab/>
        <w:t xml:space="preserve">وقامت الصين في غضون السنوات الأخيرة بتنفيذ العديد من مشاريع البناء الكبرى المخصصة للثقافة، فبنت ورمّمت ووسَّعت المكاتب والمتاحف والمراكز الثقافية </w:t>
      </w:r>
      <w:r>
        <w:rPr>
          <w:rFonts w:hint="cs"/>
          <w:rtl/>
        </w:rPr>
        <w:t>والمسارح ودور السينما وقاعات الحفلات الموسيقية. وبلغت الأموال المستثمرة في بناء مرافق ثقافية عامة خلال الفترة بين عامي 1998 و2001، ما يعادل 8.37 من مليارات اليوان، وتم إنجاز وتسليم نحو 762 مشروعاً يستغل على الصعيد الوطني. وبلغت مساحة الأرض المبنية 3.222 من ملايين الأمتار المربعة في الإجمال. وتم، في عام 2001، تصميم نحو 818 مشروعاً استوجب توظيف أصول ثابتة من أصول نظام الثقافة (والآثار الثقافية) الوطني، فبلغ مجموع الأموال المخطط استثمارها 22.947 من مليارات اليوان، وبلغت الزيادة الإجمالية المخططة في مساحة الأرض 4.471 من ملايين الأمتار المربعة. وأتاحت مشاريع البناء المستكملة والبالغ عددها 292 مشروعاً ما يعادل 1.127 من ملايين الأمتار المربعة من المساحة الأرضية بفضل استثمار بلغ 2.824 من مليارات اليوان في المجموع. وبدأ تشييد المسرح الوطني الجديد رسمياً في عام 2001، وهو مشروع خُصِّصت لـه مساحة أرضية إجمالية قدرها 500 149 متر مربع، وتمت الموافقة على استثمار مبلغ 2.688 من مليارات اليوان فيه. ويتم، في الوقت نفسه، مواصلة العمل بنشاط لإنهاء المشاريع المخططة، كبناء المتحف الوطني، وتوسيع مركز الفنون الجميلة الصيني، وإنجاز المرحلة الثانية من بناء المكتبة الوطنية، وبناء المكتبة الرقمية الوطنية، وإنجاز أعمال الصيانة في متحف القصر الوطني. ولقد انتهى بناء الأكاديمية المركزية للفنون الجميلة، وهو مشروع شُيِّد على مساحة 800 241 متر مربع واسـتلزم اسـتثمار 000 533 14 يوان. وأنهت الأقاليم، بمراعاة الشروط المحلية، عدداً كبيراً من مشاريع البناء الكبرى والهامة والتي تبرز السمات الثقافية الخاصة بكل منطقة من المناطق. وتجاوزت ميزانيات 35 مشروعاً من المشاريع الكبرى المصممة لبناء مرافق ثقافية على الصعيد الوطني، مبلغ 50 من مليون يوان في عام 2001، بينما تجاوزت ميزانيات 20 من المشاريع 100 مليون يوان.</w:t>
      </w:r>
    </w:p>
    <w:p w:rsidR="00000000" w:rsidRDefault="00000000">
      <w:pPr>
        <w:spacing w:line="380" w:lineRule="exact"/>
        <w:jc w:val="both"/>
        <w:rPr>
          <w:rFonts w:hint="cs"/>
          <w:rtl/>
        </w:rPr>
      </w:pPr>
      <w:r>
        <w:rPr>
          <w:rFonts w:hint="cs"/>
          <w:rtl/>
        </w:rPr>
        <w:t>243-</w:t>
      </w:r>
      <w:r>
        <w:rPr>
          <w:rFonts w:hint="cs"/>
          <w:rtl/>
        </w:rPr>
        <w:tab/>
        <w:t>واستثمرت الحكومات الإقليمية بكافة مستوياتها نحو 1.2 من مليارات اليوان، خلال الفترة بين عامي 1996 و2001، لبناء وتوسيع 650 مكتبة و</w:t>
      </w:r>
      <w:r>
        <w:rPr>
          <w:rFonts w:hint="cs"/>
          <w:rtl/>
        </w:rPr>
        <w:t>مركزاً ثقافياً على مستوى الأقاليم. ورصدت الدولة في إطار الخطة الخمسية العاشرة مبلغاً إضافياً قدره 500 مليون يوان لدعم بناء مكتبات ومراكز ثقافية على مستوى الأقاليم. وبلغت الإعانات المالية المقدمة في عام 2001 للمرافق الثقافية الجماهيرية على الصعيد القطري، ما يعادل 1.41 من مليارات اليوان، وهو مبلغ يتجاوز ما خصص في عام 2000 بنحو 225 من ملايين اليوان، وذلك يشكل زيادة قدرها 19 في المائة. وازدادت الإعانات المقدمة لمراكز الفنون بنسبة 24.7 في المائة، وللمراكز الثقافية بنسبة 17.8 في المائة، وللمحطات الثقافية بنسبة 17.4 في المائة.</w:t>
      </w:r>
    </w:p>
    <w:p w:rsidR="00000000" w:rsidRDefault="00000000">
      <w:pPr>
        <w:spacing w:line="380" w:lineRule="exact"/>
        <w:jc w:val="both"/>
        <w:rPr>
          <w:rFonts w:hint="cs"/>
          <w:rtl/>
        </w:rPr>
      </w:pPr>
      <w:r>
        <w:rPr>
          <w:rFonts w:hint="cs"/>
          <w:rtl/>
        </w:rPr>
        <w:t>244-</w:t>
      </w:r>
      <w:r>
        <w:rPr>
          <w:rFonts w:hint="cs"/>
          <w:rtl/>
        </w:rPr>
        <w:tab/>
        <w:t>وتمتلك الصين القارية، بوصفها بلداً قديماً عريق الثقافة، زهاء 000 400 تحفة ثقافية غير منقولة، بالإضافة إلى 12.6 من ملايين التحف المنقولة المودعة في مجموعات. ولقد اعتمدت الحكومة نظاماً لتصنيف معالمها ومواقعها الأثرية الرئيسية، يفيد في تعيين تلك الآثار والمواقع وتعزيز الحماية الواجبة لها. ويوجد في الوقت الحاضر زهاء 000 60 موقع ثقافي رئيسي محمي على المستوى الإقليمي، و000 7 موقع مصنف في عداد المواقع التي تحظى بالحماية على مستوى المقاطعة، و272 1 موقعاً هاماً مصنفاً في عداد الآثار الثقافية الوطنية القديمة. وفيما يتعلق بملايين التحف المنقولة، يصنَّف كل واحد من بينها وفقاً لقيمته التاريخية أو العلمية أو الفنية بوصفه أثراً ثقافياً من الدرجة الأولى أو الثانية أو الثالثة ولكن، بصفة عامة، تعتبر جميع تلك الآثار ثروة ثقافية. ولقد تم تصنيف زهاء 101 من المدن كبيجين، وشي آن، ولوويانغ، التي يوجد فيها عدد وافر للغاية من التحف الثقافية القيِّمة، بوصفها مدناً وطنية تاريخية وثقافية. وأدرجت اليونسكو، في نفس الوقت، نحو 28 موقعاً طبيعياً ومن صنع الإنسان في الصين، بما يشمل الحائط الكبير، والمدينة المحرَّمة، وقبر تشين شيهوانغ، الإمبراطور الأول، وقصر بوتالا، في عداد مواقع التراث العالمي، وتأتي الصين في المقام الثالث من حيث أكبر مجموعة أثرية وطنية في العالم.</w:t>
      </w:r>
    </w:p>
    <w:p w:rsidR="00000000" w:rsidRDefault="00000000">
      <w:pPr>
        <w:spacing w:line="380" w:lineRule="exact"/>
        <w:jc w:val="both"/>
        <w:rPr>
          <w:rFonts w:hint="cs"/>
          <w:rtl/>
        </w:rPr>
      </w:pPr>
      <w:r>
        <w:rPr>
          <w:rFonts w:hint="cs"/>
          <w:rtl/>
        </w:rPr>
        <w:t>245-</w:t>
      </w:r>
      <w:r>
        <w:rPr>
          <w:rFonts w:hint="cs"/>
          <w:rtl/>
        </w:rPr>
        <w:tab/>
        <w:t xml:space="preserve">ولقد أصدرت اللجنة الدائمة للمؤتمر الوطني الشعبي قانون حماية الآثار الثقافية، وهو التشريع الصيني الأول المخصص للمسائل المتصلة بالثقافة. وتحظى الآثار الثقافية القديمة المحمية بالرعاية الواجبة وفقاً لتصنيفها. ولقد تم تكريس قدر لا بأس به من الموارد البشرية والمادية للحفريات الأثرية، ولحماية التحف المستخرجة من الأرض، وبناء المتاحف. وتتحمل السلطات المحلية في كل منطقة، ضمن القيود المحددة في القانون وبموجب إرشادات الحكومة، مسؤولية الاعتناء بالمواقع الأثرية والتحف الموجودة في المناطق المشمولة في ولايتها الإدارية، بينما توفر الإدارة المالية المركزية الدعم المالي. وتنشئ الحكومة بمختلف مستوياتها وحدات إدارية مسؤولة عن حماية التحف، وعن مكاتب البحث في علم الآثار القديمة، والمتاحف، والمكاتب المعنية بحماية المباني الأثرية ودراستها، وما شابه ذلك من أمور. وتم في شهر تشرين الأول/أكتوبر 2002 إصدار تنقيح لقانون حماية الآثار الثقافية أكد ضرورة اتباع نهج عملي في معالجة المسائل المتصلة بالتحف الثقافية يركز على حماية تلك التحف وإنقاذها واستخدامها بصورة معقولة وتحسين أسلوب إدارتها. وحدد القانون المنقح، بالإضافة إلى ذلك، المهام والمسؤوليات المنوطة بالحكومة على كافة المستويات، وركز على وجوب إدراج حماية الآثار الثقافية في جميع خطط التنمية الاقتصادية والاجتماعية فضلاً عن رصد أموال في ميزانيات السلطات المعنية لتغطية التكاليف. وينبغي السعي في نفس الوقت لتضمين تلك الاهتمامات في خطط التعمير الإقليمية. وكذلك تضمّن القانون أحكاماً واضحة </w:t>
      </w:r>
      <w:r>
        <w:rPr>
          <w:rFonts w:hint="cs"/>
          <w:rtl/>
        </w:rPr>
        <w:t xml:space="preserve">لضبط عملية نقل الآثار الثقافية عبر الحدود الوطنية، ووضع قواعد سلوك لهواة جمع تلك الآثار، وعزز المراقبة على مؤسسات البيع بالمزاد العلني، وحدد المسؤوليات من كافة الجوانب بمزيد من التفصيل. </w:t>
      </w:r>
    </w:p>
    <w:p w:rsidR="00000000" w:rsidRDefault="00000000">
      <w:pPr>
        <w:spacing w:line="380" w:lineRule="exact"/>
        <w:jc w:val="both"/>
        <w:rPr>
          <w:rFonts w:hint="cs"/>
          <w:rtl/>
        </w:rPr>
      </w:pPr>
      <w:r>
        <w:rPr>
          <w:rFonts w:hint="cs"/>
          <w:rtl/>
        </w:rPr>
        <w:t>246-</w:t>
      </w:r>
      <w:r>
        <w:rPr>
          <w:rFonts w:hint="cs"/>
          <w:rtl/>
        </w:rPr>
        <w:tab/>
        <w:t>وتسعى حكومة الصين جاهدة إلى زيادة استثماراتها في حماية الآثار الثقافية. فخصصت الإدارة المالية المركزية، خلال الفترة بين عامي 1998 و2000، إعانات سنوية لحماية أهم التحف الموجودة في البلد، وقد بلغت تلك الإعانات 130 من ملايين اليوان، بينما رُصد مبلغ قدره 200 مليون يوان في عام 2001 للمشاريع المتبقية من عام 2000. وخصصت الدولة، منذ الخطة الخمسية التاسعة، مبلغاً قدره 25 من ملايين اليوان سنوياً كإعانات تستخدمها الأقاليم لتنمية مرافق لإنقاذ وحماية التحف الثقافية، كما خصصت ميزانية تبلغ نحو 1.5 من ملايين اليوان لحماية المواقع الأثرية في المدن المدرجة في قائمة المدن التاريخية الثقافية الوطنية. وتم في عام 2002 وحده توفير نحو 250 من ملايين اليوان لدعم مشاريع كبرى لبناء المتاحف في الأقاليم. وتنظم المتاحف زهاء 000 8 معرض سنوياً على الصعيد الوطني، يزوره 150 ونيف من ملايين الأشخاص. وخلال السنوات القليلة الماضية، قام قرابة 30 متحفاً من المتاحف الموجودة في المقاطعات والمناطق المتمتعة بالحكم الذاتي والبلديات التي تدار إدارة مباشرة بتنظيم معارض في البلدان المجاورة وفي الخارج، زارها ما لا يقل عن 10 ملايين من الأشخاص.</w:t>
      </w:r>
    </w:p>
    <w:p w:rsidR="00000000" w:rsidRDefault="00000000">
      <w:pPr>
        <w:spacing w:line="380" w:lineRule="exact"/>
        <w:jc w:val="both"/>
        <w:rPr>
          <w:rFonts w:hint="cs"/>
          <w:rtl/>
        </w:rPr>
      </w:pPr>
      <w:r>
        <w:rPr>
          <w:rFonts w:hint="cs"/>
          <w:rtl/>
        </w:rPr>
        <w:t>247-</w:t>
      </w:r>
      <w:r>
        <w:rPr>
          <w:rFonts w:hint="cs"/>
          <w:rtl/>
        </w:rPr>
        <w:tab/>
        <w:t>ولقد أصدرت اللجنة الدائمة التابعة للمؤتمر الوطني الشعبي لوائح إضافية في عام 1991 بشأن معاقبة من يقوم بحفريات غير مشروعة للكشف عن مواقع ومقابر أثرية ثقافية قديمة. وجعلت التعديلات المدخلة على قانون العقوبات في عام 1997 التدخل في تدبير الآثار الثقافية جريمة. والصين طرف أيضاً في اتفاقات دولية مثل اتفاقية حماية الملكية الثقافية في حالة نشوب نزاع مسلح، والاتفاقية المتعلقة بوسائل تحريم ومنع استيراد الممتلكات الثقافية وتصديرها ونقل ملكيتها بالطرق غير المشروعة، واتفاقية حماية التراث الثقافي والطبيعي العالمي، والاتفاقية المتعلقة بالممتلكات الثقافية المسروقة أو المصدَّرة بطرق غير مشروعة. وفي نفس الوقت، سعت الصين بنجاح إلى استرجاع بعض تحفها الثقافية المهرَّبة إلى الخارج وتمكنت من استردادها بفضل التعاون الدولي.</w:t>
      </w:r>
    </w:p>
    <w:p w:rsidR="00000000" w:rsidRDefault="00000000">
      <w:pPr>
        <w:spacing w:line="380" w:lineRule="exact"/>
        <w:jc w:val="both"/>
        <w:rPr>
          <w:rFonts w:hint="cs"/>
          <w:rtl/>
        </w:rPr>
      </w:pPr>
      <w:r>
        <w:rPr>
          <w:rFonts w:hint="cs"/>
          <w:rtl/>
        </w:rPr>
        <w:t>248-</w:t>
      </w:r>
      <w:r>
        <w:rPr>
          <w:rFonts w:hint="cs"/>
          <w:rtl/>
        </w:rPr>
        <w:tab/>
        <w:t>وتستثمر الصين قدراً كبيراً من الموارد البشرية والمادية والمالية في حماية الثقافات الإثنية والشعبية والنهوض بها. والدولة توفر الدعم منذ الثمانينات لمشروع سمي "المجموعات العشر الكبرى للحوليات الأدبية والفنية" وهو مشروع ضخم استُثمر فيه مبلغ تجاوز 100 مليون يوان. ولقد تم حتى هذا اليوم إعداد 270 مجلداً من "المجموعات العشر" وتمت الموافقة عليها، ونُشر منها حتى الآن 190 مجلداً. ويُتوقع أن تُستكمل في عام 2004 مجموعة المجلدات ال‍ 300 الكاملة من هذا الإنجاز العظيم الذي اعتبر بمثابة "السور الكبير للثقافة الإثنية والشعبية الصينية". وكذلك أنشأت وزارة الثقافة داراً لتسجيل مؤلفات أوبرا بيجين وكونتشو، وهي تقوم بالدعاية لها بنشاط، ونظمت الوزارة مسابقة على المستوى القطري للفنانين المتفوقين الذين يُتوقع نجاحهم في المستقبل في تأدية مؤلفات أوبرا كونتشو، كما نظمت ثلاثة مهرجانات للأوبرا الصينية وأوبرا بيجين، ووفرت بالتالي حماية فعلية لأوبرا كونتشو ولأنواع أخرى من الفنون الإثنية التي أدرجتها اليونسكو في قائمة الروائع الفنية لتراث البشرية المروى. ولكن، مع تسارع خطى التنمية الاقتصادية وتأثير الثقافات وأساليب المعيشة الأجنبية، مازالت الثقافات الإثنية والشعبية الصينية تمر بمرحلة حرجة لم يسبق لها مثيل. فأصبحت مهارات تقليدية عديدة وأنواع شتى من الفنون الشعبية تفتقر إلى جيل جديد من المتمرسين، وهي تتصدى لخطر الزوال نتيجة استحالة نقلها إلى الأجيال القادمة حسب ما جرت عليه العادة على مر القرون. وأوشكت بعض اللغات وأساليب الكتابة والعادات الفريدة على الزوال. فقامت الدولة، على ضوء هذا الوضع، بتعجيل العملية التشريعية الهادفة إلى حماية الثقافات الإثنية والشعبية الصينية. وتم، بعد توضيح نطاق الحماية الضرورية وبيان حقوق ومسؤوليات الدولة بجلاء للمعنيين من المجموعات والأفراد، إنشاء آليات جديدة لتوفير الحماية. وتشجع تلك الآليات على صون ونشر الثقافات الإثنية والشعبية بأشكالها، ومنع انقراضها أو تدميرها، وتحسين مستوى التعاون الدولي في هذا المجال.</w:t>
      </w:r>
    </w:p>
    <w:p w:rsidR="00000000" w:rsidRDefault="00000000">
      <w:pPr>
        <w:spacing w:line="380" w:lineRule="exact"/>
        <w:jc w:val="both"/>
        <w:rPr>
          <w:rStyle w:val="FootnoteReference"/>
          <w:rFonts w:hint="cs"/>
          <w:bCs w:val="0"/>
          <w:vertAlign w:val="baseline"/>
          <w:rtl/>
        </w:rPr>
      </w:pPr>
      <w:r>
        <w:rPr>
          <w:rFonts w:hint="cs"/>
          <w:rtl/>
        </w:rPr>
        <w:t>249-</w:t>
      </w:r>
      <w:r>
        <w:rPr>
          <w:rFonts w:hint="cs"/>
          <w:rtl/>
        </w:rPr>
        <w:tab/>
        <w:t xml:space="preserve">وتنص المادة 4 من الدستور على أن "... الدولة تحمي الحقوق والمصالح المشروعة للأقليات القومية ... وأن الدولة تساعد المناطق التي تقطنها الأقليات القومية على تعجيل نموها الاقتصادي والثقافي بمراعاة خصائص مختلف تلك القوميات واحتياجاتها ... وأن الأشخاص المنتمين إلى كافة القوميات يتمتعون بحرية استخدام وتطوير لغاتهم المنطوقة والمكتوبة وصون أو إصلاح عاداتهم وتقاليدهم". وينص قانون الاستقلال الذاتي القومي الإقليمي على أن المناطق الوطنية المتمتعة بالحكم الذاتي لها حق المبادرة في تطوير مجالات ثقافية قومية، كنظم الكتابة، والفنون، وخدمات الإعلام، وخدمات النشر، والبث الإذاعي والتلفزيوني وخدمات صناعة الأفلام، مع مراعاة معاييرها القومية وخصائصها الإثنية. كما يحق لها جمع ومقارنة وترجمة ونشر المؤلفات الأدبية القومية وحماية مواقعها التي تتسم بأهمية قومية، وآثارها الثقافية القديمة بالإضافة إلى آثارها الثقافية القيمة وغيرها من الآثار التي تتسم بأهمية تاريخية وثقافية. وستقوم الدولة، في نفس الوقت، بتنفيذ سياسات خاصة للتشجيع على بناء مرافق ثقافية في مناطق الأقليات القومية، وتدريب العاملين في مجال الأدب والفن، كما ستشجع المبادلات الثقافية مع العالم الخارجي وحماية الآثار الثقافية. </w:t>
      </w:r>
    </w:p>
    <w:p w:rsidR="00000000" w:rsidRDefault="00000000">
      <w:pPr>
        <w:spacing w:line="380" w:lineRule="exact"/>
        <w:jc w:val="both"/>
        <w:rPr>
          <w:rFonts w:hint="cs"/>
          <w:rtl/>
        </w:rPr>
      </w:pPr>
      <w:r>
        <w:rPr>
          <w:rFonts w:hint="cs"/>
          <w:rtl/>
        </w:rPr>
        <w:t>250-</w:t>
      </w:r>
      <w:r>
        <w:rPr>
          <w:rFonts w:hint="cs"/>
          <w:rtl/>
        </w:rPr>
        <w:tab/>
        <w:t>وقام السكان المنتمون إلى كافة الأقليات القومية الموجودة في الصين بإنشاء فرقهم الخاصة للأداء الفني. وفي عام 2000، استضافت المناطق الوطنية المتمتعة بالحكم الذاتي زهاء 510 فرقة من هذا القبيل، و58 فرقة وطنية للرقص والغناء، و182 مسرحاً. وتنظم الدولة مسابقات موسيقية ومسابقات رقص وأداء مسرحي بصورة منتظمة لمنح "جوائز الطاووس"؛ ولقد أجريت 12 مسابقة من هذا النوع بحلول عام 2002. وتُمنح جوائز "الجواد المندفع" للمؤلفات الأدبية والأفلام والبرامج التلفزيونية. ولقد سمحت المسابقات التسع التي أجريت حتى عام 2002 لمنح تلك الجوائز، بالإضافة إلى المسابقات التي أجريت لمنح "جوائز الطاووس"، بإنجاز عدد كبير من الأعمال البارزة التي تناولت مواضيع تهم الأقليات القومية، ونمَّت مواهب العديد من الفنانين والكتّاب المتألقين. وتوفر 24 أكاديمية من أكاديميات الفنون الجميلة العليا على الصعيد القطري دورات متخصصة تهدف، بصفة خاصة، إلى تنمية المواهب الفنية بين السكان المنتمين إلى أقليات قومية، وفي نفس الوقت تُوفِّر بعض المدارس المتوسطة والأكاديميات الموجودة في المناطق الحاصلة على الاستقلال الذاتي، على غرار أكاديميات وطنية أخرى، فرصاً للتخصص في أدب وموسيقى ورقص الأقليات وفنونها الجميلة، مما يساعد إلى حد كبير للغاية على النهوض بالعديد من الفنانين الموهوبين في تلك المجتمعات والسماح لهم بالتقدم.</w:t>
      </w:r>
    </w:p>
    <w:p w:rsidR="00000000" w:rsidRDefault="00000000">
      <w:pPr>
        <w:spacing w:line="380" w:lineRule="exact"/>
        <w:jc w:val="both"/>
        <w:rPr>
          <w:rFonts w:hint="cs"/>
          <w:rtl/>
        </w:rPr>
      </w:pPr>
      <w:r>
        <w:rPr>
          <w:rFonts w:hint="cs"/>
          <w:rtl/>
        </w:rPr>
        <w:t>251-</w:t>
      </w:r>
      <w:r>
        <w:rPr>
          <w:rFonts w:hint="cs"/>
          <w:rtl/>
        </w:rPr>
        <w:tab/>
        <w:t>ولقد رصدت الإدارات المالية المركزية والإقليمية أموالاً خاصة منذ عام 1990 لبناء وتوسيع وترميم عدد كبير من المكتبات والمراكز الثقافية ومراكز الفنون والمتاحف ودور السينما/المسارح الموجودة في مناطق الأقليات، فعززت إلى حد كبير ما يوجد فيها من مرافق أساسية ثقافية. وبحلول عام 2000 كانت المناطق الوطنية المتمتعة بالحكم الذاتي مقراً لما يعادل 79 مركزاً للفنون الشعبية، و655 مركزاً ثقافياً، و078 7 محطة ثقافية،</w:t>
      </w:r>
      <w:r>
        <w:rPr>
          <w:rtl/>
        </w:rPr>
        <w:br/>
      </w:r>
      <w:r>
        <w:rPr>
          <w:rFonts w:hint="cs"/>
          <w:rtl/>
        </w:rPr>
        <w:t>و563 مكتبة، و151 متحفاً. وتقوم الدولة، منذ عام 1992، بتنفيذ البرنامج الوطني للرواق الثقافي الكبير المتاخم للحدود، في المقاطعات والمناطق المتمتعة بالحكم الذاتي التسع التي يوجد فيها أكبر عدد من الأقليات القومية، وهي غوانغشي، ويونان، وتيبت، وشينجيانغ، ومنغوليا الوسطى، وغانسو، وهايلونغجيانغ، وجيلين، ولياونينغ؛ وتم في عام 1994 توسيع نطاق البرنامج ليشمل تسع مقاطعات ساحلية وبلديات أخرى تدار إدارة مباشرة. وأُنفق بحلول عام 1999 زهاء 5 من مليارات اليوان في إطار هذا البرنامج لبناء عدد كبير للغاية من المرافق الثقافية الأساسية ومسارح أخرى جعلت من الرواق الثقافي الكبير شبكة دائرية واسعة أفادت في تحسين وإثراء الحياة الثقافية للسكان المقيمين في المناطق الحدودية والذين يتجاوز عددهم 10 ملايين نسمة. وكذلك بادرت الحكومة بوضع خطة لتقديم المساعدة للتيبت في مجال الثقافة، سمحت لوزارة الثقافة بتنظيم الدعم المقدم من 14 مقاطعة وبلدة داخلية لمنطقة التيبت المتمتعة بالحكم الذاتي. واتخذت الوزارة الترتيبات اللازمة خلال السنوات الأخيرة لرصد 5.48 من ملايين اليوان للمساعدة على بناء 32 مرفقاً ثقافياً في التيبت وخصصت مبلغاً إضافياً قدره 11.51 من ملايين اليوان لمساعدة التيبت على حماية وترميم آثارها، كما رصدت مبالغ خاصة لتشجيع المواهب الفنية.</w:t>
      </w:r>
    </w:p>
    <w:p w:rsidR="00000000" w:rsidRDefault="00000000">
      <w:pPr>
        <w:spacing w:line="380" w:lineRule="exact"/>
        <w:jc w:val="both"/>
        <w:rPr>
          <w:rFonts w:hint="cs"/>
          <w:rtl/>
        </w:rPr>
      </w:pPr>
      <w:r>
        <w:rPr>
          <w:rFonts w:hint="cs"/>
          <w:rtl/>
        </w:rPr>
        <w:t>252-</w:t>
      </w:r>
      <w:r>
        <w:rPr>
          <w:rFonts w:hint="cs"/>
          <w:rtl/>
        </w:rPr>
        <w:tab/>
        <w:t>وتولي الدولة أهمية كبيرة للتنقيب عن الآثار الثقافية التقليدية للأقليات القومية ولقد أعدت برامج لتجميعها وتصنيفها وترجمتها ونشرها ولحماية المواقع الأثرية الهامة، والتحف الثقافية الثمينة، وغير ذلك من الآثار ذات الأهمية التاريخية والثقافية. واستثمرت مبالغ كبيرة في ترميم مواقع هامة في التيبت وتشينغهاي وشينجيانغ وبصفة أخص في التيبت حيث أُنفق مبلغ قدره 50 مليون يوان على خطة خمسية لترميم قصر بوتالا. وستوفر الدولة خلال الفترة بين عامي 2002 و2006 مبلغاً إضافياً قدره 330 مليون يوان كتمويل خاص يُقدم إلى التيبت لصيانة قصر بوتالا ونوربولينغكا ودير ساكيا. ويتم، في نفس الوقت، تجميع وتصنيف ودراسة الملاحم التاريخية الثلاث الكبرى للأقليات القومية، وهي "قصة الملك غيزر" التيبتية، و"ملحمة يانغار" المنغولية، و"ملحمة ماناس" القيرغيزية. وتُعتبر "قصة الملك غيزر" التي تتألف من 1.5 من ملايين الأسطر، أطول قصيدة ملحمية بطولية في العالم. ولقد تم تسجيل زهاء 000 5 شريط سمعي وعدة مئات من أشرطة الفيديو لمنشدي القصص التقليديين الذين تناقلوا تلك القصص على مر الأجيال، ولقد تمت كتابة 40 مليون كلمة من النص حتى اليوم. وكان هذا العمل موضوع 000 1 ونيف من المقالات العلمية و30 رسالة بحث، وبفضل جميع تلك الجهود تحولت هذه الملحمة المتناثرة المتناقلة شفوياً إلى عمل أدبي منظّم بإحكام يعد من روائع الأدب. وتمت، أيضاً، ترجمة "ملحمة ماناس" إلى اللغة الصينية الرئيسية (الماندرين).</w:t>
      </w:r>
    </w:p>
    <w:p w:rsidR="00000000" w:rsidRDefault="00000000">
      <w:pPr>
        <w:spacing w:line="380" w:lineRule="exact"/>
        <w:jc w:val="both"/>
        <w:rPr>
          <w:rFonts w:hint="cs"/>
          <w:rtl/>
        </w:rPr>
      </w:pPr>
      <w:r>
        <w:rPr>
          <w:rFonts w:hint="cs"/>
          <w:rtl/>
        </w:rPr>
        <w:t>253-</w:t>
      </w:r>
      <w:r>
        <w:rPr>
          <w:rFonts w:hint="cs"/>
          <w:rtl/>
        </w:rPr>
        <w:tab/>
        <w:t xml:space="preserve">وتشجع الصين بنشاط تعليم وتدريب المحترفين وغير المحترفين في مجال الفنون. وتوجد في معاهد التعليم العالي النظامية كليات للفنون الجميلة أو تؤهل للحصول على شهادات في مجال الفنون الجميلة، كما توجد في المعاهد العليا والمتوسطة لتدريب المعلمين أقسام للفنون الجميلة. وتشكل الأكاديميات والمدارس العليا والمتوسطة للفنون الجميلة أركاناً أساسية لتدريب المهنيين العاملين في مجال الفنون والثقافة. وتم، خلال الفترة بين عامي 1997 و2001، قبول 793 7 طالباً جديداً في أكاديميات الفنون الجميلة على الصعيد القطري، وتخرج منها 137 5 طالباً؛ وتم في المدارس المتوسطة للفنون قبول 842 113 طالباً تخرج منها 637 80 طالباً. وتوجد، بالتالي، شبكة متفرعة في جميع أرجاء الوطن من الأكاديميات العليا والمدارس المتوسطة التي توفر التعليم والتدريب والتقييم للطلاب النظاميين وللهواة. ويوجد حالياً في الصين 252 معهداً للأبحاث في مجالي الثقافة والفنون، ويعمل في تلك المعاهد 457 6 شخصاً. وتشكل كافة تلك الجهات هيكلاً شاملاً متعدد المستويات لتعليم الفنون في مجموعة واسعة من الاختصاصات. وتوجد بين مختلف كليات الفنون 18 كلية تمنح في الوقت الحاضر شهادة الدكتوراه، بينما تتيح 23 كلية دورات إعداد لنيل شهادة الدكتوراه؛ وتمنح 90 كلية شهادات الماجستير بينما توفر 152 كلية دورات على مستوى الماجستير، وتتيح 80 كلية اختصاصات قبل التخرج. وفي نفس الوقت، توفر رياض الأطفال والمدارس الابتدائية والمتوسطة على المستوى القطري حصصاً في الموسيقى والفنون والصناعات التقليدية، ويوجد الملايين من الشبان الذين يتعلمون العزف على الأدوات الموسيقية بأنواعها، ويتعلمون الغناء، والفن المسرحي، والأدب، والفنون الجميلة، وما شابه ذلك؛ ويتقدم أكثر من مليون شخص كل عام لاجتياز </w:t>
      </w:r>
      <w:r>
        <w:rPr>
          <w:rFonts w:hint="cs"/>
          <w:spacing w:val="0"/>
          <w:rtl/>
        </w:rPr>
        <w:t>مسابقات الدراسات غير المهنية في المجالات التي يختارونها. وتوفر مراكز الفنون الشعبية، والمراكز (المحطات) الثقافية</w:t>
      </w:r>
      <w:r>
        <w:rPr>
          <w:rFonts w:hint="cs"/>
          <w:rtl/>
        </w:rPr>
        <w:t>، والمراكز الثقافية المجتمعية، ومراكز الشبيبة، والجامعات المخصصة للمسنين، والمدارس غير المهنية بشتى أنواعها، التدريب على الموسيقى والرقص والفنون المسرحية والفنون الجميلة وفن الخطّ وعلى عدد لا يحصى ولا يعد من الفنون والحرف التقليدية في الصين.</w:t>
      </w:r>
    </w:p>
    <w:p w:rsidR="00000000" w:rsidRDefault="00000000">
      <w:pPr>
        <w:spacing w:line="380" w:lineRule="exact"/>
        <w:jc w:val="both"/>
        <w:rPr>
          <w:rFonts w:hint="cs"/>
          <w:rtl/>
        </w:rPr>
      </w:pPr>
      <w:r>
        <w:rPr>
          <w:rFonts w:hint="cs"/>
          <w:rtl/>
        </w:rPr>
        <w:t>254-</w:t>
      </w:r>
      <w:r>
        <w:rPr>
          <w:rFonts w:hint="cs"/>
          <w:rtl/>
        </w:rPr>
        <w:tab/>
        <w:t>وتوجد في الصين 288 محطة إذاعية وطنية و432 محطة تلفزيونية في الوقت الحاضر. وتوجد، بالإضافة إلى ذلك، 263 1 محطة إذاعية على المستوى الإقليمي، و099 70 من أجهزة الإرسال والمحطات الوسيطة للبث الإذاعي والتلفزيوني على الموجات المتوسطة والقصيرة، و34 جهازاً للإرسال بواسطة السواتل، و000 520 محطة استقبال بواسطة السواتل، وزهاء 3 ملايين كيلومتر من شبكات التلفزة السلكية. وتشكل جميع تلك المرافق نظاماً يربط المركز بالمناطق بمجموعة كاملة من الوسائل الإلكترونية المتجانسة والمتصلة ببعضها البعض والتي توفر تغطية إذاعية وتلفزيونية شاملة. وتمتلك الأغلبية العظمى من سكان الصين جهازاً إذاعياً وتلفزيونياً. ولقد قامت حكومة الصين بتنفيذ مشاريع كبرى لتوسيع نطاق تغطية البث الإذاعي والتلفزيوني. وكان مشروع "كل قرية موصولة" الذي شُرِع في تطبيقه في عام 1998، إنجازاً هندسياً هاماً سمح، بحلول عام 2002 وبعد استثمار مبلغ قدره 1.77 من مليارات اليوان، بحل المشاكل المواجَهة من حيث استقبال البرامج الإذاعية والتلفزيونية في زهاء</w:t>
      </w:r>
      <w:r>
        <w:rPr>
          <w:rtl/>
        </w:rPr>
        <w:br/>
      </w:r>
      <w:r>
        <w:rPr>
          <w:rFonts w:hint="cs"/>
          <w:rtl/>
        </w:rPr>
        <w:t xml:space="preserve">000 100 قرية عدد سكانها الإجمالي 70 مليون نسمة. وازدادت تغطية البث الإذاعي والتلفزيوني في القطر خلال تلك الفترة من 88.3 في المائة و89 في المائة إلى 93.2 في المائة و94.5 في المائة، على التوالي. وتم تحسين </w:t>
      </w:r>
      <w:r>
        <w:rPr>
          <w:rFonts w:hint="cs"/>
          <w:spacing w:val="0"/>
          <w:rtl/>
        </w:rPr>
        <w:t>البرامج الإذاعية والتلفزيونية المنتجة بشكل ملموس، وازداد عددها بسرعة في نفس الوقت. ويتم، حالياً، بث 777 1 برنامجاً إذاعياً، و047 1 برنامجاً تلفزيونياً في المجموع. وتبث مختلف المحطات الإذاعية ما مجموعه 378</w:t>
      </w:r>
      <w:r>
        <w:rPr>
          <w:rFonts w:hint="cs"/>
          <w:rtl/>
        </w:rPr>
        <w:t xml:space="preserve"> 21 ساعة من البرامج كل يوم؛ وتبث المحطات التلفزيونية 819 155 ساعة من البرامج أسبوعياً.</w:t>
      </w:r>
    </w:p>
    <w:p w:rsidR="00000000" w:rsidRDefault="00000000">
      <w:pPr>
        <w:spacing w:line="380" w:lineRule="exact"/>
        <w:jc w:val="both"/>
        <w:rPr>
          <w:rFonts w:hint="cs"/>
          <w:rtl/>
        </w:rPr>
      </w:pPr>
      <w:r>
        <w:rPr>
          <w:rFonts w:hint="cs"/>
          <w:rtl/>
        </w:rPr>
        <w:t>255-</w:t>
      </w:r>
      <w:r>
        <w:rPr>
          <w:rFonts w:hint="cs"/>
          <w:rtl/>
        </w:rPr>
        <w:tab/>
        <w:t>وتنمو كافة فروع النشر - من كتب وصحف ومنشورات دورية ومنتجات سمعية وبصرية ومنشورات إلكترونية - نمواً سريعاً للغاية. فتوجد في الصين 565 داراً للنشر تطبع 526 154 مؤلفاً مختلفاً، ويبلغ مجموع النسخ المطبوعة 6.31 مليار نسخة. ويوجد 290 ناشراً للمواد السمعية والبصرية، تضم فهارسهم 646 17 منتَجاً مختلفاً، وزهاء 202 من ملايين الأشرطة/الأقراص المضغوطة المتداولة في المجموع. ويبلغ عدد النشرات الدورية 889 8 نشرة توزع منها 2.89 مليار نسخة في المجموع، كما توجد 111 2 جريدة تُطبع منها</w:t>
      </w:r>
      <w:r>
        <w:rPr>
          <w:rtl/>
        </w:rPr>
        <w:br/>
      </w:r>
      <w:r>
        <w:rPr>
          <w:rFonts w:hint="cs"/>
          <w:rtl/>
        </w:rPr>
        <w:t>000 106 35 نسخة في المجموع. ولقد تطورت تكنولوجيا المعلومات تطوراً سريعاً للغاية خلال السنوات الأخيرة في الصين، وبخاصة شبكة الإنترنت التي أتاحت للسكان إمكانية سريعة وعملية للحصول على خدمات المعلومات. وازداد عدد المستفيدين من شبكة الإنترنت في الصين منذ عام 1997 من 000 620 مستفيد إلى 45.8 من ملايين المستفيدين، أي ما يعادل زيادة بمقدار 74 ضعف العدد السابق في غضون خمس سنوات. وما زال هذا المجال من النشاط يتميز بنمو وتطور سريعين، فما انفك عدد الموارد الفورية المقدمة مباشرة، والحواسيب الموصولة بالشبكات، وعدد مستخدمي شبكة إنترنت، والنطاق الموجي للنواتج المتاحة، يزداد.</w:t>
      </w:r>
    </w:p>
    <w:p w:rsidR="00000000" w:rsidRDefault="00000000">
      <w:pPr>
        <w:spacing w:line="380" w:lineRule="exact"/>
        <w:jc w:val="both"/>
        <w:rPr>
          <w:rFonts w:hint="cs"/>
          <w:rtl/>
        </w:rPr>
      </w:pPr>
      <w:r>
        <w:rPr>
          <w:rFonts w:hint="cs"/>
          <w:rtl/>
        </w:rPr>
        <w:t>256-</w:t>
      </w:r>
      <w:r>
        <w:rPr>
          <w:rFonts w:hint="cs"/>
          <w:rtl/>
        </w:rPr>
        <w:tab/>
        <w:t xml:space="preserve">وانضمت الصين في عام 1980 إلى المنظمة العالمية للملكية الفكرية. وقامت منذ ذاك الوقت بسن مجموعة من القوانين والتنظيمات لحماية حقوق الملكية الفكرية. وتشمل تلك القوانين والتنظيمات قانون العلامات التجارية، وقانون البراءات، وقانون حقوق التأليف والنشر، والمبادئ العامة للقانون المدني، وهي تنص بوضوح على حقوق الملكية الفكرية التي يتمتع بها قانوناً كل مواطن أو شخص اعتباري على منتجات من ابتكاره الفكري. ولقد أصدر مجلس الدولة تنظيمات بشأن إعمال قانون العلامات التجارية، وقانون البراءات وقانون حقوق التأليف والنشر وقانون حماية البرامج الحاسوبية. وكذلك انضمت الصين إلى عدد من الاتفاقات الدولية الخاصة بحقوق الملكية الفكرية، ومن بينها اتفاقية باريس لحماية الملكية الصناعية، واتفاق مدريد بشأن التسجيل الدولي للعلامات، واتفاقية برن لحماية الإنتاج الأدبي والفني، والاتفاقية العالمية لحقوق المؤلف، واتفاقية حماية منتجي التسجيلات الصوتية من استنساخ تسجيلاتهم دون تصريح. واعتمدت اللجنة الدائمة التابعة للمجلس الوطني الشعبي قراراً في عام 1994 بشأن معاقبة من يتعدى على حقوق التأليف والنشر، كما قامت في عام 1997 بتعديل قانون العقوبات ليشمل الجرائم المرتكبة ضد حقوق الملكية الفكرية. وكذلك تم في السنوات الأخيرة تنقيح قانون البراءات، وقانون العلامات التجارية، وقانون حقوق التأليف والنشر، لإدخال تحسينات على آليات التظلم القانوني في القضايا المتصلة بحقوق الملكية الفكرية. وأصدر مجلس الدولة في عام 2001 تنظيمات لحماية تصاميم لوحات الدوائر المتكاملة، ونقح بعض التنظيمات الإدارية المتصلة بحقوق الملكية الفكرية. وتمكنت الصين في 20 سنة بالكاد من وضع نظام تشريعي وتنظيمي واسع لحماية حقوق الملكية الفكرية، وهو نظام ملائم لظروف الصين الوطنية ومطابق لأحكام المعاهدات والاتفاقيات الدولية. وبالتالي، تفوقت الصين على بعض البلدان المتقدمة التي احتاجت في أحيان كثيرة إلى عقود بل وإلى قرون لاستكمال مثل هذه العملية التشريعية. </w:t>
      </w:r>
    </w:p>
    <w:p w:rsidR="00000000" w:rsidRDefault="00000000">
      <w:pPr>
        <w:spacing w:line="380" w:lineRule="exact"/>
        <w:jc w:val="both"/>
        <w:rPr>
          <w:rFonts w:hint="cs"/>
          <w:rtl/>
        </w:rPr>
      </w:pPr>
      <w:r>
        <w:rPr>
          <w:rFonts w:hint="cs"/>
          <w:rtl/>
        </w:rPr>
        <w:t>257-</w:t>
      </w:r>
      <w:r>
        <w:rPr>
          <w:rFonts w:hint="cs"/>
          <w:rtl/>
        </w:rPr>
        <w:tab/>
        <w:t xml:space="preserve">وأنشأت الصين نظاماً لتعزيز القوانين التي تحمي حقوق الملكية الفكرية. وأصدرت المحكمة العليا مجموعة من الإيضاحات القضائية في الدعاوى المتصلة بحقوق الملكية الفكرية، وأنشأت، منذ عام 1992، أكثر من 20 محكمة للبت في القضايا المتصلة بالملكية الفكرية. ومُنحت الدوائر الإدارية الحكومية سلطة فرض عقوبات إدارية؛ وتلك هي سمة بارزة في الأساليب التي تتبعها الصين لحماية حقوق الملكية الفكرية. ويجوز للدائرة الإدارية المعنية أن تصادر الأرباح غير المشروعة التي يجنيها الطرف المذنب في حال وقوع انتهاكات خطيرة للقوانين، كما يجوز لها أن تفرض غرامات أو أنواع أخرى من العقوبات. وأغلقت الصين، منذ عام 1999، نحو 277 مركزاً من مراكز تداول وتوزيع سلع سمعية وبصرية بصورة غير مشروعة، كما منعت عمليات تجارية في 600 8 مؤسسة تجارية أخرى أو أوقفتها أو حظرتها. وقامت السلطات، في عام 2001، بمصادرة وإتلاف 100 مليون نسخة من السلع السمعية والبصرية غير المشروعة، وصادرت 12.23 من ملايين المنشورات المنتحلة، و4.12 مليون نسخة من البرامج الحاسوبية المنتحلة، كما سجلت 813 22 قضية تتعلق بعدم مراعاة العلامات التجارية وتقليد السلع. </w:t>
      </w:r>
    </w:p>
    <w:p w:rsidR="00000000" w:rsidRDefault="00000000">
      <w:pPr>
        <w:spacing w:line="380" w:lineRule="exact"/>
        <w:jc w:val="both"/>
        <w:rPr>
          <w:rFonts w:hint="cs"/>
          <w:rtl/>
        </w:rPr>
      </w:pPr>
      <w:r>
        <w:rPr>
          <w:rFonts w:hint="cs"/>
          <w:rtl/>
        </w:rPr>
        <w:t>258-</w:t>
      </w:r>
      <w:r>
        <w:rPr>
          <w:rFonts w:hint="cs"/>
          <w:rtl/>
        </w:rPr>
        <w:tab/>
        <w:t>وتولي الصين اهتماماً كبيراً للدعاية ولتدريب الموظفين على حماية حقوق الملكية الفكرية. وهي تلجأ إلى وسائط الإعلام، والمحاضرات، والتقارير، والاختبارات الموجزة، والمقالات الصحفية، ووسائط الإعلام الإذاعية، للتعريف بالقوانين والتنظيمات المتصلة بحقوق الملكية الفكرية، وتوعية الجماهير تدريجياً بهذا المجال الهام. ولقد أنشأت جامعة بيجين، وجامعة الصين الشعبية، وجامعات عديدة أخرى، والمعهد الصيني للعلوم الاجتماعية، مدارس مخصصة لحقوق الملكية الفكرية أو مراكز للتدريب على حقوق الملكية الفكرية، بغية تثقيف الخبراء وتدريبهم في هذا المجال. وتدعم الحكومة بنشاط كافة الأنشطة التي تعزز حماية حقوق الملكية الفكرية أو تساعد على نشر هذه الثقافة. ولقد أُسِّسَت، في شهر كانون الأول/ديسمبر 1992، الجمعية الصينية لحقوق التأليف الموسيقي والنشر، وهي المؤسسة الصينية الأولى لإدارة حقوق الملكية الفكرية بصورة جماعية، وهي تضم الآن 200 1 عضو. وتم بتأسيس مثل هذه الجمعيات والمؤسسات المتخصصة اتخاذ الخطوة الأولى لإنشاء نظام عام لإدارة شؤون وخدمات حقوق الملكية الفكرية.</w:t>
      </w:r>
    </w:p>
    <w:p w:rsidR="00000000" w:rsidRDefault="00000000">
      <w:pPr>
        <w:spacing w:line="380" w:lineRule="exact"/>
        <w:jc w:val="both"/>
        <w:rPr>
          <w:rFonts w:hint="cs"/>
          <w:rtl/>
        </w:rPr>
      </w:pPr>
      <w:r>
        <w:rPr>
          <w:rFonts w:hint="cs"/>
          <w:rtl/>
        </w:rPr>
        <w:t>259-</w:t>
      </w:r>
      <w:r>
        <w:rPr>
          <w:rFonts w:hint="cs"/>
          <w:rtl/>
        </w:rPr>
        <w:tab/>
        <w:t xml:space="preserve">ووقعت الصين، حتى اليوم، على اتفاقات حكومية دولية ثنائية الأطراف مع 145 بلداً بشأن التعاون الثقافي، كما وقعت على اتفاقات بخصوص 708 من برامج التبادل الثقافي السنوية. وتقيم الصين أنواعاً شتى من المبادلات الثقافية مع 160 بلداً وإقليماً، كما تقيم علاقات مع عدة آلاف من المنظمات الثقافية الأجنبية والدولية. ويتم في كل سنة إنجاز ما يعادل 000 5 مشروع تبادل ثقافي مع بلدان أخرى. </w:t>
      </w:r>
    </w:p>
    <w:p w:rsidR="00000000" w:rsidRDefault="00000000">
      <w:pPr>
        <w:spacing w:line="380" w:lineRule="exact"/>
        <w:jc w:val="both"/>
        <w:rPr>
          <w:rFonts w:hint="cs"/>
          <w:rtl/>
        </w:rPr>
      </w:pPr>
      <w:r>
        <w:rPr>
          <w:rFonts w:hint="cs"/>
          <w:rtl/>
        </w:rPr>
        <w:t>260-</w:t>
      </w:r>
      <w:r>
        <w:rPr>
          <w:rFonts w:hint="cs"/>
          <w:rtl/>
        </w:rPr>
        <w:tab/>
        <w:t>وتقوم حكومة الصين، بموجب اتفاقات التبادل الثقافي العديدة التي وقعت عليها مع بلدان أخرى، برصد أموال خاصة كل سنة، وتوظيف اعتمادات فعلية للمشاريع ذات الصلة في خططها السنوية. ولقد أوفدت الصين سنوياً، منذ عام 1995، ما يساوي في المعدل 680 2 فرقة أداء فني إلى الخارج، ونظمت ما لا يقل عن 690 معرضاً فنياً؛ واستضافت، في المعدل، 760 1 فرقة أداء فني و570 معرضاً فنياً من الخارج. وقامت الصين منذ عام 2000 بتنظيم جولة ثقافية صينية في الولايات المتحدة الأمريكية، ومهرجان ثقافي صيني في فرنسا؛ ولقد كانت ضيف الشرف في الأسبوع الآسيوي المنظم في برلين في ألمانيا، كما نظمت مهرجاناً ثقافياً صينياً في البرازيل وأسبوعاً ثقافياً صينياً في مصر. وقامت بالاشتراك مع اليابان بإعداد سنة ثقافية صينية - يابانية، وبتنظيم سنة تبادل بين الشعبين الصيني والكوري مع كوريا.</w:t>
      </w:r>
    </w:p>
    <w:p w:rsidR="00000000" w:rsidRDefault="00000000">
      <w:pPr>
        <w:spacing w:line="380" w:lineRule="exact"/>
        <w:jc w:val="both"/>
        <w:rPr>
          <w:rFonts w:hint="cs"/>
          <w:rtl/>
        </w:rPr>
      </w:pPr>
      <w:r>
        <w:rPr>
          <w:rFonts w:hint="cs"/>
          <w:rtl/>
        </w:rPr>
        <w:t>261-</w:t>
      </w:r>
      <w:r>
        <w:rPr>
          <w:rFonts w:hint="cs"/>
          <w:rtl/>
        </w:rPr>
        <w:tab/>
        <w:t>وما انفكت الصين توفر الدعم المالي وغيره من أشكال الدعم لمشتركين صينيين مختارين في المسابقات الدولية الرفيعة المستوى. ولقد شارك فنانون صينيون معروفون وناشئون في مسابقات دولية متنوعة هامة حققوا فيها نتائج باهرة، ونذكر من بينها المسابقة الروسية الدولية لأداء مؤلفات تشايكوفسكي، ومسابقة ميونخ الدولية للموسيقى في ألمانيا، ومسابقة بولندا لأداء مؤلفات شوبان على البيانو، ومسابقة فيينا الدولية للعزف على القيثارة، في النمسا، ومسابقة رومانيا الدولية للعازفين الشباب على الكلارينت، ومهرجان مونتي كارلو الدولي للألعاب البهلوانية في موناكو، ومهرجانات السينما الدولية في كان وبرلين والبندقية وهاواي وسيدني وطوكيو.</w:t>
      </w:r>
    </w:p>
    <w:p w:rsidR="00000000" w:rsidRDefault="00000000">
      <w:pPr>
        <w:spacing w:line="380" w:lineRule="exact"/>
        <w:jc w:val="both"/>
        <w:rPr>
          <w:rFonts w:hint="cs"/>
          <w:rtl/>
        </w:rPr>
      </w:pPr>
      <w:r>
        <w:rPr>
          <w:rFonts w:hint="cs"/>
          <w:rtl/>
        </w:rPr>
        <w:t>262-</w:t>
      </w:r>
      <w:r>
        <w:rPr>
          <w:rFonts w:hint="cs"/>
          <w:rtl/>
        </w:rPr>
        <w:tab/>
        <w:t xml:space="preserve">وقامت الصين، تباعاً، خلال الفترة بين عامي 1996 و1999، بتنظيم واستضافة السنة الدولية الصينية للموسيقى السمفونية، والسنة الصينية الدولية للأوبرا والباليه، والسنة الصينية الدولية للفنون الجميلة، والسنة </w:t>
      </w:r>
      <w:r>
        <w:rPr>
          <w:rFonts w:hint="cs"/>
          <w:spacing w:val="4"/>
          <w:rtl/>
        </w:rPr>
        <w:t>الصينية الدولية للغناء والرقص الشعبي، وغير ذلك من الاحتفالات الدولية الفنية. وكذلك قامت، منذ عام 2000</w:t>
      </w:r>
      <w:r>
        <w:rPr>
          <w:rFonts w:hint="cs"/>
          <w:rtl/>
        </w:rPr>
        <w:t>، بتنظيم ثلاث احتفالات كبيرة تحت عنوان "لقاء في بيجين"، وهي تستمر في تنظيم مهرجان بيجين الدولي للموسيقي، ومهرجان هيباي ووتشياو للألعاب البهلوانية، ومهرجان شنغهاي الدولي للفنون والأفلام، ومهرجان تشناغتشون للأفلام، وغير ذلك من التظاهرات الدولية الثقافية والفنية.</w:t>
      </w:r>
    </w:p>
    <w:p w:rsidR="00000000" w:rsidRDefault="00000000">
      <w:pPr>
        <w:spacing w:line="380" w:lineRule="exact"/>
        <w:jc w:val="both"/>
        <w:rPr>
          <w:rFonts w:hint="cs"/>
          <w:rtl/>
        </w:rPr>
      </w:pPr>
      <w:r>
        <w:rPr>
          <w:rFonts w:hint="cs"/>
          <w:rtl/>
        </w:rPr>
        <w:t>263-</w:t>
      </w:r>
      <w:r>
        <w:rPr>
          <w:rFonts w:hint="cs"/>
          <w:rtl/>
        </w:rPr>
        <w:tab/>
        <w:t>وتشجع الصين العاملين في مجالي الثقافة والفنون على السفر إلى الخارج وحضور المؤتمرات والندوات الثقافية الدولية. والصين عضو في منظمة الأمم المتحدة للتربية والعلم والثقافة (اليونسكو)، والمنظمة العالمية للملكية الفكرية، ومؤسسة آسيا - أوروبا، وأكثر من 30 منظمة ومؤسسة دولية هامة في مجال الثقافة وكافة فروع الفن. وفي عام 2001، حضر وفد ثقافي من حكومة الصين المؤتمر الدولي الثاني للثقافة والتنمية، الذي اشتركت في تنظيمه وزارة الثقافة الكوبية واليونسكو. وحضرت الوفود الثقافية الصينية، في عام 2002، مؤتمر عمان الدولي للمنظمة العالمية للملكية الفكرية، واجتماع الدائرة المستديرة الثالث لوزراء الثقافة الذي عقدته اليونسكو، والاجتماع الوزاري الخامس للشبكة الدولية المعنية بالسياسة الثقافية، المعقود في جنوب أفريقيا.</w:t>
      </w:r>
    </w:p>
    <w:p w:rsidR="00000000" w:rsidRDefault="00000000">
      <w:pPr>
        <w:spacing w:line="380" w:lineRule="exact"/>
        <w:jc w:val="both"/>
        <w:rPr>
          <w:rFonts w:hint="cs"/>
          <w:rtl/>
        </w:rPr>
      </w:pPr>
      <w:r>
        <w:rPr>
          <w:rFonts w:hint="cs"/>
          <w:rtl/>
        </w:rPr>
        <w:t>264-</w:t>
      </w:r>
      <w:r>
        <w:rPr>
          <w:rFonts w:hint="cs"/>
          <w:rtl/>
        </w:rPr>
        <w:tab/>
        <w:t>ويعتبر تطوير العلم والتكنولوجيا حاسماً لتحسين نوعية الحياة ولتعزيز وحماية حقوق الإنسان وتحقيق المساواة على الصعيد العالمي. والشعار القائل "</w:t>
      </w:r>
      <w:r>
        <w:rPr>
          <w:rFonts w:hint="cs"/>
          <w:i/>
          <w:iCs/>
          <w:rtl/>
        </w:rPr>
        <w:t>في تأسيس الاشتراكية الحديثة الأولوية لتطوير العلوم والتكنولوجيا</w:t>
      </w:r>
      <w:r>
        <w:rPr>
          <w:rFonts w:hint="cs"/>
          <w:rtl/>
        </w:rPr>
        <w:t>" هو الخيار الرشيد الذي اختارته حكومة الصين، ولقد تم، في 2 تموز/يوليه 1993 خلال الدورة الثانية التي عقدتها اللجنة الدائمة للمؤتمر الوطني الشعبي الثامن، الاعتراف بهذه السياسة بإصدار قانون التقدم العلمي والتكنولوجي.</w:t>
      </w:r>
    </w:p>
    <w:p w:rsidR="00000000" w:rsidRDefault="00000000">
      <w:pPr>
        <w:spacing w:line="380" w:lineRule="exact"/>
        <w:jc w:val="both"/>
        <w:rPr>
          <w:rFonts w:hint="cs"/>
          <w:rtl/>
        </w:rPr>
      </w:pPr>
      <w:r>
        <w:rPr>
          <w:rFonts w:hint="cs"/>
          <w:rtl/>
        </w:rPr>
        <w:t>265-</w:t>
      </w:r>
      <w:r>
        <w:rPr>
          <w:rFonts w:hint="cs"/>
          <w:rtl/>
        </w:rPr>
        <w:tab/>
        <w:t>وتشجع الصين بهمة ونشاط على خلق مناخ اجتماعي مؤات للعلوم، وتسعى إلى استئصال أي نوع من أنواع الإحساس المناوئ للعلم الذي قد يؤثر في الأنشطة العلمية والتكنولوجية. فتضمن بهذا الأسلوب اتباع نهج علمي في ميدان العلوم والتكنولوجيا وتنويع أساليب البحث، مما يساعد على النهوض بالعلوم والتكنولوجيا الصينية إلى مستوى العالم الراقي. ويُعزَّز الوعي العلمي والتكنولوجي على الصعيد الوطني لما له من أهمية في التشجيع على إحراز تقدم ورفع مستوى الثقافة العامة بين العمال.</w:t>
      </w:r>
    </w:p>
    <w:p w:rsidR="00000000" w:rsidRDefault="00000000">
      <w:pPr>
        <w:spacing w:line="380" w:lineRule="exact"/>
        <w:jc w:val="both"/>
        <w:rPr>
          <w:rFonts w:hint="cs"/>
          <w:rtl/>
        </w:rPr>
      </w:pPr>
      <w:r>
        <w:rPr>
          <w:rFonts w:hint="cs"/>
          <w:rtl/>
        </w:rPr>
        <w:t>266-</w:t>
      </w:r>
      <w:r>
        <w:rPr>
          <w:rFonts w:hint="cs"/>
          <w:rtl/>
        </w:rPr>
        <w:tab/>
        <w:t>وتتمتع معاهد البحث والتطوير، على النحو المنصوص عليه في القوانين الوطنية، بالاستقلال في أبحاثها وفي إدارة منتجاتها واستخدام أموالها وكذلك في هياكلها المؤسسية والممارسات التي تتبعها لتعيين موظفيها. ويجوز لتلك المؤسسات أن تتخذ، بالإضافة إلى ذلك، أي إجراء تجيزه القوانين لجمع أموال من المجتمع تُكَرَّس للبحث والتطوير، بغية تعزيز وصون التقدم في مجال العلوم والتكنولوجيا بدون أي عائق. وينص القانون الصيني على أن العاملين في مجال العلوم والتكنولوجيا يتمتعون بحق تأسيس منظمات علمية وتقنية قانونية أو الالتحاق بتلك المنظمات. وقد يكون لهذه المنظمات أثر إيجابي في تنمية الاختصاصات العلمية، ونشر المعلومات العلمية والتقنية، وتدريب الموظفين المتخصصين، وتنمية الخدمات الاستشارية، وتعزيز المبادلات الأكاديمية، وحماية الحقوق والمصالح القانونية للعاملين في تلك المجالات.</w:t>
      </w:r>
    </w:p>
    <w:p w:rsidR="00000000" w:rsidRDefault="00000000">
      <w:pPr>
        <w:spacing w:line="380" w:lineRule="exact"/>
        <w:jc w:val="both"/>
        <w:rPr>
          <w:rFonts w:hint="cs"/>
          <w:rtl/>
        </w:rPr>
      </w:pPr>
      <w:r>
        <w:rPr>
          <w:rFonts w:hint="cs"/>
          <w:rtl/>
        </w:rPr>
        <w:t>267-</w:t>
      </w:r>
      <w:r>
        <w:rPr>
          <w:rFonts w:hint="cs"/>
          <w:rtl/>
        </w:rPr>
        <w:tab/>
        <w:t>ويبين الدستور الصيني وقانون التقدم العلمي والتكنولوجي بوضوح المركز الاجتماعي وحقوقاً معينة مثل ظروف العمل والمعيشة الواجب توفيرها للعاملين في تلك المجالات. وتسعى الحكومة والمؤسسات والمنظمات بكافة مستوياتها إلى زيادة معاشات واستحقاقات العاملين في مجال العلوم والتكنولوجيا زيادة تدريجية وتحسين ظروف عملهم ومعيشتهم، وتقديم معاشات واستحقاقات سخية للعاملين المتفوقين في عملهم. وتسعى تلك الجهات لخلق الظروف المؤاتية لإتاحة الفرصة لهؤلاء العاملين بالتنقل بصورة معقولة بغية الاستفادة إلى أكبر حد من مؤهلاتهم وتخصصاتهم. وتمنح، في الوقت نفسه، علاوات خاصة، بموجب التنظيمات الحكومية، للعاملين في مجال العلوم والتكنولوجيا الذين يسهمون في الأبحاث النظرية والأبحاث التطبيقية والأبحاث في مجال التكنولوجيا المتقدمة؛ وللعاملين في مشاريع الهندسة والبناء الكبرى؛ والعاملين في مجال الأبحاث والدراسات الريادية التي تعود بمنفعة كبيرة على المجتمع؛ وكذلك للعاملين الذين يكلفون بالعمل في المناطق الريفية الفقيرة أو في مناطق الأقليات القومية أو الذين يقومون بعملهم في بيئة غير مؤاتية أو محفوفة بالمخاطر.</w:t>
      </w:r>
    </w:p>
    <w:p w:rsidR="00000000" w:rsidRDefault="00000000">
      <w:pPr>
        <w:spacing w:line="380" w:lineRule="exact"/>
        <w:jc w:val="both"/>
        <w:rPr>
          <w:rFonts w:hint="cs"/>
          <w:rtl/>
        </w:rPr>
      </w:pPr>
      <w:r>
        <w:rPr>
          <w:rFonts w:hint="cs"/>
          <w:rtl/>
        </w:rPr>
        <w:t>268-</w:t>
      </w:r>
      <w:r>
        <w:rPr>
          <w:rFonts w:hint="cs"/>
          <w:rtl/>
        </w:rPr>
        <w:tab/>
        <w:t>وقامت الصين منذ بداية عهد الإصلاحات الليبرالية بإصدار وتنقيح مجموعات عديدة من التنظيمات لتقديم حوافز مادية للعاملين في مجال العلوم والتكنولوجيا، وهي تشمل: تنظيمات بشأن مكافأة الاختراعات، وبشأن منح مكافآت في مجال العلوم الطبيعية، والتقدم المحرز في ميدان العلوم والتكنولوجيا، والاقتراحات المنطقية والابتكارات التكنولوجية، وما شابه ذلك. ويقنن قانون التقدم في مجال العلوم والتكنولوجيا الممارسة التي تتبعها الصين بمنح مثل تلك الحوافز، ويكرس هذا المبدأ في القانون. وأصدر مجلس الدولة في عام 1999 تنظيمات بشأن المكافآت الوطنية المقدمة في مجال العلوم والتكنولوجيا، عدَّلت نظام المكافآت وزادت المكافآت المقدمة للأفراد الذين يحققون إنجازات كبيرة تنهض بالعلوم والتكنولوجيا أو ينشرون المعرفة في هذين المجالين. فيمنح كل فائز بأعلى جائزة وطنية تمنح في مجال العلوم والتكنولوجيا، 5 ملايين يوان، على سبيل المثال، بينما تبلغ المكافآت الوطنية من الدرجة الأولى الممنوحة للعلوم الطبيعية، ومكافآت الاختراعات التكنولوجية، ومكافآت التقدم العلمي والتكنولوجي، 000 90 يوان لكل مكافأة من بينها، ويمنح 000 60 يوان للمكافآت النظيرة من الدرجة الثانية.</w:t>
      </w:r>
    </w:p>
    <w:p w:rsidR="00000000" w:rsidRDefault="00000000">
      <w:pPr>
        <w:spacing w:line="380" w:lineRule="exact"/>
        <w:jc w:val="both"/>
        <w:rPr>
          <w:rFonts w:hint="cs"/>
          <w:rtl/>
        </w:rPr>
      </w:pPr>
      <w:r>
        <w:rPr>
          <w:rFonts w:hint="cs"/>
          <w:rtl/>
        </w:rPr>
        <w:t>269-</w:t>
      </w:r>
      <w:r>
        <w:rPr>
          <w:rFonts w:hint="cs"/>
          <w:rtl/>
        </w:rPr>
        <w:tab/>
        <w:t>ويعتبر التبادل والتعاون في المجالين العلمي والتكنولوجي مع الحكومات الأجنبية والمنظمات الدولية من أفضل الوسائل لتشجيع مؤسسات البحث والتطوير ومعاهد التعليم العالي والمنظمات الاجتماعية والعاملين في المجالات العلمية على إقامة شتى أنواع العلاقات التعاونية مع نظائرهم في الخارج. ولقد أنشأت الحكومة مكافأة دولية في مجال التعاون العلمي والتكنولوجي تُمْنَح لعالم أجنبي أسْهَمَ مساهمة كبيرة في تطور العلم والحضارة البشرية في إطار التبادل والتعاون العلميين على الصعيد الدولي.</w:t>
      </w:r>
    </w:p>
    <w:p w:rsidR="00000000" w:rsidRDefault="00000000">
      <w:pPr>
        <w:spacing w:line="380" w:lineRule="exact"/>
        <w:jc w:val="both"/>
        <w:rPr>
          <w:rFonts w:hint="cs"/>
          <w:rtl/>
        </w:rPr>
      </w:pPr>
      <w:r>
        <w:rPr>
          <w:rFonts w:hint="cs"/>
          <w:rtl/>
        </w:rPr>
        <w:t>270-</w:t>
      </w:r>
      <w:r>
        <w:rPr>
          <w:rFonts w:hint="cs"/>
          <w:rtl/>
        </w:rPr>
        <w:tab/>
        <w:t xml:space="preserve">ولقد استثمرت حكومة الصين موارد لبناء عدد كبير من المرافق الأساسية وجعل العلوم في متناول مدارك الجمهور. فبلغ عدد المراكز العلمية والتكنولوجية في الصين 425 مركزاً بحلول عام 2000، وذلك يشمل المركز الوطني للعلوم والتكنولوجيا، و29 مؤسسة مشابهة على مستوى المقاطعات. وتم تعيين زهاء 100 من المراكز لتعليم العلوم والتكنولوجيا للشباب، كما تم تعيين 200 مركز وطني شعبي للتثقيف في مجال العلوم والتكنولوجيا. وتعمل تلك الجهات بالتعاون مع المؤسسات الكبرى على إعداد المعارض وتقديم التقارير وعقد الحلقات الدراسية والدورات التدريبية والقيام بالتجارب وبأنشطة أخرى. ولقد كان لها أثر بارز في جعل المعارف العلمية في متناول مدارك الجمهور وفي نشر الفكر العلمي والنُهُج العلمية. وكذلك تنتج الصين وتنشر عدداً كبيراً للغاية من المجلات الدورية والكتب العلمية الشعبية: فيتم على الصعيد الوطني نشر زهاء 300 مجلة دورية علمية وهندسية وزراعية وطبية ذات فائدة عامة موجهة لمختلف الطبقات الاجتماعية والمهن. ونشرت الصين في غضون الثمانينات زهاء 000 20 مؤلف علمي أي بمعدّل 000 2 مؤلف في السنة، وكان 23 في المائة من تلك المؤلفات يتصل بالعلوم الأساسية، بينما كانت حصة تكنولوجيا الهندسة تبلغ 29 في المائة، وحصة التكنولوجيا الزراعية 20 في المائة، وبلغت نسبة المنشورات الطبية والصحية 12 في المائة، ونسبة المواد المشتركة بين الاختصاصات والمتعددة التخصصات 16 في المائة. وازداد، بعد عام 1990، عدد المنشورات العلمية ليبلغ 000 4 مؤلف سنوياً في المعدل، وهو يتراوح الآن بين 000 7 و000 8 مؤلف سنوياً. ويوجد أيضاً زهاء 200 صحيفة علمية وتكنولوجية وأكثر من 300 مجلة؛ وفي نفس الوقت، أضافت صحف ومجلات دورية أخرى عديدة إلى أعدادها </w:t>
      </w:r>
      <w:r>
        <w:rPr>
          <w:rFonts w:hint="cs"/>
          <w:spacing w:val="4"/>
          <w:rtl/>
        </w:rPr>
        <w:t>أجزاءً علمية مفعمة بالحياة ومثيرة للاهتمام ومفيدة بمعلوماتها. وبدأت صحف عديدة كبيرة الحجم تنشر من جديد</w:t>
      </w:r>
      <w:r>
        <w:rPr>
          <w:rFonts w:hint="cs"/>
          <w:rtl/>
        </w:rPr>
        <w:t xml:space="preserve"> ، أو تشرع في نشر ملحقات علمية خاصة، بل وحتى أعداداً خاصة. ووسعت بعض الصحف العلمية والمهنية حجم ملحقاتها المخصصة للعلوم أو زادت الأعداد المنشورة، ويمكن لكل واحدة من بينها أن تفتخر بأن لها جمعاً غفيراً من القراء المتحمسين والمخلصين.</w:t>
      </w:r>
    </w:p>
    <w:p w:rsidR="00000000" w:rsidRDefault="00000000">
      <w:pPr>
        <w:spacing w:line="380" w:lineRule="exact"/>
        <w:jc w:val="both"/>
        <w:rPr>
          <w:rFonts w:hint="cs"/>
          <w:rtl/>
        </w:rPr>
      </w:pPr>
      <w:r>
        <w:rPr>
          <w:rFonts w:hint="cs"/>
          <w:rtl/>
        </w:rPr>
        <w:t>271-</w:t>
      </w:r>
      <w:r>
        <w:rPr>
          <w:rFonts w:hint="cs"/>
          <w:rtl/>
        </w:rPr>
        <w:tab/>
        <w:t>ولقد ازدادت البرامج الإذاعية العلمية من حيث العدد والمدة المكرسة لها، فغيرت عناوينها ووسعت مضمونها. وأنشأت، بالإضافة إلى ذلك، أنواعاً عديدة من الخطوط الهاتفية المباشرة والخدمات الاستشارية، فحولت بالتالي أسلوب الاتصال الأحادي الاتجاه إلى تدفق ثنائي الاتجاه للمعلومات، ووفرت إيضاحات أكثر تعمقاً وحيوية لمسائل علمية موضوعية ذات أهمية عامة. وأصبحت بعض البرامج برامجَ مفضلة لدى المستمعين، حيث تبدأ الهواتف بالرنين كل بضع ثواني فور مباشرة البث وتنهال أسئلة المستمعين. وفي غضون السنوات العشرين والنيف منذ الشروع في الإصلاحات، بدأت القنوات الرئيسية في كافة المحطات التلفزيونية، تقريباً، في المقاطعات والمدن أو على مستويات أوسع تبث برامج علمية وتكنولوجية شعبية. وتم إنتاج الآلاف من الأفلام العلمية التثقيفية على المستوى الوطني. وأنتجت الصين خلال الفترة بين عامي 1950 و1978، ما يعادل 328 1 فيلماً علمياً تثقيفياً؛ وأنتجت خلال الفترة بين عامي 1979 و1993 ما يعادل 500 2 فيلم. وأنتج ستوديو بيجين للأفلام العلمية التثقيفية وحده أكثر من 900 فيلم خلال الفترة بين عامي 1960 و1996. وأنشأت الصين أكثر من 100 موقع علمي شعبي على شبكة الإنترنت والعشرات من الأفلام الأخرى ذات الطابع المتخصص.</w:t>
      </w:r>
    </w:p>
    <w:p w:rsidR="00000000" w:rsidRDefault="00000000">
      <w:pPr>
        <w:spacing w:line="380" w:lineRule="exact"/>
        <w:jc w:val="both"/>
        <w:rPr>
          <w:rFonts w:hint="cs"/>
          <w:rtl/>
        </w:rPr>
      </w:pPr>
      <w:r>
        <w:rPr>
          <w:rFonts w:hint="cs"/>
          <w:rtl/>
        </w:rPr>
        <w:t>272-</w:t>
      </w:r>
      <w:r>
        <w:rPr>
          <w:rFonts w:hint="cs"/>
          <w:rtl/>
        </w:rPr>
        <w:tab/>
        <w:t>وأصبحت الأحياء في جميع أرجاء البلد تزود نفسها بصورة متزايدة بشوارع تجارية لبيع منتجات تتعلق بالعلوم، وتنشئ حدائق تثقيفية في مجال العلوم والحضارات، وشوارع للترفيه بتناول مواضيع علمية، ولجان مؤلفة من المقيمين في تلك الأحياء معنية بمسائل علمية وحضارية، وشوارع لنشر المعلومات العلمية، ولوحات لتعليق النشرات العلمية، وتشجع أسراً مثالية تهتم بالعلوم. ولقد أُدرج التوجه العلمي لبعض الأحياء في أعمال الحكومة بالتخطيط الموحد والموافقة، بأسلوب سمح بتغلغل تعميم العلوم في كل شبكة من شبكات الخدمات الاجتماعية. وتُنَسَّق تلك التدابير المشجِّعة للعلوم والمتخذة على صعيد الأحياء الحضرية تنسيقاً دقيقاً مع دراسات المقيمين في تلك الأحياء ومع أساليب معيشتهم وعملهم؛ وتُشرِك المحاضرات والمعارض والدورات التدريبية والمسابقات ذات الصلة والرحلات العلمية، وما شابه ذلك من أنشطة، المقيمين في تلك الأحياء إشراكاً كبيراً في إشاعة العلوم. ويتم، في نفس الوقت، إعداد صفوف علمية وتمارين قائمة على أساس علمي للمتقاعدين لكي يكون لهم دور في التشجيع على وضع العلوم في متناول الجميع.</w:t>
      </w:r>
    </w:p>
    <w:p w:rsidR="00000000" w:rsidRDefault="00000000">
      <w:pPr>
        <w:spacing w:line="380" w:lineRule="exact"/>
        <w:jc w:val="both"/>
        <w:rPr>
          <w:rFonts w:hint="cs"/>
          <w:rtl/>
        </w:rPr>
      </w:pPr>
      <w:r>
        <w:rPr>
          <w:rFonts w:hint="cs"/>
          <w:rtl/>
        </w:rPr>
        <w:t>273-</w:t>
      </w:r>
      <w:r>
        <w:rPr>
          <w:rFonts w:hint="cs"/>
          <w:rtl/>
        </w:rPr>
        <w:tab/>
        <w:t>ولرفع مستوى المعايير العلمية بين المزارعين الصينيين أعملت اللجنة الوطنية للعلوم، في عام 1986، الخطة الأولى للتنمية الاقتصادية الريفية القائمة على أساس العلوم والتكنولوجيا وهي "خطة الشهاب". وشجعت الخطة، عندما جلبت التكنولوجيا المتطورة إلى المجتمعات الريفية، مئات الملايين من الفلاحين على الاعتماد على التكنولوجيا لتنمية الاقتصاد الريفي، كما ساعدت على توجيه التقدم التكنولوجي في المؤسسات الريفية، وعززت بصفة عامة قدرات العمال الريفيين، وشجعت التنمية الزراعية المستديمة والسريعة والسليمة والاقتصاد الريفي. وتم الشروع، بحلول نهاية عام 1995، في تطبيق نحو 736 66 مشروعاً في إطار خطة الشهــاب على الصعيد الوطني، واستكمل من بينها 254 35 مشروعاًَ. وبلغت الاستثمارات الإجمالية 93.76 من مليارات اليوان وكانت المشاريع قيد التنفيذ في أكثر من 85 في المائة من أقاليم البلد. وبلغت قيمة الإنتاج بفضل مشاريع خطة الشهاب في عام 1995 ما يعادل 268.27 من مليارات اليوان، مما سمح بجني 47.39 من مليارات اليوان من الإيرادات الضريبية وتحقيق ربح قدره 8.89 من مليارات دولارات الولايات المتحدة بالعملة الأجنبية. وقامت 10 إدارات حكومية بتنظيم حملة مشتركة في مجالات الثقافة والتكنولوجيا والمرافق الصحية في المناطق الريفية، جمعت بين علماء التكنولوجيا من جميع الأنواع والمستويات، وبين الإدارات التقنية والزراعية، والجمعية الصينية للعلوم والتكنولوجيا. ولقد شملت هذه الحملة مناطق ريفية نائية وعلَّمت المزارعين أساليب تكنولوجية، ووفرت التدريب، وعلَّمت السكان كيف يعيشون حياة منتجة، وروَّجت المعارف العلمية بينهم. وتفيد إحصاءات غير كاملة بأنه أجري، بحلول عام 1998، زهاء 000 962 زيارة تكنولوجية إلى المناطق الريفية، وأنه تم توزيع 47.79 مليون وحدة من المعدات التكنولوجية مجانا،ً وبأنه تم عقد 000 496 اجتماع تقني، وأن أكثر من 95 مليون مزارع حضروا دورات التدريب التكنولوجي، وأنه تم تدريب مليون شخص من التقنيين الريفيين. وارتفع إسهام تقدم تكنولوجيا الزراعة في نمو الاقتصاد الزراعي من 34.28 في المائة في عام 1995 إلى قرابة 40 في المائة في عام 1998.</w:t>
      </w:r>
    </w:p>
    <w:p w:rsidR="00000000" w:rsidRDefault="00000000">
      <w:pPr>
        <w:spacing w:line="380" w:lineRule="exact"/>
        <w:jc w:val="both"/>
        <w:rPr>
          <w:rFonts w:hint="cs"/>
          <w:rtl/>
        </w:rPr>
      </w:pPr>
      <w:r>
        <w:rPr>
          <w:rFonts w:hint="cs"/>
          <w:rtl/>
        </w:rPr>
        <w:t>274-</w:t>
      </w:r>
      <w:r>
        <w:rPr>
          <w:rFonts w:hint="cs"/>
          <w:rtl/>
        </w:rPr>
        <w:tab/>
        <w:t>وقدمت الحكومة في عام 1994 اقتراحات لتكثيف الجهود المبذولة لجعل العلوم والتكنولوجيا في متناول الجمهور، مبينة بوضوح عزمها على "تعميم التربية العلمية والثقافية وإرشاد السكان إلى استخدام أساليب علمية في مجال الإنتاج وطرق المعيشة"، وجعلت "مناصرة بناء حضارة مادية اشتراكية وحضارة روحية بالاعتماد على التقدم العلمي والتكنولوجي ونشر المعارف" واجباً هاماً. ونظَّمت الحكومة مؤتمراً مشتركاً لتعميم العلوم بمساهمة 19 إدارة، ووضع هذا المؤتمر البرنامج المعني بتعميم العلوم والتكنولوجيا ليدرج في الخطة الخمسية التاسعة، ويذكر في جملة الصكوك الرئيسية، برنامج العمل الموضوع للفترة 2000-2005 والمخصص لتعميم العلوم والتكنولوجيا، وبرنامج التطوير من أجل تعميم العلوم والتكنولوجيا، خلال الخطة الخمسية العاشرة. وقررت الحكومة في عام 2001 أن يكون الأسبوع الثالث من شهر أيار/مايو اعتباراً من ذلك العام "الأسبوع الوطني للعلوم والتكنولوجيا"، وهو أسبوع سيتم فيه الاضطلاع بأنشطة جماعية ذات طابع علمي. وعقدت الحكومة في الأعوام1996 و1999 و2002 مؤتمرات وطنية مخصصة لتعميم العلوم والتكنولوجيا، لتحديد ما ينبغي إنجازه من عمل على الصعيد الوطني، وتعيين الأهداف والأغراض المنشودة، وتسمية السلطات المسؤولة، والحث على التنفيذ باتباع أسلوب موحد. وأصدرت الحكومة، في 29 حزيران/يونيه 2002، القانون الخاص بتعميم العلوم والتكنولوجيا لإضفاء طابع قانوني على الجهود المبذولة في ذلك المجال وتعزيز وضبط تنظيم الأنشطة ذات الصلة وفقاً لأحكام القانون.</w:t>
      </w:r>
    </w:p>
    <w:p w:rsidR="00000000" w:rsidRDefault="00000000">
      <w:pPr>
        <w:spacing w:line="380" w:lineRule="exact"/>
        <w:jc w:val="both"/>
        <w:rPr>
          <w:rFonts w:hint="cs"/>
          <w:rtl/>
        </w:rPr>
      </w:pPr>
      <w:r>
        <w:rPr>
          <w:rFonts w:hint="cs"/>
          <w:rtl/>
        </w:rPr>
        <w:t>275-</w:t>
      </w:r>
      <w:r>
        <w:rPr>
          <w:rFonts w:hint="cs"/>
          <w:rtl/>
        </w:rPr>
        <w:tab/>
        <w:t xml:space="preserve">ولقد زادت الإدارة المالية المركزية استثماراتها لتعميم العلوم، كما خصصت إدارات أخرى أموالاً لتحقيق هذا الغرض في المجالات المشمولة في مسؤولياتها. وزادت الحكومات المحلية ميزانياتها المخصصة لهذا الغرض بصورة ملموسة، وزادت الحكومات بكافة مستوياتها استثماراتها في بناء مراكز للعلوم والتكنولوجيا وما يتصل بها من مرافق. واستثمرت حكومة الصين، منذ الخطة الخمسية السابعة، 3 مليارات ونيف من اليوان في بناء مراكز للعلوم والتكنولوجيا في جميع أرجاء البلد. وبعض هذه المراكز، مثل المركز الصيني للعلوم والتكنولوجيا ومركز تيان جين للعلوم والتكنولوجيا، مطابق للمعايير الدولية. </w:t>
      </w:r>
    </w:p>
    <w:p w:rsidR="00000000" w:rsidRDefault="00000000">
      <w:pPr>
        <w:spacing w:line="380" w:lineRule="exact"/>
        <w:jc w:val="both"/>
        <w:rPr>
          <w:rFonts w:hint="cs"/>
          <w:rtl/>
        </w:rPr>
      </w:pPr>
      <w:r>
        <w:rPr>
          <w:rFonts w:hint="cs"/>
          <w:rtl/>
        </w:rPr>
        <w:t>276-</w:t>
      </w:r>
      <w:r>
        <w:rPr>
          <w:rFonts w:hint="cs"/>
          <w:rtl/>
        </w:rPr>
        <w:tab/>
        <w:t>ومنذ تاريخ تأسيس مؤسسة العلوم الصينية في عام 1950 (وهي سلف الجمعية الصينية الحالية للعلوم والتكنولوجيا)، قامت المنظمات العلمية الصينية بعدد متنوع من الحملات لتعميم العلوم والتكنولوجيا. ولقد شملت تلك الحملات برامج مخصصة لسكان البلد الريفيين، البالغ عددهم 900 مليون نسمة، كبرنامج "نقل التكنولوجيا إلى الأرياف" وبرنامج "شتاء العلوم"، كما شملت برامج مخصصة للشباب مثل "حملة نشر العلوم"، ومسابقة الابتكارات العلمية والتكنولوجية، والمخيمات الصيفية والشتوية المخصصة لمواضيع علمية، وبرامج محاضرات مخصصة لكبار المسؤولين في الدولة، كسلسلة "مائة تقرير من مائة أكاديمي"، وغير ذلك من الحلقات الدراسية والمحاضرات. وتناولت حملة الألف مصنع والألف ناد الابتكارات التكنولوجية في المؤسسات الصناعية الكبيرة في البلد، بينما أنشأت الأكاديميات الوطنية خدمات استشارية وتشخيصية ولتحديد مواطن الخلل وإصلاحها، تستفيد منها شركات القطاع العام. ولقد أسهمت هذه المبادرات جميعاً مساهمة كبيرة في زيادة الوعي العلمي لدى الجماهير، كما ساعدت على خلق جو اجتماعي مؤاتي عموماً ومفعم بالاحترام للعلوم وبالثقة بها.</w:t>
      </w:r>
    </w:p>
    <w:p w:rsidR="00000000" w:rsidRDefault="00000000">
      <w:pPr>
        <w:spacing w:line="380" w:lineRule="exact"/>
        <w:jc w:val="both"/>
        <w:rPr>
          <w:rFonts w:hint="cs"/>
          <w:spacing w:val="0"/>
          <w:rtl/>
        </w:rPr>
      </w:pPr>
      <w:r>
        <w:rPr>
          <w:rFonts w:hint="cs"/>
          <w:rtl/>
        </w:rPr>
        <w:t>277-</w:t>
      </w:r>
      <w:r>
        <w:rPr>
          <w:rFonts w:hint="cs"/>
          <w:rtl/>
        </w:rPr>
        <w:tab/>
      </w:r>
      <w:r>
        <w:rPr>
          <w:rFonts w:hint="cs"/>
          <w:spacing w:val="0"/>
          <w:rtl/>
        </w:rPr>
        <w:t>ولقد أولى المجمع العلمي الصيني خلال السنوات الخمسين الماضية اهتماماً كبيراً لتعميم العلوم، كما باشر مشاريع عديدة للغاية اندمجت في نظام يشمل التدبير والأبحاث ونشر المعلومات والتثقيف في المجالات المتصلة بالعلوم. وتنطوي مبادرات المجمع على وضع "مؤشرات ونماذج لمرافق الأبحاث التي تسعى لتعميم العلوم" "ودراسات ونماذج لتعميم العلوم في أماكن السفر المقصودة على الصعيد الوطني"، وغير ذلك من المشاريع التجريبية. وقدم اقتراحات بشأن إنشاء مرافق عامة للعلوم في المجامع العلمية الصينية والحدائق المخصصة لمختلف أنواع النباتات، وغير ذلك من صكوك السياسة العامة، ودرَّب العديد من العلماء الذين يعملون على تعميم العلوم. وأنشأ حدائق لمختلف أنواع النباتات في بيجين وفي ووهان وكونمينغ، ومتحفاً في جوار موقع "رجل بكين" لما قبل التاريخ الموجود في جوكوديان، والحوض المائي للدلفين الأبيض "الراية البيضاء" في ووهان، ومركز المجمع العلمي لبيانات الشبكة الحاسوبية، ومرصد تشانغ تشون للسواتل الاصطناعية، ومواقع أخرى عديدة</w:t>
      </w:r>
      <w:r>
        <w:rPr>
          <w:rFonts w:hint="cs"/>
          <w:rtl/>
        </w:rPr>
        <w:t xml:space="preserve"> </w:t>
      </w:r>
      <w:r>
        <w:rPr>
          <w:rFonts w:hint="cs"/>
          <w:spacing w:val="0"/>
          <w:rtl/>
        </w:rPr>
        <w:t xml:space="preserve">تفيد في تثقيف عامة الناس في مجال العلوم. وبدأ المجمع العلمي يضطلع بأنشطة مثل "دخول قصر العلوم" و"النهوض بالعلوم، والقضاء على الخرافات، والعبادات المؤذية، ونظم معارض وحلقات دراسية بشأن "الحياة والتطور"، "والكون والأرض والحياة" و"عالم الجزيئات الغامض". ويقوم بنشر مجلات مثل مجلة "ناسيونال جيوغرافيك" بالصينية، و"المتحمس للحاسوب"، و"عالم نيوتن العلمي" وغيرها من المجلات الدورية، وهو ينشر أكثر من 000 4 كتاب علمي شعبي، ومنتجات سمعية بصرية. ويشجع المجمع العلماء، في نفس الوقت، على المشاركة في عدد متنوع من الأنشطة الثقافية الشعبية وينظم أمورهم، ويُذْكَر من بين تلك الأنشطة سلسلة المحاضرات العلمية التي ألقيت في 10 مدن خلال الفترة بين عامي 1996 و1998 تحت عنوان "المائة أكاديمي"، ونشر سلسلة كتب الأكاديميين العلمية، التي صدر منها 50 كتاباً. ويستغل المجمع فرصة العطل المدرسية الصيفية والشتوية، فضلاً عن العطل الرسمية، لتنظيم مخيمات للعلوم والتكنولوجيا مخصصة للشباب، كما يُعِدُّ معارض وحلقات دراسية ومسابقات وينظم زيارات للمرافق العلمية. </w:t>
      </w:r>
    </w:p>
    <w:p w:rsidR="00000000" w:rsidRDefault="00000000">
      <w:pPr>
        <w:spacing w:line="380" w:lineRule="exact"/>
        <w:jc w:val="both"/>
        <w:rPr>
          <w:rFonts w:hint="cs"/>
          <w:rtl/>
        </w:rPr>
      </w:pPr>
      <w:r>
        <w:rPr>
          <w:rFonts w:hint="cs"/>
          <w:rtl/>
        </w:rPr>
        <w:t>278-</w:t>
      </w:r>
      <w:r>
        <w:rPr>
          <w:rFonts w:hint="cs"/>
          <w:rtl/>
        </w:rPr>
        <w:tab/>
        <w:t>ويحفز ربط التثقيف العلمي الشعبي بالتدريب المهني، وببناء ثقافات مؤسسية، وإقامة حملات جماهيرية للابتكارات التكنولوجية، ورفع مستوى المعايير العلمية والتقنية بين العاملين، قدرة الإبداع التكنولوجي في المؤسسات. ويفيد دعم كافة أنواع العلوم الشعبية في المجتمع واللجوء إلى الحملات الإعلامية العلمية الموجَّهة إلى عامة الناس، في تكوين صورة جيدة عن المؤسسات وزيادة تقبل السكان لمنتجات التكنولوجيا المتقدمة.</w:t>
      </w:r>
    </w:p>
    <w:p w:rsidR="00000000" w:rsidRDefault="00000000">
      <w:pPr>
        <w:spacing w:line="380" w:lineRule="exact"/>
        <w:jc w:val="both"/>
        <w:rPr>
          <w:rFonts w:hint="cs"/>
          <w:rtl/>
        </w:rPr>
      </w:pPr>
      <w:r>
        <w:rPr>
          <w:rFonts w:hint="cs"/>
          <w:rtl/>
        </w:rPr>
        <w:t>279-</w:t>
      </w:r>
      <w:r>
        <w:rPr>
          <w:rFonts w:hint="cs"/>
          <w:rtl/>
        </w:rPr>
        <w:tab/>
      </w:r>
      <w:r>
        <w:rPr>
          <w:rFonts w:hint="cs"/>
          <w:spacing w:val="0"/>
          <w:rtl/>
        </w:rPr>
        <w:t>ولقد تم في عام 1988 إنشاء الصندوق الصيني لإنعاش العلوم والإنعاش الوطني (الذي سمي الآن الصندوق الصيني للنهوض بالعلم والتكنولوجيا)، كما تم إنشاء 64 صندوقاً خاصاً، من بينها صندوق غاو شيتشي الشعبي للعلوم، وصندوق ماو ييشنغ للنهوض بالعلم والتكنولوجيا، وصندوق سون يويتشي للتثقيف في مجال العلم والتكنولوجيا، وصندوق القرن الحادي والعشرين الصيني لتثقيف الشباب في مجال العلوم. ووفرت هذه الصناديق مجتمعة 555 3 من ملايين اليوان لكفالة 12 من المشاريع المخصصة في عام 2000 لتعميم العلوم، أي ما يعادل 7 في المائة من التمويل الخاص المقدم في تلك السنة. وتكشف تنمية الصناديق المخصصة لتعميم العلوم في الصين عن ظهور بعض الاتجاهات الجديدة. أحدها أن الاستثمار الوطني في الصناديق الهامة المخصصة للعلوم والتكنولوجيا يزيد من عدد المشاريع العلمية الشعبية. والثاني هو سعي الحكومات المحلية بنشاط إلى تشجيع تطوير الصناديق المخصصة لتعميم العلوم. أما الثالث، فهو أن كافة فئات المجتمع وفروع المؤسسات المحلية والأجنبية تستثمر بصورة نشطة في تلك الصناديق. وفي نفس الوقت، يبين الدعم الذي تقدمه اليونيسيف لحملات التثقيف الشعبية في مجال العلوم في 150 إقليماً فقيراً من أقاليم الصين أن تلك الحملات قادرة على أن تصل إلى عدد يساوي المليون من الشاب المقيمين في الأرياف وتفيدهم في كل سنة.</w:t>
      </w:r>
    </w:p>
    <w:p w:rsidR="00000000" w:rsidRDefault="00000000">
      <w:pPr>
        <w:spacing w:line="380" w:lineRule="exact"/>
        <w:jc w:val="both"/>
        <w:rPr>
          <w:rFonts w:hint="cs"/>
          <w:rtl/>
        </w:rPr>
      </w:pPr>
      <w:r>
        <w:rPr>
          <w:rFonts w:hint="cs"/>
          <w:rtl/>
        </w:rPr>
        <w:t>280-</w:t>
      </w:r>
      <w:r>
        <w:rPr>
          <w:rFonts w:hint="cs"/>
          <w:rtl/>
        </w:rPr>
        <w:tab/>
        <w:t>وسنت الهيئات التشريعية الصينية قوانين خاصة للتشجيع على تطبيق نتائج التطورات العلمية والتكنولوجية تطبيقاً أوسع نطاقاً. وتشمل تلك القوانين قانون تعزيز التكنولوجيا الزراعية، وقانون تحويل التطورات العلمية والتكنولوجية. وتمنح الحكومة مكافآت مادية للأفراد الذين يساهمون مساهمة ملموسة في التطور العلمي أو التكنولوجي أو في تحويله ليطبق على نطاق أوسع. ويتم أيضاً تشجيع تحويل التكنولوجيا المتطورة باتباع سياسات ضريبية تفضيلية، كإعفاء هيئات الأبحاث العلمية ومعاهد التعليم العالي من الضرائب التجارية المقتطعة عن أي دخل يُحقَّق بفضل تحويل التكنولوجيا. وكذلك تُمْنَح هيئات الأبحاث والمعاهد العليا إعفاءات ضريبية مؤقتة عن الدخل المحقق نتيجة تقديم خدمات من قبيل نقل التكنولوجيا، والتدريب التقني، وإسداء المشورة التكنولوجية، والتعاقد من الباطن على توفير التكنولوجيا، وما شابه ذلك من خدمات يمكن لتلك الهيئات أن توفرها للصناعة.</w:t>
      </w:r>
    </w:p>
    <w:p w:rsidR="00000000" w:rsidRDefault="00000000">
      <w:pPr>
        <w:spacing w:line="380" w:lineRule="exact"/>
        <w:jc w:val="both"/>
        <w:rPr>
          <w:rFonts w:hint="cs"/>
          <w:rtl/>
        </w:rPr>
      </w:pPr>
      <w:r>
        <w:rPr>
          <w:rFonts w:hint="cs"/>
          <w:rtl/>
        </w:rPr>
        <w:t>281-</w:t>
      </w:r>
      <w:r>
        <w:rPr>
          <w:rFonts w:hint="cs"/>
          <w:rtl/>
        </w:rPr>
        <w:tab/>
        <w:t>ويمكن لمؤسسات الأبحاث ومدارس التعليم العالي وللموظفين العاملين فيها أن يبحثوا بصفة مستقلة عن مؤسسات التكنولوجيا المتقدمة أو أن يحولوا التكنولوجيا لكي تستفيد منها الشركات الموجودة. ويجب على مؤسسات الأبحاث التي تُعِّين موظفيها عن طريق المسابقات أن تسمح للذين يتركون المؤسسة بتقديم طلب بردهم إلى وظيفتهم الأصلية في غضون مدة معينة من الزمن (سنتان عادة) ويجب أن يتقاضوا نفس المعاش الذي يتقاضاه زملاؤهم الذين لم يغادروا المؤسسة وأن يتعاقدوا على العمل بنفس الشروط. وتكون المؤسسة الموظِّفة مسؤولة مبدئياً عن دفع الأجور، واشتراكات التأمينات الصحية وضد الحوادث، وغير ذلك من البدلات المدفوعة للموظفين العاملين في مجال التكنولوجيا عندما يشغل هؤلاء وظائف في مؤسسة منافسة أو يغادرون المؤسسة.</w:t>
      </w:r>
    </w:p>
    <w:p w:rsidR="00000000" w:rsidRDefault="00000000">
      <w:pPr>
        <w:spacing w:line="380" w:lineRule="exact"/>
        <w:jc w:val="both"/>
        <w:rPr>
          <w:rFonts w:hint="cs"/>
          <w:spacing w:val="2"/>
          <w:rtl/>
        </w:rPr>
      </w:pPr>
      <w:r>
        <w:rPr>
          <w:rFonts w:hint="cs"/>
          <w:rtl/>
        </w:rPr>
        <w:t>282-</w:t>
      </w:r>
      <w:r>
        <w:rPr>
          <w:rFonts w:hint="cs"/>
          <w:rtl/>
        </w:rPr>
        <w:tab/>
        <w:t xml:space="preserve">ويشجَّع </w:t>
      </w:r>
      <w:r>
        <w:rPr>
          <w:rFonts w:hint="cs"/>
          <w:spacing w:val="2"/>
          <w:rtl/>
        </w:rPr>
        <w:t>الخبراء في مجال العلوم والتكنولوجيا على تأسيس شركات التكنولوجيا المتقدمة. ويُسمح لهم بإثبات جدارتهم شريطة أن يقوموا بتأسيس المؤسسة بصورة طوعية وبمبادرتهم الخاصة، وشريطة تَمكُّنهم من تجميع الرأس المال الضروري وتشغيل المؤسسة حسب ما يرونه مناسباً، وكذلك، شريطة أن يكونوا مسؤولين شخصياً عن الأرباح والخسائر، وقادرين على ضبط النفس وتحقيق تطورهم الشخصي. ويُسمَح لشركات القطاع العام والشركات الجماعية للتكنولوجيا المتقدمة بالاعتماد على أصولها الأساسية؛ وعندما تشكل تلك الشركات مؤسسة تعاونية يُسمح لموظفي الملاك بأن يصبحوا من الأعضاء المؤسسين للشركة الناجمة عن تلك العملية. وذلك يضمن استغلال الكفاءة الشخصية لهؤلاء المختصين في مجال التكنولوجيا إلى أقصى حد ممكن. ويُطلَب إلى الحكومات الإقليمية أن تقوم، بالتعاون مع المؤسسات ذات الصلة، بتدعيم مراكز توفير الخدمات لتنمية المؤسسات التجارية المعتمدة على التكنولوجيا المتقدمة (المعروفة "بحاضنات شركات التكنولوجيا المتقدمة") لمساعدة مؤسسات الأبحاث، ومدارس التعليم العالي، والموظفين العاملين فيها، على تأسيس شركات لتحويل التكنولوجيا، وذلك بإتاحة المواقع والمرافق والخدمات الضرورية.</w:t>
      </w:r>
    </w:p>
    <w:p w:rsidR="00000000" w:rsidRDefault="00000000">
      <w:pPr>
        <w:spacing w:line="380" w:lineRule="exact"/>
        <w:jc w:val="both"/>
        <w:rPr>
          <w:rFonts w:hint="cs"/>
          <w:spacing w:val="2"/>
          <w:rtl/>
        </w:rPr>
      </w:pPr>
      <w:r>
        <w:rPr>
          <w:rFonts w:hint="cs"/>
          <w:rtl/>
        </w:rPr>
        <w:t>283-</w:t>
      </w:r>
      <w:r>
        <w:rPr>
          <w:rFonts w:hint="cs"/>
          <w:rtl/>
        </w:rPr>
        <w:tab/>
      </w:r>
      <w:r>
        <w:rPr>
          <w:rFonts w:hint="cs"/>
          <w:spacing w:val="2"/>
          <w:rtl/>
        </w:rPr>
        <w:t>وتستخدم الحكومة آليات تنافسية لاختيار أفضل المرشحين لتدعيمهم وتوفر، من ثم، الاستثمارات والائتمانات والإعانات الرأسمالية ورساميل المشاريع لتدعيم مشاريع التحويل. ويجوز لمناطق محلية أن تقوم بتأسيس صناديق لتحويل التكنولوجيا أو لتدعيم المشاريع، شريطة مراعاة بعض الشروط والامتثال لقوانين الدولة. ويُتوقَّع من المصارف التجارية أن توفر القروض لشركات تحويل التكنولوجيا التي تستوفي الشروط المطلوبة للحصول على الائتمان.</w:t>
      </w:r>
    </w:p>
    <w:p w:rsidR="00000000" w:rsidRDefault="00000000">
      <w:pPr>
        <w:spacing w:before="120" w:after="120"/>
        <w:jc w:val="center"/>
        <w:rPr>
          <w:rFonts w:hint="cs"/>
          <w:b/>
          <w:bCs/>
          <w:sz w:val="32"/>
          <w:szCs w:val="32"/>
          <w:rtl/>
        </w:rPr>
      </w:pPr>
      <w:r>
        <w:rPr>
          <w:rtl/>
        </w:rPr>
        <w:br w:type="page"/>
      </w:r>
      <w:r>
        <w:rPr>
          <w:rFonts w:hint="cs"/>
          <w:b/>
          <w:bCs/>
          <w:rtl/>
        </w:rPr>
        <w:t>الجد</w:t>
      </w:r>
      <w:r>
        <w:rPr>
          <w:rFonts w:hint="cs"/>
          <w:b/>
          <w:bCs/>
          <w:sz w:val="32"/>
          <w:szCs w:val="32"/>
          <w:rtl/>
        </w:rPr>
        <w:t>اول</w:t>
      </w:r>
    </w:p>
    <w:p w:rsidR="00000000" w:rsidRDefault="00000000">
      <w:pPr>
        <w:spacing w:before="120" w:after="120"/>
        <w:jc w:val="center"/>
        <w:rPr>
          <w:rFonts w:hint="cs"/>
          <w:b/>
          <w:bCs/>
          <w:rtl/>
        </w:rPr>
      </w:pPr>
      <w:r>
        <w:rPr>
          <w:rFonts w:hint="cs"/>
          <w:b/>
          <w:bCs/>
          <w:rtl/>
        </w:rPr>
        <w:t>الجدول 1</w:t>
      </w:r>
    </w:p>
    <w:p w:rsidR="00000000" w:rsidRDefault="00000000">
      <w:pPr>
        <w:spacing w:before="120" w:after="120"/>
        <w:jc w:val="center"/>
        <w:rPr>
          <w:rFonts w:hint="cs"/>
          <w:b/>
          <w:bCs/>
          <w:rtl/>
        </w:rPr>
      </w:pPr>
      <w:r>
        <w:rPr>
          <w:rFonts w:hint="cs"/>
          <w:b/>
          <w:bCs/>
          <w:rtl/>
        </w:rPr>
        <w:t>سجلات الزواج والطلاق، 1985-2000</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0"/>
        <w:gridCol w:w="1800"/>
        <w:gridCol w:w="1800"/>
        <w:gridCol w:w="1440"/>
        <w:gridCol w:w="1620"/>
        <w:gridCol w:w="1212"/>
      </w:tblGrid>
      <w:tr w:rsidR="00443EC1" w:rsidTr="00443EC1">
        <w:tblPrEx>
          <w:tblCellMar>
            <w:top w:w="0" w:type="dxa"/>
            <w:bottom w:w="0" w:type="dxa"/>
          </w:tblCellMar>
        </w:tblPrEx>
        <w:trPr>
          <w:jc w:val="center"/>
        </w:trPr>
        <w:tc>
          <w:tcPr>
            <w:tcW w:w="1260" w:type="dxa"/>
          </w:tcPr>
          <w:p w:rsidR="00443EC1" w:rsidRDefault="00443EC1">
            <w:pPr>
              <w:spacing w:before="120" w:after="120" w:line="280" w:lineRule="exact"/>
              <w:jc w:val="center"/>
              <w:rPr>
                <w:rStyle w:val="FootnoteReference"/>
                <w:rFonts w:hint="cs"/>
                <w:bCs w:val="0"/>
                <w:vertAlign w:val="baseline"/>
              </w:rPr>
            </w:pPr>
            <w:r>
              <w:rPr>
                <w:rtl/>
              </w:rPr>
              <w:br/>
            </w:r>
            <w:r>
              <w:rPr>
                <w:rFonts w:hint="cs"/>
                <w:rtl/>
              </w:rPr>
              <w:br/>
            </w:r>
            <w:r>
              <w:rPr>
                <w:rtl/>
              </w:rPr>
              <w:br/>
            </w:r>
            <w:r>
              <w:rPr>
                <w:rFonts w:hint="cs"/>
                <w:rtl/>
              </w:rPr>
              <w:t>السنة</w:t>
            </w:r>
          </w:p>
        </w:tc>
        <w:tc>
          <w:tcPr>
            <w:tcW w:w="1800" w:type="dxa"/>
          </w:tcPr>
          <w:p w:rsidR="00443EC1" w:rsidRDefault="00443EC1">
            <w:pPr>
              <w:spacing w:before="120" w:after="120" w:line="280" w:lineRule="exact"/>
              <w:jc w:val="center"/>
              <w:rPr>
                <w:rStyle w:val="FootnoteReference"/>
                <w:rFonts w:hint="cs"/>
                <w:bCs w:val="0"/>
                <w:vertAlign w:val="baseline"/>
              </w:rPr>
            </w:pPr>
            <w:r>
              <w:rPr>
                <w:spacing w:val="0"/>
                <w:rtl/>
              </w:rPr>
              <w:br/>
            </w:r>
            <w:r>
              <w:rPr>
                <w:rFonts w:hint="cs"/>
                <w:spacing w:val="0"/>
                <w:rtl/>
              </w:rPr>
              <w:t>عدد الزيجات المسجلة</w:t>
            </w:r>
            <w:r>
              <w:rPr>
                <w:spacing w:val="0"/>
                <w:rtl/>
              </w:rPr>
              <w:br/>
            </w:r>
            <w:r>
              <w:rPr>
                <w:rFonts w:hint="cs"/>
                <w:rtl/>
              </w:rPr>
              <w:t>(بالأزواج)</w:t>
            </w:r>
          </w:p>
        </w:tc>
        <w:tc>
          <w:tcPr>
            <w:tcW w:w="1800" w:type="dxa"/>
          </w:tcPr>
          <w:p w:rsidR="00443EC1" w:rsidRDefault="00443EC1">
            <w:pPr>
              <w:spacing w:before="120" w:after="120" w:line="280" w:lineRule="exact"/>
              <w:jc w:val="center"/>
              <w:rPr>
                <w:rStyle w:val="FootnoteReference"/>
                <w:rFonts w:hint="cs"/>
                <w:bCs w:val="0"/>
                <w:vertAlign w:val="baseline"/>
              </w:rPr>
            </w:pPr>
            <w:r>
              <w:rPr>
                <w:rFonts w:hint="cs"/>
                <w:rtl/>
              </w:rPr>
              <w:br/>
            </w:r>
            <w:r>
              <w:rPr>
                <w:rtl/>
              </w:rPr>
              <w:br/>
            </w:r>
            <w:r>
              <w:rPr>
                <w:rFonts w:hint="cs"/>
                <w:rtl/>
              </w:rPr>
              <w:t>الزيجات الأولى (عدد الأفراد)</w:t>
            </w:r>
          </w:p>
        </w:tc>
        <w:tc>
          <w:tcPr>
            <w:tcW w:w="1440" w:type="dxa"/>
          </w:tcPr>
          <w:p w:rsidR="00443EC1" w:rsidRDefault="00443EC1">
            <w:pPr>
              <w:spacing w:before="120" w:after="120" w:line="280" w:lineRule="exact"/>
              <w:jc w:val="center"/>
              <w:rPr>
                <w:rStyle w:val="FootnoteReference"/>
                <w:rFonts w:hint="cs"/>
                <w:bCs w:val="0"/>
                <w:vertAlign w:val="baseline"/>
              </w:rPr>
            </w:pPr>
            <w:r>
              <w:rPr>
                <w:rFonts w:hint="cs"/>
                <w:rtl/>
              </w:rPr>
              <w:br/>
            </w:r>
            <w:r>
              <w:rPr>
                <w:rtl/>
              </w:rPr>
              <w:br/>
            </w:r>
            <w:r>
              <w:rPr>
                <w:rFonts w:hint="cs"/>
                <w:rtl/>
              </w:rPr>
              <w:t>الزيجات التالية (عدد الأفراد)</w:t>
            </w:r>
          </w:p>
        </w:tc>
        <w:tc>
          <w:tcPr>
            <w:tcW w:w="1620" w:type="dxa"/>
          </w:tcPr>
          <w:p w:rsidR="00443EC1" w:rsidRDefault="00443EC1">
            <w:pPr>
              <w:spacing w:before="120" w:after="120" w:line="280" w:lineRule="exact"/>
              <w:jc w:val="center"/>
              <w:rPr>
                <w:rStyle w:val="FootnoteReference"/>
                <w:rFonts w:hint="cs"/>
                <w:bCs w:val="0"/>
                <w:vertAlign w:val="baseline"/>
              </w:rPr>
            </w:pPr>
            <w:r>
              <w:rPr>
                <w:rtl/>
              </w:rPr>
              <w:br/>
            </w:r>
            <w:r>
              <w:rPr>
                <w:rFonts w:hint="cs"/>
                <w:rtl/>
              </w:rPr>
              <w:t>عدد حالات الطلاق</w:t>
            </w:r>
            <w:r>
              <w:rPr>
                <w:rtl/>
              </w:rPr>
              <w:br/>
            </w:r>
            <w:r>
              <w:rPr>
                <w:rFonts w:hint="cs"/>
                <w:rtl/>
              </w:rPr>
              <w:t>(الأزواج)</w:t>
            </w:r>
          </w:p>
        </w:tc>
        <w:tc>
          <w:tcPr>
            <w:tcW w:w="1212" w:type="dxa"/>
          </w:tcPr>
          <w:p w:rsidR="00443EC1" w:rsidRDefault="00443EC1">
            <w:pPr>
              <w:spacing w:before="120" w:after="120" w:line="280" w:lineRule="exact"/>
              <w:jc w:val="center"/>
              <w:rPr>
                <w:rStyle w:val="FootnoteReference"/>
                <w:rFonts w:hint="cs"/>
                <w:bCs w:val="0"/>
                <w:vertAlign w:val="baseline"/>
              </w:rPr>
            </w:pPr>
            <w:r>
              <w:rPr>
                <w:rFonts w:hint="cs"/>
                <w:rtl/>
              </w:rPr>
              <w:t>نسبة حالات الطلاق</w:t>
            </w:r>
            <w:r>
              <w:rPr>
                <w:rtl/>
              </w:rPr>
              <w:br/>
            </w:r>
            <w:r>
              <w:rPr>
                <w:rFonts w:hint="cs"/>
                <w:rtl/>
              </w:rPr>
              <w:t>(في الألف)</w:t>
            </w:r>
          </w:p>
        </w:tc>
      </w:tr>
      <w:tr w:rsidR="00443EC1" w:rsidTr="00443EC1">
        <w:tblPrEx>
          <w:tblCellMar>
            <w:top w:w="0" w:type="dxa"/>
            <w:bottom w:w="0" w:type="dxa"/>
          </w:tblCellMar>
        </w:tblPrEx>
        <w:trPr>
          <w:jc w:val="center"/>
        </w:trPr>
        <w:tc>
          <w:tcPr>
            <w:tcW w:w="1260" w:type="dxa"/>
          </w:tcPr>
          <w:p w:rsidR="00443EC1" w:rsidRDefault="00443EC1">
            <w:pPr>
              <w:spacing w:before="120" w:after="120" w:line="280" w:lineRule="exact"/>
              <w:jc w:val="both"/>
              <w:rPr>
                <w:rStyle w:val="FootnoteReference"/>
                <w:rFonts w:hint="cs"/>
                <w:bCs w:val="0"/>
                <w:vertAlign w:val="baseline"/>
              </w:rPr>
            </w:pPr>
            <w:r>
              <w:rPr>
                <w:rFonts w:hint="cs"/>
                <w:rtl/>
              </w:rPr>
              <w:t>1985</w:t>
            </w:r>
          </w:p>
        </w:tc>
        <w:tc>
          <w:tcPr>
            <w:tcW w:w="1800" w:type="dxa"/>
          </w:tcPr>
          <w:p w:rsidR="00443EC1" w:rsidRDefault="00443EC1">
            <w:pPr>
              <w:spacing w:before="120" w:after="120" w:line="280" w:lineRule="exact"/>
              <w:jc w:val="both"/>
              <w:rPr>
                <w:rStyle w:val="FootnoteReference"/>
                <w:rFonts w:hint="cs"/>
                <w:bCs w:val="0"/>
                <w:vertAlign w:val="baseline"/>
              </w:rPr>
            </w:pPr>
            <w:r>
              <w:rPr>
                <w:rFonts w:hint="cs"/>
                <w:rtl/>
              </w:rPr>
              <w:t>588 290 8</w:t>
            </w:r>
          </w:p>
        </w:tc>
        <w:tc>
          <w:tcPr>
            <w:tcW w:w="1800" w:type="dxa"/>
          </w:tcPr>
          <w:p w:rsidR="00443EC1" w:rsidRDefault="00443EC1">
            <w:pPr>
              <w:spacing w:before="120" w:after="120" w:line="280" w:lineRule="exact"/>
              <w:jc w:val="both"/>
              <w:rPr>
                <w:rStyle w:val="FootnoteReference"/>
                <w:rFonts w:hint="cs"/>
                <w:bCs w:val="0"/>
                <w:vertAlign w:val="baseline"/>
              </w:rPr>
            </w:pPr>
            <w:r>
              <w:rPr>
                <w:rFonts w:hint="cs"/>
                <w:rtl/>
              </w:rPr>
              <w:t>337 076 16</w:t>
            </w:r>
          </w:p>
        </w:tc>
        <w:tc>
          <w:tcPr>
            <w:tcW w:w="1440" w:type="dxa"/>
          </w:tcPr>
          <w:p w:rsidR="00443EC1" w:rsidRDefault="00443EC1">
            <w:pPr>
              <w:spacing w:before="120" w:after="120" w:line="280" w:lineRule="exact"/>
              <w:jc w:val="both"/>
              <w:rPr>
                <w:rStyle w:val="FootnoteReference"/>
                <w:rFonts w:hint="cs"/>
                <w:bCs w:val="0"/>
                <w:vertAlign w:val="baseline"/>
              </w:rPr>
            </w:pPr>
            <w:r>
              <w:rPr>
                <w:rFonts w:hint="cs"/>
                <w:rtl/>
              </w:rPr>
              <w:t>839 504</w:t>
            </w:r>
          </w:p>
        </w:tc>
        <w:tc>
          <w:tcPr>
            <w:tcW w:w="1620" w:type="dxa"/>
          </w:tcPr>
          <w:p w:rsidR="00443EC1" w:rsidRDefault="00443EC1">
            <w:pPr>
              <w:spacing w:before="120" w:after="120" w:line="280" w:lineRule="exact"/>
              <w:jc w:val="both"/>
              <w:rPr>
                <w:rStyle w:val="FootnoteReference"/>
                <w:rFonts w:hint="cs"/>
                <w:bCs w:val="0"/>
                <w:vertAlign w:val="baseline"/>
              </w:rPr>
            </w:pPr>
            <w:r>
              <w:rPr>
                <w:rFonts w:hint="cs"/>
                <w:rtl/>
              </w:rPr>
              <w:t>938 457</w:t>
            </w:r>
          </w:p>
        </w:tc>
        <w:tc>
          <w:tcPr>
            <w:tcW w:w="1212" w:type="dxa"/>
          </w:tcPr>
          <w:p w:rsidR="00443EC1" w:rsidRDefault="00443EC1">
            <w:pPr>
              <w:spacing w:before="120" w:after="120" w:line="280" w:lineRule="exact"/>
              <w:jc w:val="both"/>
              <w:rPr>
                <w:rStyle w:val="FootnoteReference"/>
                <w:rFonts w:hint="cs"/>
                <w:bCs w:val="0"/>
                <w:vertAlign w:val="baseline"/>
              </w:rPr>
            </w:pPr>
            <w:r>
              <w:rPr>
                <w:rFonts w:hint="cs"/>
                <w:rtl/>
              </w:rPr>
              <w:t>0.9</w:t>
            </w:r>
          </w:p>
        </w:tc>
      </w:tr>
      <w:tr w:rsidR="00443EC1" w:rsidTr="00443EC1">
        <w:tblPrEx>
          <w:tblCellMar>
            <w:top w:w="0" w:type="dxa"/>
            <w:bottom w:w="0" w:type="dxa"/>
          </w:tblCellMar>
        </w:tblPrEx>
        <w:trPr>
          <w:jc w:val="center"/>
        </w:trPr>
        <w:tc>
          <w:tcPr>
            <w:tcW w:w="1260" w:type="dxa"/>
          </w:tcPr>
          <w:p w:rsidR="00443EC1" w:rsidRDefault="00443EC1">
            <w:pPr>
              <w:spacing w:before="120" w:after="120" w:line="280" w:lineRule="exact"/>
              <w:jc w:val="both"/>
              <w:rPr>
                <w:rStyle w:val="FootnoteReference"/>
                <w:rFonts w:hint="cs"/>
                <w:bCs w:val="0"/>
                <w:vertAlign w:val="baseline"/>
              </w:rPr>
            </w:pPr>
            <w:r>
              <w:rPr>
                <w:rFonts w:hint="cs"/>
                <w:rtl/>
              </w:rPr>
              <w:t>1986</w:t>
            </w:r>
          </w:p>
        </w:tc>
        <w:tc>
          <w:tcPr>
            <w:tcW w:w="1800" w:type="dxa"/>
          </w:tcPr>
          <w:p w:rsidR="00443EC1" w:rsidRDefault="00443EC1">
            <w:pPr>
              <w:spacing w:before="120" w:after="120" w:line="280" w:lineRule="exact"/>
              <w:jc w:val="both"/>
              <w:rPr>
                <w:rStyle w:val="FootnoteReference"/>
                <w:rFonts w:hint="cs"/>
                <w:bCs w:val="0"/>
                <w:vertAlign w:val="baseline"/>
              </w:rPr>
            </w:pPr>
            <w:r>
              <w:rPr>
                <w:rFonts w:hint="cs"/>
                <w:rtl/>
              </w:rPr>
              <w:t>935 822 8</w:t>
            </w:r>
          </w:p>
        </w:tc>
        <w:tc>
          <w:tcPr>
            <w:tcW w:w="1800" w:type="dxa"/>
          </w:tcPr>
          <w:p w:rsidR="00443EC1" w:rsidRDefault="00443EC1">
            <w:pPr>
              <w:spacing w:before="120" w:after="120" w:line="280" w:lineRule="exact"/>
              <w:jc w:val="both"/>
              <w:rPr>
                <w:rStyle w:val="FootnoteReference"/>
                <w:rFonts w:hint="cs"/>
                <w:bCs w:val="0"/>
                <w:vertAlign w:val="baseline"/>
              </w:rPr>
            </w:pPr>
            <w:r>
              <w:rPr>
                <w:rFonts w:hint="cs"/>
                <w:rtl/>
              </w:rPr>
              <w:t>107 075 17</w:t>
            </w:r>
          </w:p>
        </w:tc>
        <w:tc>
          <w:tcPr>
            <w:tcW w:w="1440" w:type="dxa"/>
          </w:tcPr>
          <w:p w:rsidR="00443EC1" w:rsidRDefault="00443EC1">
            <w:pPr>
              <w:spacing w:before="120" w:after="120" w:line="280" w:lineRule="exact"/>
              <w:jc w:val="both"/>
              <w:rPr>
                <w:rStyle w:val="FootnoteReference"/>
                <w:rFonts w:hint="cs"/>
                <w:bCs w:val="0"/>
                <w:vertAlign w:val="baseline"/>
              </w:rPr>
            </w:pPr>
            <w:r>
              <w:rPr>
                <w:rFonts w:hint="cs"/>
                <w:rtl/>
              </w:rPr>
              <w:t>763 570</w:t>
            </w:r>
          </w:p>
        </w:tc>
        <w:tc>
          <w:tcPr>
            <w:tcW w:w="1620" w:type="dxa"/>
          </w:tcPr>
          <w:p w:rsidR="00443EC1" w:rsidRDefault="00443EC1">
            <w:pPr>
              <w:spacing w:before="120" w:after="120" w:line="280" w:lineRule="exact"/>
              <w:jc w:val="both"/>
              <w:rPr>
                <w:rStyle w:val="FootnoteReference"/>
                <w:rFonts w:hint="cs"/>
                <w:bCs w:val="0"/>
                <w:vertAlign w:val="baseline"/>
              </w:rPr>
            </w:pPr>
            <w:r>
              <w:rPr>
                <w:rFonts w:hint="cs"/>
                <w:rtl/>
              </w:rPr>
              <w:t>675 505</w:t>
            </w:r>
          </w:p>
        </w:tc>
        <w:tc>
          <w:tcPr>
            <w:tcW w:w="1212" w:type="dxa"/>
          </w:tcPr>
          <w:p w:rsidR="00443EC1" w:rsidRDefault="00443EC1">
            <w:pPr>
              <w:spacing w:before="120" w:after="120" w:line="280" w:lineRule="exact"/>
              <w:jc w:val="both"/>
              <w:rPr>
                <w:rStyle w:val="FootnoteReference"/>
                <w:rFonts w:hint="cs"/>
                <w:bCs w:val="0"/>
                <w:vertAlign w:val="baseline"/>
              </w:rPr>
            </w:pPr>
            <w:r>
              <w:rPr>
                <w:rFonts w:hint="cs"/>
                <w:rtl/>
              </w:rPr>
              <w:t>0.9</w:t>
            </w:r>
          </w:p>
        </w:tc>
      </w:tr>
      <w:tr w:rsidR="00443EC1" w:rsidTr="00443EC1">
        <w:tblPrEx>
          <w:tblCellMar>
            <w:top w:w="0" w:type="dxa"/>
            <w:bottom w:w="0" w:type="dxa"/>
          </w:tblCellMar>
        </w:tblPrEx>
        <w:trPr>
          <w:jc w:val="center"/>
        </w:trPr>
        <w:tc>
          <w:tcPr>
            <w:tcW w:w="1260" w:type="dxa"/>
          </w:tcPr>
          <w:p w:rsidR="00443EC1" w:rsidRDefault="00443EC1">
            <w:pPr>
              <w:spacing w:before="120" w:after="120" w:line="280" w:lineRule="exact"/>
              <w:jc w:val="both"/>
              <w:rPr>
                <w:rStyle w:val="FootnoteReference"/>
                <w:rFonts w:hint="cs"/>
                <w:bCs w:val="0"/>
                <w:vertAlign w:val="baseline"/>
              </w:rPr>
            </w:pPr>
            <w:r>
              <w:rPr>
                <w:rFonts w:hint="cs"/>
                <w:rtl/>
              </w:rPr>
              <w:t>1987</w:t>
            </w:r>
          </w:p>
        </w:tc>
        <w:tc>
          <w:tcPr>
            <w:tcW w:w="1800" w:type="dxa"/>
          </w:tcPr>
          <w:p w:rsidR="00443EC1" w:rsidRDefault="00443EC1">
            <w:pPr>
              <w:spacing w:before="120" w:after="120" w:line="280" w:lineRule="exact"/>
              <w:jc w:val="both"/>
              <w:rPr>
                <w:rStyle w:val="FootnoteReference"/>
                <w:rFonts w:hint="cs"/>
                <w:bCs w:val="0"/>
                <w:vertAlign w:val="baseline"/>
              </w:rPr>
            </w:pPr>
            <w:r>
              <w:rPr>
                <w:rFonts w:hint="cs"/>
                <w:rtl/>
              </w:rPr>
              <w:t>372 247 9</w:t>
            </w:r>
          </w:p>
        </w:tc>
        <w:tc>
          <w:tcPr>
            <w:tcW w:w="1800" w:type="dxa"/>
          </w:tcPr>
          <w:p w:rsidR="00443EC1" w:rsidRDefault="00443EC1">
            <w:pPr>
              <w:spacing w:before="120" w:after="120" w:line="280" w:lineRule="exact"/>
              <w:jc w:val="both"/>
              <w:rPr>
                <w:rStyle w:val="FootnoteReference"/>
                <w:rFonts w:hint="cs"/>
                <w:bCs w:val="0"/>
                <w:vertAlign w:val="baseline"/>
              </w:rPr>
            </w:pPr>
            <w:r>
              <w:rPr>
                <w:rFonts w:hint="cs"/>
                <w:rtl/>
              </w:rPr>
              <w:t>856 880 17</w:t>
            </w:r>
          </w:p>
        </w:tc>
        <w:tc>
          <w:tcPr>
            <w:tcW w:w="1440" w:type="dxa"/>
          </w:tcPr>
          <w:p w:rsidR="00443EC1" w:rsidRDefault="00443EC1">
            <w:pPr>
              <w:spacing w:before="120" w:after="120" w:line="280" w:lineRule="exact"/>
              <w:jc w:val="both"/>
              <w:rPr>
                <w:rStyle w:val="FootnoteReference"/>
                <w:rFonts w:hint="cs"/>
                <w:bCs w:val="0"/>
                <w:vertAlign w:val="baseline"/>
              </w:rPr>
            </w:pPr>
            <w:r>
              <w:rPr>
                <w:rFonts w:hint="cs"/>
                <w:rtl/>
              </w:rPr>
              <w:t>888 613</w:t>
            </w:r>
          </w:p>
        </w:tc>
        <w:tc>
          <w:tcPr>
            <w:tcW w:w="1620" w:type="dxa"/>
          </w:tcPr>
          <w:p w:rsidR="00443EC1" w:rsidRDefault="00443EC1">
            <w:pPr>
              <w:spacing w:before="120" w:after="120" w:line="280" w:lineRule="exact"/>
              <w:jc w:val="both"/>
              <w:rPr>
                <w:rStyle w:val="FootnoteReference"/>
                <w:rFonts w:hint="cs"/>
                <w:bCs w:val="0"/>
                <w:vertAlign w:val="baseline"/>
              </w:rPr>
            </w:pPr>
            <w:r>
              <w:rPr>
                <w:rFonts w:hint="cs"/>
                <w:rtl/>
              </w:rPr>
              <w:t>484 581</w:t>
            </w:r>
          </w:p>
        </w:tc>
        <w:tc>
          <w:tcPr>
            <w:tcW w:w="1212" w:type="dxa"/>
          </w:tcPr>
          <w:p w:rsidR="00443EC1" w:rsidRDefault="00443EC1">
            <w:pPr>
              <w:spacing w:before="120" w:after="120" w:line="280" w:lineRule="exact"/>
              <w:jc w:val="both"/>
              <w:rPr>
                <w:rStyle w:val="FootnoteReference"/>
                <w:rFonts w:hint="cs"/>
                <w:bCs w:val="0"/>
                <w:vertAlign w:val="baseline"/>
              </w:rPr>
            </w:pPr>
            <w:r>
              <w:rPr>
                <w:rFonts w:hint="cs"/>
                <w:rtl/>
              </w:rPr>
              <w:t>1.1</w:t>
            </w:r>
          </w:p>
        </w:tc>
      </w:tr>
      <w:tr w:rsidR="00443EC1" w:rsidTr="00443EC1">
        <w:tblPrEx>
          <w:tblCellMar>
            <w:top w:w="0" w:type="dxa"/>
            <w:bottom w:w="0" w:type="dxa"/>
          </w:tblCellMar>
        </w:tblPrEx>
        <w:trPr>
          <w:jc w:val="center"/>
        </w:trPr>
        <w:tc>
          <w:tcPr>
            <w:tcW w:w="1260" w:type="dxa"/>
          </w:tcPr>
          <w:p w:rsidR="00443EC1" w:rsidRDefault="00443EC1">
            <w:pPr>
              <w:spacing w:before="120" w:after="120" w:line="280" w:lineRule="exact"/>
              <w:jc w:val="both"/>
              <w:rPr>
                <w:rStyle w:val="FootnoteReference"/>
                <w:rFonts w:hint="cs"/>
                <w:bCs w:val="0"/>
                <w:vertAlign w:val="baseline"/>
              </w:rPr>
            </w:pPr>
            <w:r>
              <w:rPr>
                <w:rFonts w:hint="cs"/>
                <w:rtl/>
              </w:rPr>
              <w:t>1988</w:t>
            </w:r>
          </w:p>
        </w:tc>
        <w:tc>
          <w:tcPr>
            <w:tcW w:w="1800" w:type="dxa"/>
          </w:tcPr>
          <w:p w:rsidR="00443EC1" w:rsidRDefault="00443EC1">
            <w:pPr>
              <w:spacing w:before="120" w:after="120" w:line="280" w:lineRule="exact"/>
              <w:jc w:val="both"/>
              <w:rPr>
                <w:rStyle w:val="FootnoteReference"/>
                <w:rFonts w:hint="cs"/>
                <w:bCs w:val="0"/>
                <w:vertAlign w:val="baseline"/>
              </w:rPr>
            </w:pPr>
            <w:r>
              <w:rPr>
                <w:rFonts w:hint="cs"/>
                <w:rtl/>
              </w:rPr>
              <w:t>750 971 8</w:t>
            </w:r>
          </w:p>
        </w:tc>
        <w:tc>
          <w:tcPr>
            <w:tcW w:w="1800" w:type="dxa"/>
          </w:tcPr>
          <w:p w:rsidR="00443EC1" w:rsidRDefault="00443EC1">
            <w:pPr>
              <w:spacing w:before="120" w:after="120" w:line="280" w:lineRule="exact"/>
              <w:jc w:val="both"/>
              <w:rPr>
                <w:rStyle w:val="FootnoteReference"/>
                <w:rFonts w:hint="cs"/>
                <w:bCs w:val="0"/>
                <w:vertAlign w:val="baseline"/>
              </w:rPr>
            </w:pPr>
            <w:r>
              <w:rPr>
                <w:rFonts w:hint="cs"/>
                <w:rtl/>
              </w:rPr>
              <w:t>077 285 17</w:t>
            </w:r>
          </w:p>
        </w:tc>
        <w:tc>
          <w:tcPr>
            <w:tcW w:w="1440" w:type="dxa"/>
          </w:tcPr>
          <w:p w:rsidR="00443EC1" w:rsidRDefault="00443EC1">
            <w:pPr>
              <w:spacing w:before="120" w:after="120" w:line="280" w:lineRule="exact"/>
              <w:jc w:val="both"/>
              <w:rPr>
                <w:rStyle w:val="FootnoteReference"/>
                <w:rFonts w:hint="cs"/>
                <w:bCs w:val="0"/>
                <w:vertAlign w:val="baseline"/>
              </w:rPr>
            </w:pPr>
            <w:r>
              <w:rPr>
                <w:rFonts w:hint="cs"/>
                <w:rtl/>
              </w:rPr>
              <w:t>423 658</w:t>
            </w:r>
          </w:p>
        </w:tc>
        <w:tc>
          <w:tcPr>
            <w:tcW w:w="1620" w:type="dxa"/>
          </w:tcPr>
          <w:p w:rsidR="00443EC1" w:rsidRDefault="00443EC1">
            <w:pPr>
              <w:spacing w:before="120" w:after="120" w:line="280" w:lineRule="exact"/>
              <w:jc w:val="both"/>
              <w:rPr>
                <w:rStyle w:val="FootnoteReference"/>
                <w:rFonts w:hint="cs"/>
                <w:bCs w:val="0"/>
                <w:vertAlign w:val="baseline"/>
              </w:rPr>
            </w:pPr>
            <w:r>
              <w:rPr>
                <w:rFonts w:hint="cs"/>
                <w:rtl/>
              </w:rPr>
              <w:t>551 658</w:t>
            </w:r>
          </w:p>
        </w:tc>
        <w:tc>
          <w:tcPr>
            <w:tcW w:w="1212" w:type="dxa"/>
          </w:tcPr>
          <w:p w:rsidR="00443EC1" w:rsidRDefault="00443EC1">
            <w:pPr>
              <w:spacing w:before="120" w:after="120" w:line="280" w:lineRule="exact"/>
              <w:jc w:val="both"/>
              <w:rPr>
                <w:rStyle w:val="FootnoteReference"/>
                <w:rFonts w:hint="cs"/>
                <w:bCs w:val="0"/>
                <w:vertAlign w:val="baseline"/>
              </w:rPr>
            </w:pPr>
            <w:r>
              <w:rPr>
                <w:rFonts w:hint="cs"/>
                <w:rtl/>
              </w:rPr>
              <w:t>1.2</w:t>
            </w:r>
          </w:p>
        </w:tc>
      </w:tr>
      <w:tr w:rsidR="00443EC1" w:rsidTr="00443EC1">
        <w:tblPrEx>
          <w:tblCellMar>
            <w:top w:w="0" w:type="dxa"/>
            <w:bottom w:w="0" w:type="dxa"/>
          </w:tblCellMar>
        </w:tblPrEx>
        <w:trPr>
          <w:jc w:val="center"/>
        </w:trPr>
        <w:tc>
          <w:tcPr>
            <w:tcW w:w="1260" w:type="dxa"/>
          </w:tcPr>
          <w:p w:rsidR="00443EC1" w:rsidRDefault="00443EC1">
            <w:pPr>
              <w:spacing w:before="120" w:after="120" w:line="280" w:lineRule="exact"/>
              <w:jc w:val="both"/>
              <w:rPr>
                <w:rStyle w:val="FootnoteReference"/>
                <w:rFonts w:hint="cs"/>
                <w:bCs w:val="0"/>
                <w:vertAlign w:val="baseline"/>
              </w:rPr>
            </w:pPr>
            <w:r>
              <w:rPr>
                <w:rFonts w:hint="cs"/>
                <w:rtl/>
              </w:rPr>
              <w:t>1989</w:t>
            </w:r>
          </w:p>
        </w:tc>
        <w:tc>
          <w:tcPr>
            <w:tcW w:w="1800" w:type="dxa"/>
          </w:tcPr>
          <w:p w:rsidR="00443EC1" w:rsidRDefault="00443EC1">
            <w:pPr>
              <w:spacing w:before="120" w:after="120" w:line="280" w:lineRule="exact"/>
              <w:jc w:val="both"/>
              <w:rPr>
                <w:rStyle w:val="FootnoteReference"/>
                <w:rFonts w:hint="cs"/>
                <w:bCs w:val="0"/>
                <w:vertAlign w:val="baseline"/>
              </w:rPr>
            </w:pPr>
            <w:r>
              <w:rPr>
                <w:rFonts w:hint="cs"/>
                <w:rtl/>
              </w:rPr>
              <w:t>915 351 9</w:t>
            </w:r>
          </w:p>
        </w:tc>
        <w:tc>
          <w:tcPr>
            <w:tcW w:w="1800" w:type="dxa"/>
          </w:tcPr>
          <w:p w:rsidR="00443EC1" w:rsidRDefault="00443EC1">
            <w:pPr>
              <w:spacing w:before="120" w:after="120" w:line="280" w:lineRule="exact"/>
              <w:jc w:val="both"/>
              <w:rPr>
                <w:rStyle w:val="FootnoteReference"/>
                <w:rFonts w:hint="cs"/>
                <w:bCs w:val="0"/>
                <w:vertAlign w:val="baseline"/>
              </w:rPr>
            </w:pPr>
            <w:r>
              <w:rPr>
                <w:rFonts w:hint="cs"/>
                <w:rtl/>
              </w:rPr>
              <w:t>680 959 17</w:t>
            </w:r>
          </w:p>
        </w:tc>
        <w:tc>
          <w:tcPr>
            <w:tcW w:w="1440" w:type="dxa"/>
          </w:tcPr>
          <w:p w:rsidR="00443EC1" w:rsidRDefault="00443EC1">
            <w:pPr>
              <w:spacing w:before="120" w:after="120" w:line="280" w:lineRule="exact"/>
              <w:jc w:val="both"/>
              <w:rPr>
                <w:rStyle w:val="FootnoteReference"/>
                <w:rFonts w:hint="cs"/>
                <w:bCs w:val="0"/>
                <w:vertAlign w:val="baseline"/>
              </w:rPr>
            </w:pPr>
            <w:r>
              <w:rPr>
                <w:rFonts w:hint="cs"/>
                <w:rtl/>
              </w:rPr>
              <w:t>150 744</w:t>
            </w:r>
          </w:p>
        </w:tc>
        <w:tc>
          <w:tcPr>
            <w:tcW w:w="1620" w:type="dxa"/>
          </w:tcPr>
          <w:p w:rsidR="00443EC1" w:rsidRDefault="00443EC1">
            <w:pPr>
              <w:spacing w:before="120" w:after="120" w:line="280" w:lineRule="exact"/>
              <w:jc w:val="both"/>
              <w:rPr>
                <w:rStyle w:val="FootnoteReference"/>
                <w:rFonts w:hint="cs"/>
                <w:bCs w:val="0"/>
                <w:vertAlign w:val="baseline"/>
              </w:rPr>
            </w:pPr>
            <w:r>
              <w:rPr>
                <w:rFonts w:hint="cs"/>
                <w:rtl/>
              </w:rPr>
              <w:t>914 752</w:t>
            </w:r>
          </w:p>
        </w:tc>
        <w:tc>
          <w:tcPr>
            <w:tcW w:w="1212" w:type="dxa"/>
          </w:tcPr>
          <w:p w:rsidR="00443EC1" w:rsidRDefault="00443EC1">
            <w:pPr>
              <w:spacing w:before="120" w:after="120" w:line="280" w:lineRule="exact"/>
              <w:jc w:val="both"/>
              <w:rPr>
                <w:rStyle w:val="FootnoteReference"/>
                <w:rFonts w:hint="cs"/>
                <w:bCs w:val="0"/>
                <w:vertAlign w:val="baseline"/>
              </w:rPr>
            </w:pPr>
            <w:r>
              <w:rPr>
                <w:rFonts w:hint="cs"/>
                <w:rtl/>
              </w:rPr>
              <w:t>1.3</w:t>
            </w:r>
          </w:p>
        </w:tc>
      </w:tr>
      <w:tr w:rsidR="00443EC1" w:rsidTr="00443EC1">
        <w:tblPrEx>
          <w:tblCellMar>
            <w:top w:w="0" w:type="dxa"/>
            <w:bottom w:w="0" w:type="dxa"/>
          </w:tblCellMar>
        </w:tblPrEx>
        <w:trPr>
          <w:jc w:val="center"/>
        </w:trPr>
        <w:tc>
          <w:tcPr>
            <w:tcW w:w="1260" w:type="dxa"/>
          </w:tcPr>
          <w:p w:rsidR="00443EC1" w:rsidRDefault="00443EC1">
            <w:pPr>
              <w:spacing w:before="120" w:after="120" w:line="280" w:lineRule="exact"/>
              <w:jc w:val="both"/>
              <w:rPr>
                <w:rStyle w:val="FootnoteReference"/>
                <w:rFonts w:hint="cs"/>
                <w:bCs w:val="0"/>
                <w:vertAlign w:val="baseline"/>
              </w:rPr>
            </w:pPr>
            <w:r>
              <w:rPr>
                <w:rFonts w:hint="cs"/>
                <w:rtl/>
              </w:rPr>
              <w:t>1990</w:t>
            </w:r>
          </w:p>
        </w:tc>
        <w:tc>
          <w:tcPr>
            <w:tcW w:w="1800" w:type="dxa"/>
          </w:tcPr>
          <w:p w:rsidR="00443EC1" w:rsidRDefault="00443EC1">
            <w:pPr>
              <w:spacing w:before="120" w:after="120" w:line="280" w:lineRule="exact"/>
              <w:jc w:val="both"/>
              <w:rPr>
                <w:rStyle w:val="FootnoteReference"/>
                <w:rFonts w:hint="cs"/>
                <w:bCs w:val="0"/>
                <w:vertAlign w:val="baseline"/>
              </w:rPr>
            </w:pPr>
            <w:r>
              <w:rPr>
                <w:rFonts w:hint="cs"/>
                <w:rtl/>
              </w:rPr>
              <w:t>870 486 9</w:t>
            </w:r>
          </w:p>
        </w:tc>
        <w:tc>
          <w:tcPr>
            <w:tcW w:w="1800" w:type="dxa"/>
          </w:tcPr>
          <w:p w:rsidR="00443EC1" w:rsidRDefault="00443EC1">
            <w:pPr>
              <w:spacing w:before="120" w:after="120" w:line="280" w:lineRule="exact"/>
              <w:jc w:val="both"/>
              <w:rPr>
                <w:rStyle w:val="FootnoteReference"/>
                <w:rFonts w:hint="cs"/>
                <w:bCs w:val="0"/>
                <w:vertAlign w:val="baseline"/>
              </w:rPr>
            </w:pPr>
            <w:r>
              <w:rPr>
                <w:rFonts w:hint="cs"/>
                <w:rtl/>
              </w:rPr>
              <w:t>303 191 18</w:t>
            </w:r>
          </w:p>
        </w:tc>
        <w:tc>
          <w:tcPr>
            <w:tcW w:w="1440" w:type="dxa"/>
          </w:tcPr>
          <w:p w:rsidR="00443EC1" w:rsidRDefault="00443EC1">
            <w:pPr>
              <w:spacing w:before="120" w:after="120" w:line="280" w:lineRule="exact"/>
              <w:jc w:val="both"/>
              <w:rPr>
                <w:rStyle w:val="FootnoteReference"/>
                <w:rFonts w:hint="cs"/>
                <w:bCs w:val="0"/>
                <w:vertAlign w:val="baseline"/>
              </w:rPr>
            </w:pPr>
            <w:r>
              <w:rPr>
                <w:rFonts w:hint="cs"/>
                <w:rtl/>
              </w:rPr>
              <w:t>437 782</w:t>
            </w:r>
          </w:p>
        </w:tc>
        <w:tc>
          <w:tcPr>
            <w:tcW w:w="1620" w:type="dxa"/>
          </w:tcPr>
          <w:p w:rsidR="00443EC1" w:rsidRDefault="00443EC1">
            <w:pPr>
              <w:spacing w:before="120" w:after="120" w:line="280" w:lineRule="exact"/>
              <w:jc w:val="both"/>
              <w:rPr>
                <w:rStyle w:val="FootnoteReference"/>
                <w:rFonts w:hint="cs"/>
                <w:bCs w:val="0"/>
                <w:vertAlign w:val="baseline"/>
              </w:rPr>
            </w:pPr>
            <w:r>
              <w:rPr>
                <w:rFonts w:hint="cs"/>
                <w:rtl/>
              </w:rPr>
              <w:t>037 800</w:t>
            </w:r>
          </w:p>
        </w:tc>
        <w:tc>
          <w:tcPr>
            <w:tcW w:w="1212" w:type="dxa"/>
          </w:tcPr>
          <w:p w:rsidR="00443EC1" w:rsidRDefault="00443EC1">
            <w:pPr>
              <w:spacing w:before="120" w:after="120" w:line="280" w:lineRule="exact"/>
              <w:jc w:val="both"/>
              <w:rPr>
                <w:rStyle w:val="FootnoteReference"/>
                <w:rFonts w:hint="cs"/>
                <w:bCs w:val="0"/>
                <w:vertAlign w:val="baseline"/>
              </w:rPr>
            </w:pPr>
            <w:r>
              <w:rPr>
                <w:rFonts w:hint="cs"/>
                <w:rtl/>
              </w:rPr>
              <w:t>1.4</w:t>
            </w:r>
          </w:p>
        </w:tc>
      </w:tr>
      <w:tr w:rsidR="00443EC1" w:rsidTr="00443EC1">
        <w:tblPrEx>
          <w:tblCellMar>
            <w:top w:w="0" w:type="dxa"/>
            <w:bottom w:w="0" w:type="dxa"/>
          </w:tblCellMar>
        </w:tblPrEx>
        <w:trPr>
          <w:jc w:val="center"/>
        </w:trPr>
        <w:tc>
          <w:tcPr>
            <w:tcW w:w="1260" w:type="dxa"/>
          </w:tcPr>
          <w:p w:rsidR="00443EC1" w:rsidRDefault="00443EC1">
            <w:pPr>
              <w:spacing w:before="120" w:after="120" w:line="280" w:lineRule="exact"/>
              <w:jc w:val="both"/>
              <w:rPr>
                <w:rStyle w:val="FootnoteReference"/>
                <w:rFonts w:hint="cs"/>
                <w:bCs w:val="0"/>
                <w:vertAlign w:val="baseline"/>
              </w:rPr>
            </w:pPr>
            <w:r>
              <w:rPr>
                <w:rFonts w:hint="cs"/>
                <w:rtl/>
              </w:rPr>
              <w:t>1991</w:t>
            </w:r>
          </w:p>
        </w:tc>
        <w:tc>
          <w:tcPr>
            <w:tcW w:w="1800" w:type="dxa"/>
          </w:tcPr>
          <w:p w:rsidR="00443EC1" w:rsidRDefault="00443EC1">
            <w:pPr>
              <w:spacing w:before="120" w:after="120" w:line="280" w:lineRule="exact"/>
              <w:jc w:val="both"/>
              <w:rPr>
                <w:rStyle w:val="FootnoteReference"/>
                <w:rFonts w:hint="cs"/>
                <w:bCs w:val="0"/>
                <w:vertAlign w:val="baseline"/>
              </w:rPr>
            </w:pPr>
            <w:r>
              <w:rPr>
                <w:rFonts w:hint="cs"/>
                <w:rtl/>
              </w:rPr>
              <w:t>849 509 9</w:t>
            </w:r>
          </w:p>
        </w:tc>
        <w:tc>
          <w:tcPr>
            <w:tcW w:w="1800" w:type="dxa"/>
          </w:tcPr>
          <w:p w:rsidR="00443EC1" w:rsidRDefault="00443EC1">
            <w:pPr>
              <w:spacing w:before="120" w:after="120" w:line="280" w:lineRule="exact"/>
              <w:jc w:val="both"/>
              <w:rPr>
                <w:rStyle w:val="FootnoteReference"/>
                <w:rFonts w:hint="cs"/>
                <w:bCs w:val="0"/>
                <w:vertAlign w:val="baseline"/>
              </w:rPr>
            </w:pPr>
            <w:r>
              <w:rPr>
                <w:rFonts w:hint="cs"/>
                <w:rtl/>
              </w:rPr>
              <w:t>226 203 18</w:t>
            </w:r>
          </w:p>
        </w:tc>
        <w:tc>
          <w:tcPr>
            <w:tcW w:w="1440" w:type="dxa"/>
          </w:tcPr>
          <w:p w:rsidR="00443EC1" w:rsidRDefault="00443EC1">
            <w:pPr>
              <w:spacing w:before="120" w:after="120" w:line="280" w:lineRule="exact"/>
              <w:jc w:val="both"/>
              <w:rPr>
                <w:rStyle w:val="FootnoteReference"/>
                <w:rFonts w:hint="cs"/>
                <w:bCs w:val="0"/>
                <w:vertAlign w:val="baseline"/>
              </w:rPr>
            </w:pPr>
            <w:r>
              <w:rPr>
                <w:rFonts w:hint="cs"/>
                <w:rtl/>
              </w:rPr>
              <w:t>472 816</w:t>
            </w:r>
          </w:p>
        </w:tc>
        <w:tc>
          <w:tcPr>
            <w:tcW w:w="1620" w:type="dxa"/>
          </w:tcPr>
          <w:p w:rsidR="00443EC1" w:rsidRDefault="00443EC1">
            <w:pPr>
              <w:spacing w:before="120" w:after="120" w:line="280" w:lineRule="exact"/>
              <w:jc w:val="both"/>
              <w:rPr>
                <w:rStyle w:val="FootnoteReference"/>
                <w:rFonts w:hint="cs"/>
                <w:bCs w:val="0"/>
                <w:vertAlign w:val="baseline"/>
              </w:rPr>
            </w:pPr>
            <w:r>
              <w:rPr>
                <w:rFonts w:hint="cs"/>
                <w:rtl/>
              </w:rPr>
              <w:t>449 829</w:t>
            </w:r>
          </w:p>
        </w:tc>
        <w:tc>
          <w:tcPr>
            <w:tcW w:w="1212" w:type="dxa"/>
          </w:tcPr>
          <w:p w:rsidR="00443EC1" w:rsidRDefault="00443EC1">
            <w:pPr>
              <w:spacing w:before="120" w:after="120" w:line="280" w:lineRule="exact"/>
              <w:jc w:val="both"/>
              <w:rPr>
                <w:rStyle w:val="FootnoteReference"/>
                <w:rFonts w:hint="cs"/>
                <w:bCs w:val="0"/>
                <w:vertAlign w:val="baseline"/>
              </w:rPr>
            </w:pPr>
            <w:r>
              <w:rPr>
                <w:rFonts w:hint="cs"/>
                <w:rtl/>
              </w:rPr>
              <w:t>1.4</w:t>
            </w:r>
          </w:p>
        </w:tc>
      </w:tr>
      <w:tr w:rsidR="00443EC1" w:rsidTr="00443EC1">
        <w:tblPrEx>
          <w:tblCellMar>
            <w:top w:w="0" w:type="dxa"/>
            <w:bottom w:w="0" w:type="dxa"/>
          </w:tblCellMar>
        </w:tblPrEx>
        <w:trPr>
          <w:jc w:val="center"/>
        </w:trPr>
        <w:tc>
          <w:tcPr>
            <w:tcW w:w="1260" w:type="dxa"/>
          </w:tcPr>
          <w:p w:rsidR="00443EC1" w:rsidRDefault="00443EC1">
            <w:pPr>
              <w:spacing w:before="120" w:after="120" w:line="280" w:lineRule="exact"/>
              <w:jc w:val="both"/>
              <w:rPr>
                <w:rStyle w:val="FootnoteReference"/>
                <w:rFonts w:hint="cs"/>
                <w:bCs w:val="0"/>
                <w:vertAlign w:val="baseline"/>
              </w:rPr>
            </w:pPr>
            <w:r>
              <w:rPr>
                <w:rFonts w:hint="cs"/>
                <w:rtl/>
              </w:rPr>
              <w:t>1992</w:t>
            </w:r>
          </w:p>
        </w:tc>
        <w:tc>
          <w:tcPr>
            <w:tcW w:w="1800" w:type="dxa"/>
          </w:tcPr>
          <w:p w:rsidR="00443EC1" w:rsidRDefault="00443EC1">
            <w:pPr>
              <w:spacing w:before="120" w:after="120" w:line="280" w:lineRule="exact"/>
              <w:jc w:val="both"/>
              <w:rPr>
                <w:rStyle w:val="FootnoteReference"/>
                <w:rFonts w:hint="cs"/>
                <w:bCs w:val="0"/>
                <w:vertAlign w:val="baseline"/>
              </w:rPr>
            </w:pPr>
            <w:r>
              <w:rPr>
                <w:rFonts w:hint="cs"/>
                <w:rtl/>
              </w:rPr>
              <w:t>047 545 9</w:t>
            </w:r>
          </w:p>
        </w:tc>
        <w:tc>
          <w:tcPr>
            <w:tcW w:w="1800" w:type="dxa"/>
          </w:tcPr>
          <w:p w:rsidR="00443EC1" w:rsidRDefault="00443EC1">
            <w:pPr>
              <w:spacing w:before="120" w:after="120" w:line="280" w:lineRule="exact"/>
              <w:jc w:val="both"/>
              <w:rPr>
                <w:rStyle w:val="FootnoteReference"/>
                <w:rFonts w:hint="cs"/>
                <w:bCs w:val="0"/>
                <w:vertAlign w:val="baseline"/>
              </w:rPr>
            </w:pPr>
            <w:r>
              <w:rPr>
                <w:rFonts w:hint="cs"/>
                <w:rtl/>
              </w:rPr>
              <w:t>957 320 18</w:t>
            </w:r>
          </w:p>
        </w:tc>
        <w:tc>
          <w:tcPr>
            <w:tcW w:w="1440" w:type="dxa"/>
          </w:tcPr>
          <w:p w:rsidR="00443EC1" w:rsidRDefault="00443EC1">
            <w:pPr>
              <w:spacing w:before="120" w:after="120" w:line="280" w:lineRule="exact"/>
              <w:jc w:val="both"/>
              <w:rPr>
                <w:rStyle w:val="FootnoteReference"/>
                <w:rFonts w:hint="cs"/>
                <w:bCs w:val="0"/>
                <w:vertAlign w:val="baseline"/>
              </w:rPr>
            </w:pPr>
            <w:r>
              <w:rPr>
                <w:rFonts w:hint="cs"/>
                <w:rtl/>
              </w:rPr>
              <w:t>137 769</w:t>
            </w:r>
          </w:p>
        </w:tc>
        <w:tc>
          <w:tcPr>
            <w:tcW w:w="1620" w:type="dxa"/>
          </w:tcPr>
          <w:p w:rsidR="00443EC1" w:rsidRDefault="00443EC1">
            <w:pPr>
              <w:spacing w:before="120" w:after="120" w:line="280" w:lineRule="exact"/>
              <w:jc w:val="both"/>
              <w:rPr>
                <w:rStyle w:val="FootnoteReference"/>
                <w:rFonts w:hint="cs"/>
                <w:bCs w:val="0"/>
                <w:vertAlign w:val="baseline"/>
              </w:rPr>
            </w:pPr>
            <w:r>
              <w:rPr>
                <w:rFonts w:hint="cs"/>
                <w:rtl/>
              </w:rPr>
              <w:t>611 849</w:t>
            </w:r>
          </w:p>
        </w:tc>
        <w:tc>
          <w:tcPr>
            <w:tcW w:w="1212" w:type="dxa"/>
          </w:tcPr>
          <w:p w:rsidR="00443EC1" w:rsidRDefault="00443EC1">
            <w:pPr>
              <w:spacing w:before="120" w:after="120" w:line="280" w:lineRule="exact"/>
              <w:jc w:val="both"/>
              <w:rPr>
                <w:rStyle w:val="FootnoteReference"/>
                <w:rFonts w:hint="cs"/>
                <w:bCs w:val="0"/>
                <w:vertAlign w:val="baseline"/>
                <w:rtl/>
              </w:rPr>
            </w:pPr>
            <w:r>
              <w:rPr>
                <w:rFonts w:hint="cs"/>
                <w:rtl/>
              </w:rPr>
              <w:t>1.5</w:t>
            </w:r>
          </w:p>
        </w:tc>
      </w:tr>
      <w:tr w:rsidR="00443EC1" w:rsidTr="00443EC1">
        <w:tblPrEx>
          <w:tblCellMar>
            <w:top w:w="0" w:type="dxa"/>
            <w:bottom w:w="0" w:type="dxa"/>
          </w:tblCellMar>
        </w:tblPrEx>
        <w:trPr>
          <w:jc w:val="center"/>
        </w:trPr>
        <w:tc>
          <w:tcPr>
            <w:tcW w:w="1260" w:type="dxa"/>
          </w:tcPr>
          <w:p w:rsidR="00443EC1" w:rsidRDefault="00443EC1">
            <w:pPr>
              <w:spacing w:before="120" w:after="120" w:line="280" w:lineRule="exact"/>
              <w:jc w:val="both"/>
              <w:rPr>
                <w:rStyle w:val="FootnoteReference"/>
                <w:rFonts w:hint="cs"/>
                <w:bCs w:val="0"/>
                <w:vertAlign w:val="baseline"/>
              </w:rPr>
            </w:pPr>
            <w:r>
              <w:rPr>
                <w:rFonts w:hint="cs"/>
                <w:rtl/>
              </w:rPr>
              <w:t>1993</w:t>
            </w:r>
          </w:p>
        </w:tc>
        <w:tc>
          <w:tcPr>
            <w:tcW w:w="1800" w:type="dxa"/>
          </w:tcPr>
          <w:p w:rsidR="00443EC1" w:rsidRDefault="00443EC1">
            <w:pPr>
              <w:spacing w:before="120" w:after="120" w:line="280" w:lineRule="exact"/>
              <w:jc w:val="both"/>
              <w:rPr>
                <w:rStyle w:val="FootnoteReference"/>
                <w:rFonts w:hint="cs"/>
                <w:bCs w:val="0"/>
                <w:vertAlign w:val="baseline"/>
              </w:rPr>
            </w:pPr>
            <w:r>
              <w:rPr>
                <w:rFonts w:hint="cs"/>
                <w:rtl/>
              </w:rPr>
              <w:t>622 121 9</w:t>
            </w:r>
          </w:p>
        </w:tc>
        <w:tc>
          <w:tcPr>
            <w:tcW w:w="1800" w:type="dxa"/>
          </w:tcPr>
          <w:p w:rsidR="00443EC1" w:rsidRDefault="00443EC1">
            <w:pPr>
              <w:spacing w:before="120" w:after="120" w:line="280" w:lineRule="exact"/>
              <w:jc w:val="both"/>
              <w:rPr>
                <w:rStyle w:val="FootnoteReference"/>
                <w:rFonts w:hint="cs"/>
                <w:bCs w:val="0"/>
                <w:vertAlign w:val="baseline"/>
              </w:rPr>
            </w:pPr>
            <w:r>
              <w:rPr>
                <w:rFonts w:hint="cs"/>
                <w:rtl/>
              </w:rPr>
              <w:t>092 470 17</w:t>
            </w:r>
          </w:p>
        </w:tc>
        <w:tc>
          <w:tcPr>
            <w:tcW w:w="1440" w:type="dxa"/>
          </w:tcPr>
          <w:p w:rsidR="00443EC1" w:rsidRDefault="00443EC1">
            <w:pPr>
              <w:spacing w:before="120" w:after="120" w:line="280" w:lineRule="exact"/>
              <w:jc w:val="both"/>
              <w:rPr>
                <w:rStyle w:val="FootnoteReference"/>
                <w:rFonts w:hint="cs"/>
                <w:bCs w:val="0"/>
                <w:vertAlign w:val="baseline"/>
              </w:rPr>
            </w:pPr>
            <w:r>
              <w:rPr>
                <w:rFonts w:hint="cs"/>
                <w:rtl/>
              </w:rPr>
              <w:t>152 773</w:t>
            </w:r>
          </w:p>
        </w:tc>
        <w:tc>
          <w:tcPr>
            <w:tcW w:w="1620" w:type="dxa"/>
          </w:tcPr>
          <w:p w:rsidR="00443EC1" w:rsidRDefault="00443EC1">
            <w:pPr>
              <w:spacing w:before="120" w:after="120" w:line="280" w:lineRule="exact"/>
              <w:jc w:val="both"/>
              <w:rPr>
                <w:rStyle w:val="FootnoteReference"/>
                <w:rFonts w:hint="cs"/>
                <w:bCs w:val="0"/>
                <w:vertAlign w:val="baseline"/>
              </w:rPr>
            </w:pPr>
            <w:r>
              <w:rPr>
                <w:rFonts w:hint="cs"/>
                <w:rtl/>
              </w:rPr>
              <w:t>195 909</w:t>
            </w:r>
          </w:p>
        </w:tc>
        <w:tc>
          <w:tcPr>
            <w:tcW w:w="1212" w:type="dxa"/>
          </w:tcPr>
          <w:p w:rsidR="00443EC1" w:rsidRDefault="00443EC1">
            <w:pPr>
              <w:spacing w:before="120" w:after="120" w:line="280" w:lineRule="exact"/>
              <w:jc w:val="both"/>
              <w:rPr>
                <w:rStyle w:val="FootnoteReference"/>
                <w:rFonts w:hint="cs"/>
                <w:bCs w:val="0"/>
                <w:vertAlign w:val="baseline"/>
              </w:rPr>
            </w:pPr>
            <w:r>
              <w:rPr>
                <w:rFonts w:hint="cs"/>
                <w:rtl/>
              </w:rPr>
              <w:t>1.5</w:t>
            </w:r>
          </w:p>
        </w:tc>
      </w:tr>
      <w:tr w:rsidR="00443EC1" w:rsidTr="00443EC1">
        <w:tblPrEx>
          <w:tblCellMar>
            <w:top w:w="0" w:type="dxa"/>
            <w:bottom w:w="0" w:type="dxa"/>
          </w:tblCellMar>
        </w:tblPrEx>
        <w:trPr>
          <w:jc w:val="center"/>
        </w:trPr>
        <w:tc>
          <w:tcPr>
            <w:tcW w:w="1260" w:type="dxa"/>
          </w:tcPr>
          <w:p w:rsidR="00443EC1" w:rsidRDefault="00443EC1">
            <w:pPr>
              <w:spacing w:before="120" w:after="120" w:line="280" w:lineRule="exact"/>
              <w:jc w:val="both"/>
              <w:rPr>
                <w:rStyle w:val="FootnoteReference"/>
                <w:rFonts w:hint="cs"/>
                <w:bCs w:val="0"/>
                <w:vertAlign w:val="baseline"/>
              </w:rPr>
            </w:pPr>
            <w:r>
              <w:rPr>
                <w:rFonts w:hint="cs"/>
                <w:rtl/>
              </w:rPr>
              <w:t>1994</w:t>
            </w:r>
          </w:p>
        </w:tc>
        <w:tc>
          <w:tcPr>
            <w:tcW w:w="1800" w:type="dxa"/>
          </w:tcPr>
          <w:p w:rsidR="00443EC1" w:rsidRDefault="00443EC1">
            <w:pPr>
              <w:spacing w:before="120" w:after="120" w:line="280" w:lineRule="exact"/>
              <w:jc w:val="both"/>
              <w:rPr>
                <w:rStyle w:val="FootnoteReference"/>
                <w:rFonts w:hint="cs"/>
                <w:bCs w:val="0"/>
                <w:vertAlign w:val="baseline"/>
              </w:rPr>
            </w:pPr>
            <w:r>
              <w:rPr>
                <w:rFonts w:hint="cs"/>
                <w:rtl/>
              </w:rPr>
              <w:t>027 290 9</w:t>
            </w:r>
          </w:p>
        </w:tc>
        <w:tc>
          <w:tcPr>
            <w:tcW w:w="1800" w:type="dxa"/>
          </w:tcPr>
          <w:p w:rsidR="00443EC1" w:rsidRDefault="00443EC1">
            <w:pPr>
              <w:spacing w:before="120" w:after="120" w:line="280" w:lineRule="exact"/>
              <w:jc w:val="both"/>
              <w:rPr>
                <w:rStyle w:val="FootnoteReference"/>
                <w:rFonts w:hint="cs"/>
                <w:bCs w:val="0"/>
                <w:vertAlign w:val="baseline"/>
              </w:rPr>
            </w:pPr>
            <w:r>
              <w:rPr>
                <w:rFonts w:hint="cs"/>
                <w:rtl/>
              </w:rPr>
              <w:t>306 793 17</w:t>
            </w:r>
          </w:p>
        </w:tc>
        <w:tc>
          <w:tcPr>
            <w:tcW w:w="1440" w:type="dxa"/>
          </w:tcPr>
          <w:p w:rsidR="00443EC1" w:rsidRDefault="00443EC1">
            <w:pPr>
              <w:spacing w:before="120" w:after="120" w:line="280" w:lineRule="exact"/>
              <w:jc w:val="both"/>
              <w:rPr>
                <w:rStyle w:val="FootnoteReference"/>
                <w:rFonts w:hint="cs"/>
                <w:bCs w:val="0"/>
                <w:vertAlign w:val="baseline"/>
              </w:rPr>
            </w:pPr>
            <w:r>
              <w:rPr>
                <w:rFonts w:hint="cs"/>
                <w:rtl/>
              </w:rPr>
              <w:t>748 786</w:t>
            </w:r>
          </w:p>
        </w:tc>
        <w:tc>
          <w:tcPr>
            <w:tcW w:w="1620" w:type="dxa"/>
          </w:tcPr>
          <w:p w:rsidR="00443EC1" w:rsidRDefault="00443EC1">
            <w:pPr>
              <w:spacing w:before="120" w:after="120" w:line="280" w:lineRule="exact"/>
              <w:jc w:val="both"/>
              <w:rPr>
                <w:rStyle w:val="FootnoteReference"/>
                <w:rFonts w:hint="cs"/>
                <w:bCs w:val="0"/>
                <w:vertAlign w:val="baseline"/>
              </w:rPr>
            </w:pPr>
            <w:r>
              <w:rPr>
                <w:rFonts w:hint="cs"/>
                <w:rtl/>
              </w:rPr>
              <w:t>980 980</w:t>
            </w:r>
          </w:p>
        </w:tc>
        <w:tc>
          <w:tcPr>
            <w:tcW w:w="1212" w:type="dxa"/>
          </w:tcPr>
          <w:p w:rsidR="00443EC1" w:rsidRDefault="00443EC1">
            <w:pPr>
              <w:spacing w:before="120" w:after="120" w:line="280" w:lineRule="exact"/>
              <w:jc w:val="both"/>
              <w:rPr>
                <w:rStyle w:val="FootnoteReference"/>
                <w:rFonts w:hint="cs"/>
                <w:bCs w:val="0"/>
                <w:vertAlign w:val="baseline"/>
              </w:rPr>
            </w:pPr>
            <w:r>
              <w:rPr>
                <w:rFonts w:hint="cs"/>
                <w:rtl/>
              </w:rPr>
              <w:t>1.6</w:t>
            </w:r>
          </w:p>
        </w:tc>
      </w:tr>
      <w:tr w:rsidR="00443EC1" w:rsidTr="00443EC1">
        <w:tblPrEx>
          <w:tblCellMar>
            <w:top w:w="0" w:type="dxa"/>
            <w:bottom w:w="0" w:type="dxa"/>
          </w:tblCellMar>
        </w:tblPrEx>
        <w:trPr>
          <w:jc w:val="center"/>
        </w:trPr>
        <w:tc>
          <w:tcPr>
            <w:tcW w:w="1260" w:type="dxa"/>
          </w:tcPr>
          <w:p w:rsidR="00443EC1" w:rsidRDefault="00443EC1">
            <w:pPr>
              <w:spacing w:before="120" w:after="120" w:line="280" w:lineRule="exact"/>
              <w:jc w:val="both"/>
              <w:rPr>
                <w:rStyle w:val="FootnoteReference"/>
                <w:rFonts w:hint="cs"/>
                <w:bCs w:val="0"/>
                <w:vertAlign w:val="baseline"/>
              </w:rPr>
            </w:pPr>
            <w:r>
              <w:rPr>
                <w:rFonts w:hint="cs"/>
                <w:rtl/>
              </w:rPr>
              <w:t>1995</w:t>
            </w:r>
          </w:p>
        </w:tc>
        <w:tc>
          <w:tcPr>
            <w:tcW w:w="1800" w:type="dxa"/>
          </w:tcPr>
          <w:p w:rsidR="00443EC1" w:rsidRDefault="00443EC1">
            <w:pPr>
              <w:spacing w:before="120" w:after="120" w:line="280" w:lineRule="exact"/>
              <w:jc w:val="both"/>
              <w:rPr>
                <w:rStyle w:val="FootnoteReference"/>
                <w:rFonts w:hint="cs"/>
                <w:bCs w:val="0"/>
                <w:vertAlign w:val="baseline"/>
              </w:rPr>
            </w:pPr>
            <w:r>
              <w:rPr>
                <w:rFonts w:hint="cs"/>
                <w:rtl/>
              </w:rPr>
              <w:t>061 297 9</w:t>
            </w:r>
          </w:p>
        </w:tc>
        <w:tc>
          <w:tcPr>
            <w:tcW w:w="1800" w:type="dxa"/>
          </w:tcPr>
          <w:p w:rsidR="00443EC1" w:rsidRDefault="00443EC1">
            <w:pPr>
              <w:spacing w:before="120" w:after="120" w:line="280" w:lineRule="exact"/>
              <w:jc w:val="both"/>
              <w:rPr>
                <w:rStyle w:val="FootnoteReference"/>
                <w:rFonts w:hint="cs"/>
                <w:bCs w:val="0"/>
                <w:vertAlign w:val="baseline"/>
              </w:rPr>
            </w:pPr>
            <w:r>
              <w:rPr>
                <w:rFonts w:hint="cs"/>
                <w:rtl/>
              </w:rPr>
              <w:t>657 760 17</w:t>
            </w:r>
          </w:p>
        </w:tc>
        <w:tc>
          <w:tcPr>
            <w:tcW w:w="1440" w:type="dxa"/>
          </w:tcPr>
          <w:p w:rsidR="00443EC1" w:rsidRDefault="00443EC1">
            <w:pPr>
              <w:spacing w:before="120" w:after="120" w:line="280" w:lineRule="exact"/>
              <w:jc w:val="both"/>
              <w:rPr>
                <w:rStyle w:val="FootnoteReference"/>
                <w:rFonts w:hint="cs"/>
                <w:bCs w:val="0"/>
                <w:vertAlign w:val="baseline"/>
              </w:rPr>
            </w:pPr>
            <w:r>
              <w:rPr>
                <w:rFonts w:hint="cs"/>
                <w:rtl/>
              </w:rPr>
              <w:t>465 833</w:t>
            </w:r>
          </w:p>
        </w:tc>
        <w:tc>
          <w:tcPr>
            <w:tcW w:w="1620" w:type="dxa"/>
          </w:tcPr>
          <w:p w:rsidR="00443EC1" w:rsidRDefault="00443EC1">
            <w:pPr>
              <w:spacing w:before="120" w:after="120" w:line="280" w:lineRule="exact"/>
              <w:jc w:val="both"/>
              <w:rPr>
                <w:rStyle w:val="FootnoteReference"/>
                <w:rFonts w:hint="cs"/>
                <w:bCs w:val="0"/>
                <w:vertAlign w:val="baseline"/>
              </w:rPr>
            </w:pPr>
            <w:r>
              <w:rPr>
                <w:rFonts w:hint="cs"/>
                <w:rtl/>
              </w:rPr>
              <w:t>196 055 1</w:t>
            </w:r>
          </w:p>
        </w:tc>
        <w:tc>
          <w:tcPr>
            <w:tcW w:w="1212" w:type="dxa"/>
          </w:tcPr>
          <w:p w:rsidR="00443EC1" w:rsidRDefault="00443EC1">
            <w:pPr>
              <w:spacing w:before="120" w:after="120" w:line="280" w:lineRule="exact"/>
              <w:jc w:val="both"/>
              <w:rPr>
                <w:rStyle w:val="FootnoteReference"/>
                <w:rFonts w:hint="cs"/>
                <w:bCs w:val="0"/>
                <w:vertAlign w:val="baseline"/>
              </w:rPr>
            </w:pPr>
            <w:r>
              <w:rPr>
                <w:rFonts w:hint="cs"/>
                <w:rtl/>
              </w:rPr>
              <w:t>1.8</w:t>
            </w:r>
          </w:p>
        </w:tc>
      </w:tr>
      <w:tr w:rsidR="00443EC1" w:rsidTr="00443EC1">
        <w:tblPrEx>
          <w:tblCellMar>
            <w:top w:w="0" w:type="dxa"/>
            <w:bottom w:w="0" w:type="dxa"/>
          </w:tblCellMar>
        </w:tblPrEx>
        <w:trPr>
          <w:jc w:val="center"/>
        </w:trPr>
        <w:tc>
          <w:tcPr>
            <w:tcW w:w="1260" w:type="dxa"/>
          </w:tcPr>
          <w:p w:rsidR="00443EC1" w:rsidRDefault="00443EC1">
            <w:pPr>
              <w:spacing w:before="120" w:after="120" w:line="280" w:lineRule="exact"/>
              <w:jc w:val="both"/>
              <w:rPr>
                <w:rStyle w:val="FootnoteReference"/>
                <w:rFonts w:hint="cs"/>
                <w:bCs w:val="0"/>
                <w:vertAlign w:val="baseline"/>
              </w:rPr>
            </w:pPr>
            <w:r>
              <w:rPr>
                <w:rFonts w:hint="cs"/>
                <w:rtl/>
              </w:rPr>
              <w:t>1996</w:t>
            </w:r>
          </w:p>
        </w:tc>
        <w:tc>
          <w:tcPr>
            <w:tcW w:w="1800" w:type="dxa"/>
          </w:tcPr>
          <w:p w:rsidR="00443EC1" w:rsidRDefault="00443EC1">
            <w:pPr>
              <w:spacing w:before="120" w:after="120" w:line="280" w:lineRule="exact"/>
              <w:jc w:val="both"/>
              <w:rPr>
                <w:rStyle w:val="FootnoteReference"/>
                <w:rFonts w:hint="cs"/>
                <w:bCs w:val="0"/>
                <w:vertAlign w:val="baseline"/>
              </w:rPr>
            </w:pPr>
            <w:r>
              <w:rPr>
                <w:rFonts w:hint="cs"/>
                <w:rtl/>
              </w:rPr>
              <w:t>615 339 9</w:t>
            </w:r>
          </w:p>
        </w:tc>
        <w:tc>
          <w:tcPr>
            <w:tcW w:w="1800" w:type="dxa"/>
          </w:tcPr>
          <w:p w:rsidR="00443EC1" w:rsidRDefault="00443EC1">
            <w:pPr>
              <w:spacing w:before="120" w:after="120" w:line="280" w:lineRule="exact"/>
              <w:jc w:val="both"/>
              <w:rPr>
                <w:rStyle w:val="FootnoteReference"/>
                <w:rFonts w:hint="cs"/>
                <w:bCs w:val="0"/>
                <w:vertAlign w:val="baseline"/>
              </w:rPr>
            </w:pPr>
            <w:r>
              <w:rPr>
                <w:rFonts w:hint="cs"/>
                <w:rtl/>
              </w:rPr>
              <w:t>240 817 17</w:t>
            </w:r>
          </w:p>
        </w:tc>
        <w:tc>
          <w:tcPr>
            <w:tcW w:w="1440" w:type="dxa"/>
          </w:tcPr>
          <w:p w:rsidR="00443EC1" w:rsidRDefault="00443EC1">
            <w:pPr>
              <w:spacing w:before="120" w:after="120" w:line="280" w:lineRule="exact"/>
              <w:jc w:val="both"/>
              <w:rPr>
                <w:rStyle w:val="FootnoteReference"/>
                <w:rFonts w:hint="cs"/>
                <w:bCs w:val="0"/>
                <w:vertAlign w:val="baseline"/>
              </w:rPr>
            </w:pPr>
            <w:r>
              <w:rPr>
                <w:rFonts w:hint="cs"/>
                <w:rtl/>
              </w:rPr>
              <w:t>990 861</w:t>
            </w:r>
          </w:p>
        </w:tc>
        <w:tc>
          <w:tcPr>
            <w:tcW w:w="1620" w:type="dxa"/>
          </w:tcPr>
          <w:p w:rsidR="00443EC1" w:rsidRDefault="00443EC1">
            <w:pPr>
              <w:spacing w:before="120" w:after="120" w:line="280" w:lineRule="exact"/>
              <w:jc w:val="both"/>
              <w:rPr>
                <w:rStyle w:val="FootnoteReference"/>
                <w:rFonts w:hint="cs"/>
                <w:bCs w:val="0"/>
                <w:vertAlign w:val="baseline"/>
              </w:rPr>
            </w:pPr>
            <w:r>
              <w:rPr>
                <w:rFonts w:hint="cs"/>
                <w:rtl/>
              </w:rPr>
              <w:t>215 332 1</w:t>
            </w:r>
          </w:p>
        </w:tc>
        <w:tc>
          <w:tcPr>
            <w:tcW w:w="1212" w:type="dxa"/>
          </w:tcPr>
          <w:p w:rsidR="00443EC1" w:rsidRDefault="00443EC1">
            <w:pPr>
              <w:spacing w:before="120" w:after="120" w:line="280" w:lineRule="exact"/>
              <w:jc w:val="both"/>
              <w:rPr>
                <w:rStyle w:val="FootnoteReference"/>
                <w:rFonts w:hint="cs"/>
                <w:bCs w:val="0"/>
                <w:vertAlign w:val="baseline"/>
              </w:rPr>
            </w:pPr>
            <w:r>
              <w:rPr>
                <w:rFonts w:hint="cs"/>
                <w:rtl/>
              </w:rPr>
              <w:t>1.8</w:t>
            </w:r>
          </w:p>
        </w:tc>
      </w:tr>
      <w:tr w:rsidR="00443EC1" w:rsidTr="00443EC1">
        <w:tblPrEx>
          <w:tblCellMar>
            <w:top w:w="0" w:type="dxa"/>
            <w:bottom w:w="0" w:type="dxa"/>
          </w:tblCellMar>
        </w:tblPrEx>
        <w:trPr>
          <w:jc w:val="center"/>
        </w:trPr>
        <w:tc>
          <w:tcPr>
            <w:tcW w:w="1260" w:type="dxa"/>
          </w:tcPr>
          <w:p w:rsidR="00443EC1" w:rsidRDefault="00443EC1">
            <w:pPr>
              <w:spacing w:before="120" w:after="120" w:line="280" w:lineRule="exact"/>
              <w:jc w:val="both"/>
              <w:rPr>
                <w:rStyle w:val="FootnoteReference"/>
                <w:rFonts w:hint="cs"/>
                <w:bCs w:val="0"/>
                <w:vertAlign w:val="baseline"/>
              </w:rPr>
            </w:pPr>
            <w:r>
              <w:rPr>
                <w:rFonts w:hint="cs"/>
                <w:rtl/>
              </w:rPr>
              <w:t>1997</w:t>
            </w:r>
          </w:p>
        </w:tc>
        <w:tc>
          <w:tcPr>
            <w:tcW w:w="1800" w:type="dxa"/>
          </w:tcPr>
          <w:p w:rsidR="00443EC1" w:rsidRDefault="00443EC1">
            <w:pPr>
              <w:spacing w:before="120" w:after="120" w:line="280" w:lineRule="exact"/>
              <w:jc w:val="both"/>
              <w:rPr>
                <w:rStyle w:val="FootnoteReference"/>
                <w:rFonts w:hint="cs"/>
                <w:bCs w:val="0"/>
                <w:vertAlign w:val="baseline"/>
              </w:rPr>
            </w:pPr>
            <w:r>
              <w:rPr>
                <w:rFonts w:hint="cs"/>
                <w:rtl/>
              </w:rPr>
              <w:t>571 090 9</w:t>
            </w:r>
          </w:p>
        </w:tc>
        <w:tc>
          <w:tcPr>
            <w:tcW w:w="1800" w:type="dxa"/>
          </w:tcPr>
          <w:p w:rsidR="00443EC1" w:rsidRDefault="00443EC1">
            <w:pPr>
              <w:spacing w:before="120" w:after="120" w:line="280" w:lineRule="exact"/>
              <w:jc w:val="both"/>
              <w:rPr>
                <w:rStyle w:val="FootnoteReference"/>
                <w:rFonts w:hint="cs"/>
                <w:bCs w:val="0"/>
                <w:vertAlign w:val="baseline"/>
              </w:rPr>
            </w:pPr>
            <w:r>
              <w:rPr>
                <w:rFonts w:hint="cs"/>
                <w:rtl/>
              </w:rPr>
              <w:t>504 259 17</w:t>
            </w:r>
          </w:p>
        </w:tc>
        <w:tc>
          <w:tcPr>
            <w:tcW w:w="1440" w:type="dxa"/>
          </w:tcPr>
          <w:p w:rsidR="00443EC1" w:rsidRDefault="00443EC1">
            <w:pPr>
              <w:spacing w:before="120" w:after="120" w:line="280" w:lineRule="exact"/>
              <w:jc w:val="both"/>
              <w:rPr>
                <w:rStyle w:val="FootnoteReference"/>
                <w:rFonts w:hint="cs"/>
                <w:bCs w:val="0"/>
                <w:vertAlign w:val="baseline"/>
              </w:rPr>
            </w:pPr>
            <w:r>
              <w:rPr>
                <w:rFonts w:hint="cs"/>
                <w:rtl/>
              </w:rPr>
              <w:t>638 921</w:t>
            </w:r>
          </w:p>
        </w:tc>
        <w:tc>
          <w:tcPr>
            <w:tcW w:w="1620" w:type="dxa"/>
          </w:tcPr>
          <w:p w:rsidR="00443EC1" w:rsidRDefault="00443EC1">
            <w:pPr>
              <w:spacing w:before="120" w:after="120" w:line="280" w:lineRule="exact"/>
              <w:jc w:val="both"/>
              <w:rPr>
                <w:rStyle w:val="FootnoteReference"/>
                <w:rFonts w:hint="cs"/>
                <w:bCs w:val="0"/>
                <w:vertAlign w:val="baseline"/>
              </w:rPr>
            </w:pPr>
            <w:r>
              <w:rPr>
                <w:rFonts w:hint="cs"/>
                <w:rtl/>
              </w:rPr>
              <w:t>759 197 1</w:t>
            </w:r>
          </w:p>
        </w:tc>
        <w:tc>
          <w:tcPr>
            <w:tcW w:w="1212" w:type="dxa"/>
          </w:tcPr>
          <w:p w:rsidR="00443EC1" w:rsidRDefault="00443EC1">
            <w:pPr>
              <w:spacing w:before="120" w:after="120" w:line="280" w:lineRule="exact"/>
              <w:jc w:val="both"/>
              <w:rPr>
                <w:rStyle w:val="FootnoteReference"/>
                <w:rFonts w:hint="cs"/>
                <w:bCs w:val="0"/>
                <w:vertAlign w:val="baseline"/>
              </w:rPr>
            </w:pPr>
            <w:r>
              <w:rPr>
                <w:rFonts w:hint="cs"/>
                <w:rtl/>
              </w:rPr>
              <w:t>1.9</w:t>
            </w:r>
          </w:p>
        </w:tc>
      </w:tr>
      <w:tr w:rsidR="00443EC1" w:rsidTr="00443EC1">
        <w:tblPrEx>
          <w:tblCellMar>
            <w:top w:w="0" w:type="dxa"/>
            <w:bottom w:w="0" w:type="dxa"/>
          </w:tblCellMar>
        </w:tblPrEx>
        <w:trPr>
          <w:jc w:val="center"/>
        </w:trPr>
        <w:tc>
          <w:tcPr>
            <w:tcW w:w="1260" w:type="dxa"/>
          </w:tcPr>
          <w:p w:rsidR="00443EC1" w:rsidRDefault="00443EC1">
            <w:pPr>
              <w:spacing w:before="120" w:after="120" w:line="280" w:lineRule="exact"/>
              <w:jc w:val="both"/>
              <w:rPr>
                <w:rStyle w:val="FootnoteReference"/>
                <w:rFonts w:hint="cs"/>
                <w:bCs w:val="0"/>
                <w:vertAlign w:val="baseline"/>
              </w:rPr>
            </w:pPr>
            <w:r>
              <w:rPr>
                <w:rFonts w:hint="cs"/>
                <w:rtl/>
              </w:rPr>
              <w:t>1998</w:t>
            </w:r>
          </w:p>
        </w:tc>
        <w:tc>
          <w:tcPr>
            <w:tcW w:w="1800" w:type="dxa"/>
          </w:tcPr>
          <w:p w:rsidR="00443EC1" w:rsidRDefault="00443EC1">
            <w:pPr>
              <w:spacing w:before="120" w:after="120" w:line="280" w:lineRule="exact"/>
              <w:jc w:val="both"/>
              <w:rPr>
                <w:rStyle w:val="FootnoteReference"/>
                <w:rFonts w:hint="cs"/>
                <w:bCs w:val="0"/>
                <w:vertAlign w:val="baseline"/>
              </w:rPr>
            </w:pPr>
            <w:r>
              <w:rPr>
                <w:rFonts w:hint="cs"/>
                <w:rtl/>
              </w:rPr>
              <w:t>593 866 8</w:t>
            </w:r>
          </w:p>
        </w:tc>
        <w:tc>
          <w:tcPr>
            <w:tcW w:w="1800" w:type="dxa"/>
          </w:tcPr>
          <w:p w:rsidR="00443EC1" w:rsidRDefault="00443EC1">
            <w:pPr>
              <w:spacing w:before="120" w:after="120" w:line="280" w:lineRule="exact"/>
              <w:jc w:val="both"/>
              <w:rPr>
                <w:rStyle w:val="FootnoteReference"/>
                <w:rFonts w:hint="cs"/>
                <w:bCs w:val="0"/>
                <w:vertAlign w:val="baseline"/>
              </w:rPr>
            </w:pPr>
            <w:r>
              <w:rPr>
                <w:rFonts w:hint="cs"/>
                <w:rtl/>
              </w:rPr>
              <w:t>749 753 16</w:t>
            </w:r>
          </w:p>
        </w:tc>
        <w:tc>
          <w:tcPr>
            <w:tcW w:w="1440" w:type="dxa"/>
          </w:tcPr>
          <w:p w:rsidR="00443EC1" w:rsidRDefault="00443EC1">
            <w:pPr>
              <w:spacing w:before="120" w:after="120" w:line="280" w:lineRule="exact"/>
              <w:jc w:val="both"/>
              <w:rPr>
                <w:rStyle w:val="FootnoteReference"/>
                <w:rFonts w:hint="cs"/>
                <w:bCs w:val="0"/>
                <w:vertAlign w:val="baseline"/>
              </w:rPr>
            </w:pPr>
            <w:r>
              <w:rPr>
                <w:rFonts w:hint="cs"/>
                <w:rtl/>
              </w:rPr>
              <w:t>437 979</w:t>
            </w:r>
          </w:p>
        </w:tc>
        <w:tc>
          <w:tcPr>
            <w:tcW w:w="1620" w:type="dxa"/>
          </w:tcPr>
          <w:p w:rsidR="00443EC1" w:rsidRDefault="00443EC1">
            <w:pPr>
              <w:spacing w:before="120" w:after="120" w:line="280" w:lineRule="exact"/>
              <w:jc w:val="both"/>
              <w:rPr>
                <w:rStyle w:val="FootnoteReference"/>
                <w:rFonts w:hint="cs"/>
                <w:bCs w:val="0"/>
                <w:vertAlign w:val="baseline"/>
              </w:rPr>
            </w:pPr>
            <w:r>
              <w:rPr>
                <w:rFonts w:hint="cs"/>
                <w:rtl/>
              </w:rPr>
              <w:t>214 190 1</w:t>
            </w:r>
          </w:p>
        </w:tc>
        <w:tc>
          <w:tcPr>
            <w:tcW w:w="1212" w:type="dxa"/>
          </w:tcPr>
          <w:p w:rsidR="00443EC1" w:rsidRDefault="00443EC1">
            <w:pPr>
              <w:spacing w:before="120" w:after="120" w:line="280" w:lineRule="exact"/>
              <w:jc w:val="both"/>
              <w:rPr>
                <w:rStyle w:val="FootnoteReference"/>
                <w:rFonts w:hint="cs"/>
                <w:bCs w:val="0"/>
                <w:vertAlign w:val="baseline"/>
              </w:rPr>
            </w:pPr>
            <w:r>
              <w:rPr>
                <w:rFonts w:hint="cs"/>
                <w:rtl/>
              </w:rPr>
              <w:t>1.9</w:t>
            </w:r>
          </w:p>
        </w:tc>
      </w:tr>
      <w:tr w:rsidR="00443EC1" w:rsidTr="00443EC1">
        <w:tblPrEx>
          <w:tblCellMar>
            <w:top w:w="0" w:type="dxa"/>
            <w:bottom w:w="0" w:type="dxa"/>
          </w:tblCellMar>
        </w:tblPrEx>
        <w:trPr>
          <w:jc w:val="center"/>
        </w:trPr>
        <w:tc>
          <w:tcPr>
            <w:tcW w:w="1260" w:type="dxa"/>
          </w:tcPr>
          <w:p w:rsidR="00443EC1" w:rsidRDefault="00443EC1">
            <w:pPr>
              <w:spacing w:before="120" w:after="120" w:line="280" w:lineRule="exact"/>
              <w:jc w:val="both"/>
              <w:rPr>
                <w:rStyle w:val="FootnoteReference"/>
                <w:rFonts w:hint="cs"/>
                <w:bCs w:val="0"/>
                <w:vertAlign w:val="baseline"/>
              </w:rPr>
            </w:pPr>
            <w:r>
              <w:rPr>
                <w:rFonts w:hint="cs"/>
                <w:rtl/>
              </w:rPr>
              <w:t>1999</w:t>
            </w:r>
          </w:p>
        </w:tc>
        <w:tc>
          <w:tcPr>
            <w:tcW w:w="1800" w:type="dxa"/>
          </w:tcPr>
          <w:p w:rsidR="00443EC1" w:rsidRDefault="00443EC1">
            <w:pPr>
              <w:spacing w:before="120" w:after="120" w:line="280" w:lineRule="exact"/>
              <w:jc w:val="both"/>
              <w:rPr>
                <w:rStyle w:val="FootnoteReference"/>
                <w:rFonts w:hint="cs"/>
                <w:bCs w:val="0"/>
                <w:vertAlign w:val="baseline"/>
              </w:rPr>
            </w:pPr>
            <w:r>
              <w:rPr>
                <w:rFonts w:hint="cs"/>
                <w:rtl/>
              </w:rPr>
              <w:t>079 799 8</w:t>
            </w:r>
          </w:p>
        </w:tc>
        <w:tc>
          <w:tcPr>
            <w:tcW w:w="1800" w:type="dxa"/>
          </w:tcPr>
          <w:p w:rsidR="00443EC1" w:rsidRDefault="00443EC1">
            <w:pPr>
              <w:spacing w:before="120" w:after="120" w:line="280" w:lineRule="exact"/>
              <w:jc w:val="both"/>
              <w:rPr>
                <w:rStyle w:val="FootnoteReference"/>
                <w:rFonts w:hint="cs"/>
                <w:bCs w:val="0"/>
                <w:vertAlign w:val="baseline"/>
              </w:rPr>
            </w:pPr>
            <w:r>
              <w:rPr>
                <w:rFonts w:hint="cs"/>
                <w:rtl/>
              </w:rPr>
              <w:t>593 583 16</w:t>
            </w:r>
          </w:p>
        </w:tc>
        <w:tc>
          <w:tcPr>
            <w:tcW w:w="1440" w:type="dxa"/>
          </w:tcPr>
          <w:p w:rsidR="00443EC1" w:rsidRDefault="00443EC1">
            <w:pPr>
              <w:spacing w:before="120" w:after="120" w:line="280" w:lineRule="exact"/>
              <w:jc w:val="both"/>
              <w:rPr>
                <w:rStyle w:val="FootnoteReference"/>
                <w:rFonts w:hint="cs"/>
                <w:bCs w:val="0"/>
                <w:vertAlign w:val="baseline"/>
              </w:rPr>
            </w:pPr>
            <w:r>
              <w:rPr>
                <w:rFonts w:hint="cs"/>
                <w:rtl/>
              </w:rPr>
              <w:t>565 004 1</w:t>
            </w:r>
          </w:p>
        </w:tc>
        <w:tc>
          <w:tcPr>
            <w:tcW w:w="1620" w:type="dxa"/>
          </w:tcPr>
          <w:p w:rsidR="00443EC1" w:rsidRDefault="00443EC1">
            <w:pPr>
              <w:spacing w:before="120" w:after="120" w:line="280" w:lineRule="exact"/>
              <w:jc w:val="both"/>
              <w:rPr>
                <w:rStyle w:val="FootnoteReference"/>
                <w:rFonts w:hint="cs"/>
                <w:bCs w:val="0"/>
                <w:vertAlign w:val="baseline"/>
              </w:rPr>
            </w:pPr>
            <w:r>
              <w:rPr>
                <w:rFonts w:hint="cs"/>
                <w:rtl/>
              </w:rPr>
              <w:t>541 201 1</w:t>
            </w:r>
          </w:p>
        </w:tc>
        <w:tc>
          <w:tcPr>
            <w:tcW w:w="1212" w:type="dxa"/>
          </w:tcPr>
          <w:p w:rsidR="00443EC1" w:rsidRDefault="00443EC1">
            <w:pPr>
              <w:spacing w:before="120" w:after="120" w:line="280" w:lineRule="exact"/>
              <w:jc w:val="both"/>
              <w:rPr>
                <w:rStyle w:val="FootnoteReference"/>
                <w:rFonts w:hint="cs"/>
                <w:bCs w:val="0"/>
                <w:vertAlign w:val="baseline"/>
              </w:rPr>
            </w:pPr>
            <w:r>
              <w:rPr>
                <w:rFonts w:hint="cs"/>
                <w:rtl/>
              </w:rPr>
              <w:t>1.9</w:t>
            </w:r>
          </w:p>
        </w:tc>
      </w:tr>
      <w:tr w:rsidR="00443EC1" w:rsidTr="00443EC1">
        <w:tblPrEx>
          <w:tblCellMar>
            <w:top w:w="0" w:type="dxa"/>
            <w:bottom w:w="0" w:type="dxa"/>
          </w:tblCellMar>
        </w:tblPrEx>
        <w:trPr>
          <w:jc w:val="center"/>
        </w:trPr>
        <w:tc>
          <w:tcPr>
            <w:tcW w:w="1260" w:type="dxa"/>
          </w:tcPr>
          <w:p w:rsidR="00443EC1" w:rsidRDefault="00443EC1">
            <w:pPr>
              <w:spacing w:before="120" w:after="120" w:line="280" w:lineRule="exact"/>
              <w:jc w:val="both"/>
              <w:rPr>
                <w:rStyle w:val="FootnoteReference"/>
                <w:rFonts w:hint="cs"/>
                <w:bCs w:val="0"/>
                <w:vertAlign w:val="baseline"/>
              </w:rPr>
            </w:pPr>
            <w:r>
              <w:rPr>
                <w:rFonts w:hint="cs"/>
                <w:rtl/>
              </w:rPr>
              <w:t>2000</w:t>
            </w:r>
          </w:p>
        </w:tc>
        <w:tc>
          <w:tcPr>
            <w:tcW w:w="1800" w:type="dxa"/>
          </w:tcPr>
          <w:p w:rsidR="00443EC1" w:rsidRDefault="00443EC1">
            <w:pPr>
              <w:spacing w:before="120" w:after="120" w:line="280" w:lineRule="exact"/>
              <w:jc w:val="both"/>
              <w:rPr>
                <w:rStyle w:val="FootnoteReference"/>
                <w:rFonts w:hint="cs"/>
                <w:bCs w:val="0"/>
                <w:vertAlign w:val="baseline"/>
              </w:rPr>
            </w:pPr>
            <w:r>
              <w:rPr>
                <w:rFonts w:hint="cs"/>
                <w:rtl/>
              </w:rPr>
              <w:t>044 420 8</w:t>
            </w:r>
          </w:p>
        </w:tc>
        <w:tc>
          <w:tcPr>
            <w:tcW w:w="1800" w:type="dxa"/>
          </w:tcPr>
          <w:p w:rsidR="00443EC1" w:rsidRDefault="00443EC1">
            <w:pPr>
              <w:spacing w:before="120" w:after="120" w:line="280" w:lineRule="exact"/>
              <w:jc w:val="both"/>
              <w:rPr>
                <w:rStyle w:val="FootnoteReference"/>
                <w:rFonts w:hint="cs"/>
                <w:bCs w:val="0"/>
                <w:vertAlign w:val="baseline"/>
              </w:rPr>
            </w:pPr>
            <w:r>
              <w:rPr>
                <w:rFonts w:hint="cs"/>
                <w:rtl/>
              </w:rPr>
              <w:t>933 813 15</w:t>
            </w:r>
          </w:p>
        </w:tc>
        <w:tc>
          <w:tcPr>
            <w:tcW w:w="1440" w:type="dxa"/>
          </w:tcPr>
          <w:p w:rsidR="00443EC1" w:rsidRDefault="00443EC1">
            <w:pPr>
              <w:spacing w:before="120" w:after="120" w:line="280" w:lineRule="exact"/>
              <w:jc w:val="both"/>
              <w:rPr>
                <w:rStyle w:val="FootnoteReference"/>
                <w:rFonts w:hint="cs"/>
                <w:bCs w:val="0"/>
                <w:vertAlign w:val="baseline"/>
              </w:rPr>
            </w:pPr>
            <w:r>
              <w:rPr>
                <w:rFonts w:hint="cs"/>
                <w:rtl/>
              </w:rPr>
              <w:t>155 026 1</w:t>
            </w:r>
          </w:p>
        </w:tc>
        <w:tc>
          <w:tcPr>
            <w:tcW w:w="1620" w:type="dxa"/>
          </w:tcPr>
          <w:p w:rsidR="00443EC1" w:rsidRDefault="00443EC1">
            <w:pPr>
              <w:spacing w:before="120" w:after="120" w:line="280" w:lineRule="exact"/>
              <w:jc w:val="both"/>
              <w:rPr>
                <w:rStyle w:val="FootnoteReference"/>
                <w:rFonts w:hint="cs"/>
                <w:bCs w:val="0"/>
                <w:vertAlign w:val="baseline"/>
              </w:rPr>
            </w:pPr>
            <w:r>
              <w:rPr>
                <w:rFonts w:hint="cs"/>
                <w:rtl/>
              </w:rPr>
              <w:t>863 212 1</w:t>
            </w:r>
          </w:p>
        </w:tc>
        <w:tc>
          <w:tcPr>
            <w:tcW w:w="1212" w:type="dxa"/>
          </w:tcPr>
          <w:p w:rsidR="00443EC1" w:rsidRDefault="00443EC1">
            <w:pPr>
              <w:spacing w:before="120" w:after="120" w:line="280" w:lineRule="exact"/>
              <w:jc w:val="both"/>
              <w:rPr>
                <w:rStyle w:val="FootnoteReference"/>
                <w:rFonts w:hint="cs"/>
                <w:bCs w:val="0"/>
                <w:vertAlign w:val="baseline"/>
              </w:rPr>
            </w:pPr>
            <w:r>
              <w:rPr>
                <w:rFonts w:hint="cs"/>
                <w:rtl/>
              </w:rPr>
              <w:t>1.9</w:t>
            </w:r>
          </w:p>
        </w:tc>
      </w:tr>
    </w:tbl>
    <w:p w:rsidR="00000000" w:rsidRDefault="00443EC1">
      <w:pPr>
        <w:jc w:val="both"/>
        <w:rPr>
          <w:rStyle w:val="FootnoteReference"/>
          <w:rFonts w:hint="cs"/>
          <w:bCs w:val="0"/>
          <w:vertAlign w:val="baseline"/>
          <w:rtl/>
        </w:rPr>
      </w:pPr>
      <w:r>
        <w:rPr>
          <w:rFonts w:hint="cs"/>
          <w:i/>
          <w:iCs/>
          <w:rtl/>
        </w:rPr>
        <w:tab/>
        <w:t>المصدر</w:t>
      </w:r>
      <w:r>
        <w:rPr>
          <w:rFonts w:hint="cs"/>
          <w:rtl/>
        </w:rPr>
        <w:t>: مكتب الإحصاء الوطني، الحولية الإحصائية الوطنية الصينية، 2001.</w:t>
      </w:r>
    </w:p>
    <w:p w:rsidR="00000000" w:rsidRDefault="00443EC1">
      <w:pPr>
        <w:jc w:val="center"/>
        <w:rPr>
          <w:rFonts w:hint="cs"/>
          <w:b/>
          <w:bCs/>
          <w:rtl/>
        </w:rPr>
      </w:pPr>
      <w:r>
        <w:rPr>
          <w:b/>
          <w:bCs/>
          <w:rtl/>
        </w:rPr>
        <w:br w:type="page"/>
      </w:r>
      <w:r>
        <w:rPr>
          <w:rFonts w:hint="cs"/>
          <w:b/>
          <w:bCs/>
          <w:rtl/>
        </w:rPr>
        <w:t>الجدول 2</w:t>
      </w:r>
    </w:p>
    <w:p w:rsidR="00000000" w:rsidRDefault="00443EC1">
      <w:pPr>
        <w:jc w:val="center"/>
        <w:rPr>
          <w:rFonts w:hint="cs"/>
          <w:b/>
          <w:bCs/>
          <w:rtl/>
        </w:rPr>
      </w:pPr>
      <w:r>
        <w:rPr>
          <w:rFonts w:hint="cs"/>
          <w:b/>
          <w:bCs/>
          <w:rtl/>
        </w:rPr>
        <w:t>حماية النساء العاملات أثناء حملهن وأثناء فترة الإرضاع الطبيعي،</w:t>
      </w:r>
    </w:p>
    <w:p w:rsidR="00000000" w:rsidRDefault="00443EC1">
      <w:pPr>
        <w:jc w:val="center"/>
        <w:rPr>
          <w:rFonts w:hint="cs"/>
          <w:b/>
          <w:bCs/>
          <w:rtl/>
        </w:rPr>
      </w:pPr>
      <w:r>
        <w:rPr>
          <w:rFonts w:hint="cs"/>
          <w:b/>
          <w:bCs/>
          <w:rtl/>
        </w:rPr>
        <w:t>1996-2000</w:t>
      </w:r>
    </w:p>
    <w:tbl>
      <w:tblPr>
        <w:bidiVisual/>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793"/>
        <w:gridCol w:w="1416"/>
        <w:gridCol w:w="1362"/>
      </w:tblGrid>
      <w:tr w:rsidR="00443EC1" w:rsidTr="00443EC1">
        <w:tblPrEx>
          <w:tblCellMar>
            <w:top w:w="0" w:type="dxa"/>
            <w:bottom w:w="0" w:type="dxa"/>
          </w:tblCellMar>
        </w:tblPrEx>
        <w:trPr>
          <w:jc w:val="center"/>
        </w:trPr>
        <w:tc>
          <w:tcPr>
            <w:tcW w:w="6857" w:type="dxa"/>
            <w:tcBorders>
              <w:top w:val="single" w:sz="4" w:space="0" w:color="auto"/>
              <w:bottom w:val="single" w:sz="4" w:space="0" w:color="auto"/>
              <w:right w:val="single" w:sz="4" w:space="0" w:color="auto"/>
            </w:tcBorders>
          </w:tcPr>
          <w:p w:rsidR="00443EC1" w:rsidRDefault="00443EC1">
            <w:pPr>
              <w:spacing w:before="120" w:after="120" w:line="360" w:lineRule="exact"/>
              <w:jc w:val="center"/>
              <w:rPr>
                <w:rFonts w:hint="cs"/>
              </w:rPr>
            </w:pPr>
            <w:r>
              <w:rPr>
                <w:rtl/>
              </w:rPr>
              <w:br/>
            </w:r>
            <w:r>
              <w:rPr>
                <w:rFonts w:hint="cs"/>
                <w:rtl/>
              </w:rPr>
              <w:t>معيار الدراسة الاستقصائية</w:t>
            </w:r>
          </w:p>
        </w:tc>
        <w:tc>
          <w:tcPr>
            <w:tcW w:w="1423" w:type="dxa"/>
            <w:tcBorders>
              <w:top w:val="single" w:sz="4" w:space="0" w:color="auto"/>
              <w:left w:val="single" w:sz="4" w:space="0" w:color="auto"/>
              <w:bottom w:val="single" w:sz="4" w:space="0" w:color="auto"/>
              <w:right w:val="single" w:sz="4" w:space="0" w:color="auto"/>
            </w:tcBorders>
          </w:tcPr>
          <w:p w:rsidR="00443EC1" w:rsidRDefault="00443EC1">
            <w:pPr>
              <w:spacing w:before="120" w:after="120" w:line="360" w:lineRule="exact"/>
              <w:jc w:val="center"/>
              <w:rPr>
                <w:rFonts w:hint="cs"/>
              </w:rPr>
            </w:pPr>
            <w:r>
              <w:rPr>
                <w:rFonts w:hint="cs"/>
                <w:rtl/>
              </w:rPr>
              <w:t>1996</w:t>
            </w:r>
            <w:r>
              <w:rPr>
                <w:rtl/>
              </w:rPr>
              <w:br/>
            </w:r>
            <w:r>
              <w:rPr>
                <w:rFonts w:hint="cs"/>
                <w:rtl/>
              </w:rPr>
              <w:t>(نسبة مئوية)</w:t>
            </w:r>
          </w:p>
        </w:tc>
        <w:tc>
          <w:tcPr>
            <w:tcW w:w="1368" w:type="dxa"/>
            <w:tcBorders>
              <w:top w:val="single" w:sz="4" w:space="0" w:color="auto"/>
              <w:left w:val="single" w:sz="4" w:space="0" w:color="auto"/>
              <w:bottom w:val="single" w:sz="4" w:space="0" w:color="auto"/>
            </w:tcBorders>
          </w:tcPr>
          <w:p w:rsidR="00443EC1" w:rsidRDefault="00443EC1">
            <w:pPr>
              <w:spacing w:before="120" w:after="120" w:line="360" w:lineRule="exact"/>
              <w:jc w:val="center"/>
              <w:rPr>
                <w:rFonts w:hint="cs"/>
              </w:rPr>
            </w:pPr>
            <w:r>
              <w:rPr>
                <w:rFonts w:hint="cs"/>
                <w:rtl/>
              </w:rPr>
              <w:t>2000</w:t>
            </w:r>
            <w:r>
              <w:rPr>
                <w:rtl/>
              </w:rPr>
              <w:br/>
            </w:r>
            <w:r>
              <w:rPr>
                <w:rFonts w:hint="cs"/>
                <w:rtl/>
              </w:rPr>
              <w:t>(نسبة مئوية)</w:t>
            </w:r>
          </w:p>
        </w:tc>
      </w:tr>
      <w:tr w:rsidR="00443EC1" w:rsidTr="00443EC1">
        <w:tblPrEx>
          <w:tblCellMar>
            <w:top w:w="0" w:type="dxa"/>
            <w:bottom w:w="0" w:type="dxa"/>
          </w:tblCellMar>
        </w:tblPrEx>
        <w:trPr>
          <w:jc w:val="center"/>
        </w:trPr>
        <w:tc>
          <w:tcPr>
            <w:tcW w:w="6857" w:type="dxa"/>
            <w:tcBorders>
              <w:top w:val="single" w:sz="4" w:space="0" w:color="auto"/>
              <w:right w:val="single" w:sz="4" w:space="0" w:color="auto"/>
            </w:tcBorders>
          </w:tcPr>
          <w:p w:rsidR="00443EC1" w:rsidRDefault="00443EC1">
            <w:pPr>
              <w:spacing w:before="120" w:after="120"/>
              <w:jc w:val="both"/>
              <w:rPr>
                <w:rFonts w:hint="cs"/>
              </w:rPr>
            </w:pPr>
            <w:r>
              <w:rPr>
                <w:rFonts w:hint="cs"/>
                <w:rtl/>
              </w:rPr>
              <w:t>يجوز تفادي العمل في بيئة توجد فيها مواد سمية أو خطرة أو محظورة</w:t>
            </w:r>
          </w:p>
        </w:tc>
        <w:tc>
          <w:tcPr>
            <w:tcW w:w="1423" w:type="dxa"/>
            <w:tcBorders>
              <w:top w:val="single" w:sz="4" w:space="0" w:color="auto"/>
              <w:left w:val="single" w:sz="4" w:space="0" w:color="auto"/>
              <w:right w:val="single" w:sz="4" w:space="0" w:color="auto"/>
            </w:tcBorders>
          </w:tcPr>
          <w:p w:rsidR="00443EC1" w:rsidRDefault="00443EC1">
            <w:pPr>
              <w:spacing w:before="120" w:after="120"/>
              <w:jc w:val="center"/>
              <w:rPr>
                <w:rFonts w:hint="cs"/>
              </w:rPr>
            </w:pPr>
            <w:r>
              <w:rPr>
                <w:rFonts w:hint="cs"/>
                <w:rtl/>
              </w:rPr>
              <w:t>96.8</w:t>
            </w:r>
          </w:p>
        </w:tc>
        <w:tc>
          <w:tcPr>
            <w:tcW w:w="1368" w:type="dxa"/>
            <w:tcBorders>
              <w:top w:val="single" w:sz="4" w:space="0" w:color="auto"/>
              <w:left w:val="single" w:sz="4" w:space="0" w:color="auto"/>
            </w:tcBorders>
          </w:tcPr>
          <w:p w:rsidR="00443EC1" w:rsidRDefault="00443EC1">
            <w:pPr>
              <w:spacing w:before="120" w:after="120"/>
              <w:jc w:val="center"/>
              <w:rPr>
                <w:rFonts w:hint="cs"/>
              </w:rPr>
            </w:pPr>
            <w:r>
              <w:rPr>
                <w:rFonts w:hint="cs"/>
                <w:rtl/>
              </w:rPr>
              <w:t>97.6</w:t>
            </w:r>
          </w:p>
        </w:tc>
      </w:tr>
      <w:tr w:rsidR="00443EC1" w:rsidTr="00443EC1">
        <w:tblPrEx>
          <w:tblCellMar>
            <w:top w:w="0" w:type="dxa"/>
            <w:bottom w:w="0" w:type="dxa"/>
          </w:tblCellMar>
        </w:tblPrEx>
        <w:trPr>
          <w:jc w:val="center"/>
        </w:trPr>
        <w:tc>
          <w:tcPr>
            <w:tcW w:w="6857" w:type="dxa"/>
            <w:tcBorders>
              <w:right w:val="single" w:sz="4" w:space="0" w:color="auto"/>
            </w:tcBorders>
          </w:tcPr>
          <w:p w:rsidR="00443EC1" w:rsidRDefault="00443EC1">
            <w:pPr>
              <w:spacing w:before="120" w:after="120"/>
              <w:jc w:val="both"/>
              <w:rPr>
                <w:rFonts w:hint="cs"/>
              </w:rPr>
            </w:pPr>
            <w:r>
              <w:rPr>
                <w:rFonts w:hint="cs"/>
                <w:rtl/>
              </w:rPr>
              <w:t>يجوز تفادي العمل لساعات إضافية والعمل خلال النوبات الليلية</w:t>
            </w:r>
          </w:p>
        </w:tc>
        <w:tc>
          <w:tcPr>
            <w:tcW w:w="1423" w:type="dxa"/>
            <w:tcBorders>
              <w:left w:val="single" w:sz="4" w:space="0" w:color="auto"/>
              <w:right w:val="single" w:sz="4" w:space="0" w:color="auto"/>
            </w:tcBorders>
          </w:tcPr>
          <w:p w:rsidR="00443EC1" w:rsidRDefault="00443EC1">
            <w:pPr>
              <w:spacing w:before="120" w:after="120"/>
              <w:jc w:val="center"/>
              <w:rPr>
                <w:rFonts w:hint="cs"/>
              </w:rPr>
            </w:pPr>
            <w:r>
              <w:rPr>
                <w:rFonts w:hint="cs"/>
                <w:rtl/>
              </w:rPr>
              <w:t>91.8</w:t>
            </w:r>
          </w:p>
        </w:tc>
        <w:tc>
          <w:tcPr>
            <w:tcW w:w="1368" w:type="dxa"/>
            <w:tcBorders>
              <w:left w:val="single" w:sz="4" w:space="0" w:color="auto"/>
            </w:tcBorders>
          </w:tcPr>
          <w:p w:rsidR="00443EC1" w:rsidRDefault="00443EC1">
            <w:pPr>
              <w:spacing w:before="120" w:after="120"/>
              <w:jc w:val="center"/>
              <w:rPr>
                <w:rFonts w:hint="cs"/>
              </w:rPr>
            </w:pPr>
            <w:r>
              <w:rPr>
                <w:rFonts w:hint="cs"/>
                <w:rtl/>
              </w:rPr>
              <w:t>95.8</w:t>
            </w:r>
          </w:p>
        </w:tc>
      </w:tr>
      <w:tr w:rsidR="00443EC1" w:rsidTr="00443EC1">
        <w:tblPrEx>
          <w:tblCellMar>
            <w:top w:w="0" w:type="dxa"/>
            <w:bottom w:w="0" w:type="dxa"/>
          </w:tblCellMar>
        </w:tblPrEx>
        <w:trPr>
          <w:jc w:val="center"/>
        </w:trPr>
        <w:tc>
          <w:tcPr>
            <w:tcW w:w="6857" w:type="dxa"/>
            <w:tcBorders>
              <w:right w:val="single" w:sz="4" w:space="0" w:color="auto"/>
            </w:tcBorders>
          </w:tcPr>
          <w:p w:rsidR="00443EC1" w:rsidRDefault="00443EC1">
            <w:pPr>
              <w:spacing w:before="120" w:after="120"/>
              <w:jc w:val="both"/>
              <w:rPr>
                <w:rFonts w:hint="cs"/>
              </w:rPr>
            </w:pPr>
            <w:r>
              <w:rPr>
                <w:rFonts w:hint="cs"/>
                <w:rtl/>
              </w:rPr>
              <w:t>التمتع بما لا يقل عن 90 يوماً من إجازة الأمومة بعد الولادة</w:t>
            </w:r>
          </w:p>
        </w:tc>
        <w:tc>
          <w:tcPr>
            <w:tcW w:w="1423" w:type="dxa"/>
            <w:tcBorders>
              <w:left w:val="single" w:sz="4" w:space="0" w:color="auto"/>
              <w:right w:val="single" w:sz="4" w:space="0" w:color="auto"/>
            </w:tcBorders>
          </w:tcPr>
          <w:p w:rsidR="00443EC1" w:rsidRDefault="00443EC1">
            <w:pPr>
              <w:spacing w:before="120" w:after="120"/>
              <w:jc w:val="center"/>
              <w:rPr>
                <w:rFonts w:hint="cs"/>
              </w:rPr>
            </w:pPr>
            <w:r>
              <w:rPr>
                <w:rFonts w:hint="cs"/>
                <w:rtl/>
              </w:rPr>
              <w:t>92.1</w:t>
            </w:r>
          </w:p>
        </w:tc>
        <w:tc>
          <w:tcPr>
            <w:tcW w:w="1368" w:type="dxa"/>
            <w:tcBorders>
              <w:left w:val="single" w:sz="4" w:space="0" w:color="auto"/>
            </w:tcBorders>
          </w:tcPr>
          <w:p w:rsidR="00443EC1" w:rsidRDefault="00443EC1">
            <w:pPr>
              <w:spacing w:before="120" w:after="120"/>
              <w:jc w:val="center"/>
              <w:rPr>
                <w:rFonts w:hint="cs"/>
              </w:rPr>
            </w:pPr>
            <w:r>
              <w:rPr>
                <w:rFonts w:hint="cs"/>
                <w:rtl/>
              </w:rPr>
              <w:t>88.2</w:t>
            </w:r>
          </w:p>
        </w:tc>
      </w:tr>
      <w:tr w:rsidR="00443EC1" w:rsidTr="00443EC1">
        <w:tblPrEx>
          <w:tblCellMar>
            <w:top w:w="0" w:type="dxa"/>
            <w:bottom w:w="0" w:type="dxa"/>
          </w:tblCellMar>
        </w:tblPrEx>
        <w:trPr>
          <w:jc w:val="center"/>
        </w:trPr>
        <w:tc>
          <w:tcPr>
            <w:tcW w:w="6857" w:type="dxa"/>
            <w:tcBorders>
              <w:right w:val="single" w:sz="4" w:space="0" w:color="auto"/>
            </w:tcBorders>
          </w:tcPr>
          <w:p w:rsidR="00443EC1" w:rsidRDefault="00443EC1">
            <w:pPr>
              <w:spacing w:before="120" w:after="120"/>
              <w:jc w:val="both"/>
              <w:rPr>
                <w:rFonts w:hint="cs"/>
              </w:rPr>
            </w:pPr>
            <w:r>
              <w:rPr>
                <w:rFonts w:hint="cs"/>
                <w:rtl/>
              </w:rPr>
              <w:t>التمتع بالوقت اللازم للإرضاع الطبيعي</w:t>
            </w:r>
          </w:p>
        </w:tc>
        <w:tc>
          <w:tcPr>
            <w:tcW w:w="1423" w:type="dxa"/>
            <w:tcBorders>
              <w:left w:val="single" w:sz="4" w:space="0" w:color="auto"/>
              <w:right w:val="single" w:sz="4" w:space="0" w:color="auto"/>
            </w:tcBorders>
          </w:tcPr>
          <w:p w:rsidR="00443EC1" w:rsidRDefault="00443EC1">
            <w:pPr>
              <w:spacing w:before="120" w:after="120"/>
              <w:jc w:val="center"/>
              <w:rPr>
                <w:rFonts w:hint="cs"/>
              </w:rPr>
            </w:pPr>
            <w:r>
              <w:rPr>
                <w:rFonts w:hint="cs"/>
                <w:rtl/>
              </w:rPr>
              <w:t>96.4</w:t>
            </w:r>
          </w:p>
        </w:tc>
        <w:tc>
          <w:tcPr>
            <w:tcW w:w="1368" w:type="dxa"/>
            <w:tcBorders>
              <w:left w:val="single" w:sz="4" w:space="0" w:color="auto"/>
            </w:tcBorders>
          </w:tcPr>
          <w:p w:rsidR="00443EC1" w:rsidRDefault="00443EC1">
            <w:pPr>
              <w:spacing w:before="120" w:after="120"/>
              <w:jc w:val="center"/>
              <w:rPr>
                <w:rFonts w:hint="cs"/>
              </w:rPr>
            </w:pPr>
            <w:r>
              <w:rPr>
                <w:rFonts w:hint="cs"/>
                <w:rtl/>
              </w:rPr>
              <w:t>94.5</w:t>
            </w:r>
          </w:p>
        </w:tc>
      </w:tr>
      <w:tr w:rsidR="00443EC1" w:rsidTr="00443EC1">
        <w:tblPrEx>
          <w:tblCellMar>
            <w:top w:w="0" w:type="dxa"/>
            <w:bottom w:w="0" w:type="dxa"/>
          </w:tblCellMar>
        </w:tblPrEx>
        <w:trPr>
          <w:jc w:val="center"/>
        </w:trPr>
        <w:tc>
          <w:tcPr>
            <w:tcW w:w="6857" w:type="dxa"/>
            <w:tcBorders>
              <w:right w:val="single" w:sz="4" w:space="0" w:color="auto"/>
            </w:tcBorders>
          </w:tcPr>
          <w:p w:rsidR="00443EC1" w:rsidRDefault="00443EC1">
            <w:pPr>
              <w:spacing w:before="120" w:after="120"/>
              <w:jc w:val="both"/>
              <w:rPr>
                <w:rFonts w:hint="cs"/>
              </w:rPr>
            </w:pPr>
            <w:r>
              <w:rPr>
                <w:rFonts w:hint="cs"/>
                <w:rtl/>
              </w:rPr>
              <w:t>يجوز تفادي العمل لساعات إضافية والعمل خلال النوبات الليلية في حالة الرضاعة طبيعية</w:t>
            </w:r>
          </w:p>
        </w:tc>
        <w:tc>
          <w:tcPr>
            <w:tcW w:w="1423" w:type="dxa"/>
            <w:tcBorders>
              <w:left w:val="single" w:sz="4" w:space="0" w:color="auto"/>
              <w:right w:val="single" w:sz="4" w:space="0" w:color="auto"/>
            </w:tcBorders>
          </w:tcPr>
          <w:p w:rsidR="00443EC1" w:rsidRDefault="00443EC1">
            <w:pPr>
              <w:spacing w:before="120" w:after="120"/>
              <w:jc w:val="center"/>
              <w:rPr>
                <w:rFonts w:hint="cs"/>
              </w:rPr>
            </w:pPr>
            <w:r>
              <w:rPr>
                <w:rFonts w:hint="cs"/>
                <w:rtl/>
              </w:rPr>
              <w:t>92.5</w:t>
            </w:r>
          </w:p>
        </w:tc>
        <w:tc>
          <w:tcPr>
            <w:tcW w:w="1368" w:type="dxa"/>
            <w:tcBorders>
              <w:left w:val="single" w:sz="4" w:space="0" w:color="auto"/>
            </w:tcBorders>
          </w:tcPr>
          <w:p w:rsidR="00443EC1" w:rsidRDefault="00443EC1">
            <w:pPr>
              <w:spacing w:before="120" w:after="120"/>
              <w:jc w:val="center"/>
              <w:rPr>
                <w:rFonts w:hint="cs"/>
              </w:rPr>
            </w:pPr>
            <w:r>
              <w:rPr>
                <w:rFonts w:hint="cs"/>
                <w:rtl/>
              </w:rPr>
              <w:t>93.7</w:t>
            </w:r>
          </w:p>
        </w:tc>
      </w:tr>
      <w:tr w:rsidR="00443EC1" w:rsidTr="00443EC1">
        <w:tblPrEx>
          <w:tblCellMar>
            <w:top w:w="0" w:type="dxa"/>
            <w:bottom w:w="0" w:type="dxa"/>
          </w:tblCellMar>
        </w:tblPrEx>
        <w:trPr>
          <w:jc w:val="center"/>
        </w:trPr>
        <w:tc>
          <w:tcPr>
            <w:tcW w:w="6857" w:type="dxa"/>
            <w:tcBorders>
              <w:right w:val="single" w:sz="4" w:space="0" w:color="auto"/>
            </w:tcBorders>
          </w:tcPr>
          <w:p w:rsidR="00443EC1" w:rsidRDefault="00443EC1">
            <w:pPr>
              <w:spacing w:before="120" w:after="120"/>
              <w:jc w:val="both"/>
              <w:rPr>
                <w:rFonts w:hint="cs"/>
              </w:rPr>
            </w:pPr>
            <w:r>
              <w:rPr>
                <w:rFonts w:hint="cs"/>
                <w:rtl/>
              </w:rPr>
              <w:t>الحصول على تسديد كلي أو جزئي لنفقات الفحص الطبي قبل الولادة</w:t>
            </w:r>
          </w:p>
        </w:tc>
        <w:tc>
          <w:tcPr>
            <w:tcW w:w="1423" w:type="dxa"/>
            <w:tcBorders>
              <w:left w:val="single" w:sz="4" w:space="0" w:color="auto"/>
              <w:right w:val="single" w:sz="4" w:space="0" w:color="auto"/>
            </w:tcBorders>
          </w:tcPr>
          <w:p w:rsidR="00443EC1" w:rsidRDefault="00443EC1">
            <w:pPr>
              <w:spacing w:before="120" w:after="120"/>
              <w:jc w:val="center"/>
              <w:rPr>
                <w:rFonts w:hint="cs"/>
              </w:rPr>
            </w:pPr>
            <w:r>
              <w:rPr>
                <w:rFonts w:hint="cs"/>
                <w:rtl/>
              </w:rPr>
              <w:t>60.0</w:t>
            </w:r>
          </w:p>
        </w:tc>
        <w:tc>
          <w:tcPr>
            <w:tcW w:w="1368" w:type="dxa"/>
            <w:tcBorders>
              <w:left w:val="single" w:sz="4" w:space="0" w:color="auto"/>
            </w:tcBorders>
          </w:tcPr>
          <w:p w:rsidR="00443EC1" w:rsidRDefault="00443EC1">
            <w:pPr>
              <w:spacing w:before="120" w:after="120"/>
              <w:jc w:val="center"/>
              <w:rPr>
                <w:rFonts w:hint="cs"/>
              </w:rPr>
            </w:pPr>
            <w:r>
              <w:rPr>
                <w:rFonts w:hint="cs"/>
                <w:rtl/>
              </w:rPr>
              <w:t>75.8</w:t>
            </w:r>
          </w:p>
        </w:tc>
      </w:tr>
      <w:tr w:rsidR="00443EC1" w:rsidTr="00443EC1">
        <w:tblPrEx>
          <w:tblCellMar>
            <w:top w:w="0" w:type="dxa"/>
            <w:bottom w:w="0" w:type="dxa"/>
          </w:tblCellMar>
        </w:tblPrEx>
        <w:trPr>
          <w:jc w:val="center"/>
        </w:trPr>
        <w:tc>
          <w:tcPr>
            <w:tcW w:w="6857" w:type="dxa"/>
            <w:tcBorders>
              <w:right w:val="single" w:sz="4" w:space="0" w:color="auto"/>
            </w:tcBorders>
          </w:tcPr>
          <w:p w:rsidR="00443EC1" w:rsidRDefault="00443EC1">
            <w:pPr>
              <w:spacing w:before="120" w:after="120"/>
              <w:jc w:val="both"/>
              <w:rPr>
                <w:rFonts w:hint="cs"/>
              </w:rPr>
            </w:pPr>
            <w:r>
              <w:rPr>
                <w:rFonts w:hint="cs"/>
                <w:rtl/>
              </w:rPr>
              <w:t>الحصول على تسديد كلي أو جزئي لتكاليف الولادة</w:t>
            </w:r>
          </w:p>
        </w:tc>
        <w:tc>
          <w:tcPr>
            <w:tcW w:w="1423" w:type="dxa"/>
            <w:tcBorders>
              <w:left w:val="single" w:sz="4" w:space="0" w:color="auto"/>
              <w:right w:val="single" w:sz="4" w:space="0" w:color="auto"/>
            </w:tcBorders>
          </w:tcPr>
          <w:p w:rsidR="00443EC1" w:rsidRDefault="00443EC1">
            <w:pPr>
              <w:spacing w:before="120" w:after="120"/>
              <w:jc w:val="center"/>
              <w:rPr>
                <w:rFonts w:hint="cs"/>
              </w:rPr>
            </w:pPr>
            <w:r>
              <w:rPr>
                <w:rFonts w:hint="cs"/>
                <w:rtl/>
              </w:rPr>
              <w:t>81.7</w:t>
            </w:r>
          </w:p>
        </w:tc>
        <w:tc>
          <w:tcPr>
            <w:tcW w:w="1368" w:type="dxa"/>
            <w:tcBorders>
              <w:left w:val="single" w:sz="4" w:space="0" w:color="auto"/>
            </w:tcBorders>
          </w:tcPr>
          <w:p w:rsidR="00443EC1" w:rsidRDefault="00443EC1">
            <w:pPr>
              <w:spacing w:before="120" w:after="120"/>
              <w:jc w:val="center"/>
              <w:rPr>
                <w:rFonts w:hint="cs"/>
              </w:rPr>
            </w:pPr>
            <w:r>
              <w:rPr>
                <w:rFonts w:hint="cs"/>
                <w:rtl/>
              </w:rPr>
              <w:t>77.2</w:t>
            </w:r>
          </w:p>
        </w:tc>
      </w:tr>
      <w:tr w:rsidR="00443EC1" w:rsidTr="00443EC1">
        <w:tblPrEx>
          <w:tblCellMar>
            <w:top w:w="0" w:type="dxa"/>
            <w:bottom w:w="0" w:type="dxa"/>
          </w:tblCellMar>
        </w:tblPrEx>
        <w:trPr>
          <w:jc w:val="center"/>
        </w:trPr>
        <w:tc>
          <w:tcPr>
            <w:tcW w:w="6857" w:type="dxa"/>
            <w:tcBorders>
              <w:bottom w:val="single" w:sz="4" w:space="0" w:color="auto"/>
              <w:right w:val="single" w:sz="4" w:space="0" w:color="auto"/>
            </w:tcBorders>
          </w:tcPr>
          <w:p w:rsidR="00443EC1" w:rsidRDefault="00443EC1">
            <w:pPr>
              <w:spacing w:before="120" w:after="120"/>
              <w:jc w:val="both"/>
              <w:rPr>
                <w:rFonts w:hint="cs"/>
              </w:rPr>
            </w:pPr>
            <w:r>
              <w:rPr>
                <w:rFonts w:hint="cs"/>
                <w:rtl/>
              </w:rPr>
              <w:t>الحصول على معاش خلال فترة إجازة الأمومة</w:t>
            </w:r>
          </w:p>
        </w:tc>
        <w:tc>
          <w:tcPr>
            <w:tcW w:w="1423" w:type="dxa"/>
            <w:tcBorders>
              <w:left w:val="single" w:sz="4" w:space="0" w:color="auto"/>
              <w:bottom w:val="single" w:sz="4" w:space="0" w:color="auto"/>
              <w:right w:val="single" w:sz="4" w:space="0" w:color="auto"/>
            </w:tcBorders>
          </w:tcPr>
          <w:p w:rsidR="00443EC1" w:rsidRDefault="00443EC1">
            <w:pPr>
              <w:spacing w:before="120" w:after="120"/>
              <w:jc w:val="center"/>
              <w:rPr>
                <w:rFonts w:hint="cs"/>
              </w:rPr>
            </w:pPr>
            <w:r>
              <w:rPr>
                <w:rFonts w:hint="cs"/>
                <w:rtl/>
              </w:rPr>
              <w:t>91.9</w:t>
            </w:r>
          </w:p>
        </w:tc>
        <w:tc>
          <w:tcPr>
            <w:tcW w:w="1368" w:type="dxa"/>
            <w:tcBorders>
              <w:left w:val="single" w:sz="4" w:space="0" w:color="auto"/>
            </w:tcBorders>
          </w:tcPr>
          <w:p w:rsidR="00443EC1" w:rsidRDefault="00443EC1">
            <w:pPr>
              <w:spacing w:before="120" w:after="120"/>
              <w:jc w:val="center"/>
              <w:rPr>
                <w:rFonts w:hint="cs"/>
              </w:rPr>
            </w:pPr>
            <w:r>
              <w:rPr>
                <w:rFonts w:hint="cs"/>
                <w:rtl/>
              </w:rPr>
              <w:t>85.3</w:t>
            </w:r>
          </w:p>
        </w:tc>
      </w:tr>
    </w:tbl>
    <w:p w:rsidR="00000000" w:rsidRDefault="00443EC1">
      <w:pPr>
        <w:jc w:val="both"/>
        <w:rPr>
          <w:rtl/>
        </w:rPr>
      </w:pPr>
      <w:r>
        <w:rPr>
          <w:rFonts w:hint="cs"/>
          <w:i/>
          <w:iCs/>
          <w:rtl/>
        </w:rPr>
        <w:tab/>
        <w:t>المصدر:</w:t>
      </w:r>
      <w:r>
        <w:rPr>
          <w:rFonts w:hint="cs"/>
          <w:rtl/>
        </w:rPr>
        <w:tab/>
        <w:t>اللجنة ا</w:t>
      </w:r>
      <w:r>
        <w:rPr>
          <w:rFonts w:hint="cs"/>
          <w:rtl/>
        </w:rPr>
        <w:t>لوطنية لشؤون السكان و تنظيم الأسرة.</w:t>
      </w:r>
    </w:p>
    <w:p w:rsidR="00000000" w:rsidRDefault="00443EC1">
      <w:pPr>
        <w:jc w:val="center"/>
        <w:rPr>
          <w:rFonts w:hint="cs"/>
          <w:b/>
          <w:bCs/>
          <w:rtl/>
        </w:rPr>
      </w:pPr>
      <w:r>
        <w:rPr>
          <w:rtl/>
        </w:rPr>
        <w:br w:type="page"/>
      </w:r>
      <w:r>
        <w:rPr>
          <w:rFonts w:hint="cs"/>
          <w:b/>
          <w:bCs/>
          <w:rtl/>
        </w:rPr>
        <w:t>الجدول 3</w:t>
      </w:r>
    </w:p>
    <w:p w:rsidR="00000000" w:rsidRDefault="00443EC1">
      <w:pPr>
        <w:jc w:val="center"/>
        <w:rPr>
          <w:rFonts w:hint="cs"/>
          <w:b/>
          <w:bCs/>
          <w:rtl/>
        </w:rPr>
      </w:pPr>
      <w:r>
        <w:rPr>
          <w:rFonts w:hint="cs"/>
          <w:b/>
          <w:bCs/>
          <w:rtl/>
        </w:rPr>
        <w:t>الوضع السكني للمقيمين في المدن</w:t>
      </w:r>
    </w:p>
    <w:tbl>
      <w:tblPr>
        <w:bidiVisual/>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362"/>
        <w:gridCol w:w="2520"/>
        <w:gridCol w:w="2880"/>
        <w:gridCol w:w="2808"/>
      </w:tblGrid>
      <w:tr w:rsidR="00443EC1" w:rsidTr="00443EC1">
        <w:tblPrEx>
          <w:tblCellMar>
            <w:top w:w="0" w:type="dxa"/>
            <w:bottom w:w="0" w:type="dxa"/>
          </w:tblCellMar>
        </w:tblPrEx>
        <w:trPr>
          <w:trHeight w:val="973"/>
          <w:jc w:val="center"/>
        </w:trPr>
        <w:tc>
          <w:tcPr>
            <w:tcW w:w="1362" w:type="dxa"/>
            <w:tcBorders>
              <w:top w:val="single" w:sz="4" w:space="0" w:color="auto"/>
              <w:bottom w:val="single" w:sz="4" w:space="0" w:color="auto"/>
              <w:right w:val="single" w:sz="4" w:space="0" w:color="auto"/>
            </w:tcBorders>
          </w:tcPr>
          <w:p w:rsidR="00443EC1" w:rsidRDefault="00443EC1">
            <w:pPr>
              <w:spacing w:before="60" w:after="60" w:line="280" w:lineRule="exact"/>
              <w:jc w:val="center"/>
              <w:rPr>
                <w:rFonts w:hint="cs"/>
              </w:rPr>
            </w:pPr>
            <w:r>
              <w:rPr>
                <w:rtl/>
              </w:rPr>
              <w:br/>
            </w:r>
            <w:r>
              <w:rPr>
                <w:rtl/>
              </w:rPr>
              <w:br/>
            </w:r>
            <w:r>
              <w:rPr>
                <w:rFonts w:hint="cs"/>
                <w:rtl/>
              </w:rPr>
              <w:t>السنة</w:t>
            </w:r>
          </w:p>
        </w:tc>
        <w:tc>
          <w:tcPr>
            <w:tcW w:w="2520" w:type="dxa"/>
            <w:tcBorders>
              <w:top w:val="single" w:sz="4" w:space="0" w:color="auto"/>
              <w:left w:val="single" w:sz="4" w:space="0" w:color="auto"/>
              <w:bottom w:val="single" w:sz="4" w:space="0" w:color="auto"/>
              <w:right w:val="single" w:sz="4" w:space="0" w:color="auto"/>
            </w:tcBorders>
          </w:tcPr>
          <w:p w:rsidR="00443EC1" w:rsidRDefault="00443EC1">
            <w:pPr>
              <w:spacing w:before="60" w:after="60" w:line="280" w:lineRule="exact"/>
              <w:jc w:val="center"/>
              <w:rPr>
                <w:rFonts w:hint="cs"/>
              </w:rPr>
            </w:pPr>
            <w:r>
              <w:rPr>
                <w:rFonts w:hint="cs"/>
                <w:rtl/>
              </w:rPr>
              <w:t>العدد الإجمالي للمباني السكنية الجديدة</w:t>
            </w:r>
            <w:r>
              <w:rPr>
                <w:rtl/>
              </w:rPr>
              <w:br/>
            </w:r>
            <w:r>
              <w:rPr>
                <w:rFonts w:hint="cs"/>
                <w:rtl/>
              </w:rPr>
              <w:t>(بالأمتار المربعة)</w:t>
            </w:r>
          </w:p>
        </w:tc>
        <w:tc>
          <w:tcPr>
            <w:tcW w:w="2880" w:type="dxa"/>
            <w:tcBorders>
              <w:top w:val="single" w:sz="4" w:space="0" w:color="auto"/>
              <w:left w:val="single" w:sz="4" w:space="0" w:color="auto"/>
              <w:bottom w:val="single" w:sz="4" w:space="0" w:color="auto"/>
              <w:right w:val="single" w:sz="4" w:space="0" w:color="auto"/>
            </w:tcBorders>
          </w:tcPr>
          <w:p w:rsidR="00443EC1" w:rsidRDefault="00443EC1">
            <w:pPr>
              <w:spacing w:before="60" w:after="60" w:line="280" w:lineRule="exact"/>
              <w:jc w:val="center"/>
              <w:rPr>
                <w:rFonts w:hint="cs"/>
              </w:rPr>
            </w:pPr>
            <w:r>
              <w:rPr>
                <w:rFonts w:hint="cs"/>
                <w:rtl/>
              </w:rPr>
              <w:t>متوسط المساحة الأرضية المخصصة لكل فرد في المدن</w:t>
            </w:r>
            <w:r>
              <w:rPr>
                <w:rtl/>
              </w:rPr>
              <w:br/>
            </w:r>
            <w:r>
              <w:rPr>
                <w:rFonts w:hint="cs"/>
                <w:rtl/>
              </w:rPr>
              <w:t>(بالأمتار المربعة)</w:t>
            </w:r>
          </w:p>
        </w:tc>
        <w:tc>
          <w:tcPr>
            <w:tcW w:w="2808" w:type="dxa"/>
            <w:tcBorders>
              <w:top w:val="single" w:sz="4" w:space="0" w:color="auto"/>
              <w:left w:val="single" w:sz="4" w:space="0" w:color="auto"/>
              <w:bottom w:val="single" w:sz="4" w:space="0" w:color="auto"/>
            </w:tcBorders>
          </w:tcPr>
          <w:p w:rsidR="00443EC1" w:rsidRDefault="00443EC1">
            <w:pPr>
              <w:spacing w:before="60" w:after="60" w:line="280" w:lineRule="exact"/>
              <w:jc w:val="center"/>
              <w:rPr>
                <w:rFonts w:hint="cs"/>
              </w:rPr>
            </w:pPr>
            <w:r>
              <w:rPr>
                <w:rFonts w:hint="cs"/>
                <w:rtl/>
              </w:rPr>
              <w:t>متوسط المساحة المعيشية المخصصة لكل فرد في المدن</w:t>
            </w:r>
            <w:r>
              <w:rPr>
                <w:rtl/>
              </w:rPr>
              <w:br/>
            </w:r>
            <w:r>
              <w:rPr>
                <w:rFonts w:hint="cs"/>
                <w:rtl/>
              </w:rPr>
              <w:t>(بالأمتار المربعة)</w:t>
            </w:r>
          </w:p>
        </w:tc>
      </w:tr>
      <w:tr w:rsidR="00443EC1" w:rsidTr="00443EC1">
        <w:tblPrEx>
          <w:tblCellMar>
            <w:top w:w="0" w:type="dxa"/>
            <w:bottom w:w="0" w:type="dxa"/>
          </w:tblCellMar>
        </w:tblPrEx>
        <w:trPr>
          <w:jc w:val="center"/>
        </w:trPr>
        <w:tc>
          <w:tcPr>
            <w:tcW w:w="1362" w:type="dxa"/>
            <w:tcBorders>
              <w:top w:val="single" w:sz="4" w:space="0" w:color="auto"/>
              <w:right w:val="single" w:sz="4" w:space="0" w:color="auto"/>
            </w:tcBorders>
          </w:tcPr>
          <w:p w:rsidR="00443EC1" w:rsidRDefault="00443EC1">
            <w:pPr>
              <w:spacing w:before="60" w:after="60" w:line="280" w:lineRule="exact"/>
              <w:jc w:val="center"/>
              <w:rPr>
                <w:rFonts w:hint="cs"/>
              </w:rPr>
            </w:pPr>
            <w:r>
              <w:rPr>
                <w:rFonts w:hint="cs"/>
                <w:rtl/>
              </w:rPr>
              <w:t>1978</w:t>
            </w:r>
          </w:p>
        </w:tc>
        <w:tc>
          <w:tcPr>
            <w:tcW w:w="2520" w:type="dxa"/>
            <w:tcBorders>
              <w:top w:val="single" w:sz="4" w:space="0" w:color="auto"/>
              <w:left w:val="single" w:sz="4" w:space="0" w:color="auto"/>
              <w:right w:val="single" w:sz="4" w:space="0" w:color="auto"/>
            </w:tcBorders>
          </w:tcPr>
          <w:p w:rsidR="00443EC1" w:rsidRDefault="00443EC1">
            <w:pPr>
              <w:spacing w:before="60" w:after="60" w:line="280" w:lineRule="exact"/>
              <w:jc w:val="center"/>
              <w:rPr>
                <w:rFonts w:hint="cs"/>
              </w:rPr>
            </w:pPr>
            <w:r>
              <w:rPr>
                <w:rFonts w:hint="cs"/>
                <w:rtl/>
              </w:rPr>
              <w:t>0.38</w:t>
            </w:r>
          </w:p>
        </w:tc>
        <w:tc>
          <w:tcPr>
            <w:tcW w:w="2880" w:type="dxa"/>
            <w:tcBorders>
              <w:top w:val="single" w:sz="4" w:space="0" w:color="auto"/>
              <w:left w:val="single" w:sz="4" w:space="0" w:color="auto"/>
              <w:right w:val="single" w:sz="4" w:space="0" w:color="auto"/>
            </w:tcBorders>
          </w:tcPr>
          <w:p w:rsidR="00443EC1" w:rsidRDefault="00443EC1">
            <w:pPr>
              <w:spacing w:before="60" w:after="60" w:line="280" w:lineRule="exact"/>
              <w:jc w:val="center"/>
              <w:rPr>
                <w:rFonts w:hint="cs"/>
              </w:rPr>
            </w:pPr>
            <w:r>
              <w:rPr>
                <w:rFonts w:hint="cs"/>
                <w:rtl/>
              </w:rPr>
              <w:t>000</w:t>
            </w:r>
          </w:p>
        </w:tc>
        <w:tc>
          <w:tcPr>
            <w:tcW w:w="2808" w:type="dxa"/>
            <w:tcBorders>
              <w:top w:val="single" w:sz="4" w:space="0" w:color="auto"/>
              <w:left w:val="single" w:sz="4" w:space="0" w:color="auto"/>
            </w:tcBorders>
          </w:tcPr>
          <w:p w:rsidR="00443EC1" w:rsidRDefault="00443EC1">
            <w:pPr>
              <w:spacing w:before="60" w:after="60" w:line="280" w:lineRule="exact"/>
              <w:jc w:val="center"/>
              <w:rPr>
                <w:rFonts w:hint="cs"/>
              </w:rPr>
            </w:pPr>
            <w:r>
              <w:rPr>
                <w:rFonts w:hint="cs"/>
                <w:rtl/>
              </w:rPr>
              <w:t>000</w:t>
            </w:r>
          </w:p>
        </w:tc>
      </w:tr>
      <w:tr w:rsidR="00443EC1" w:rsidTr="00443EC1">
        <w:tblPrEx>
          <w:tblCellMar>
            <w:top w:w="0" w:type="dxa"/>
            <w:bottom w:w="0" w:type="dxa"/>
          </w:tblCellMar>
        </w:tblPrEx>
        <w:trPr>
          <w:jc w:val="center"/>
        </w:trPr>
        <w:tc>
          <w:tcPr>
            <w:tcW w:w="1362" w:type="dxa"/>
            <w:tcBorders>
              <w:right w:val="single" w:sz="4" w:space="0" w:color="auto"/>
            </w:tcBorders>
          </w:tcPr>
          <w:p w:rsidR="00443EC1" w:rsidRDefault="00443EC1">
            <w:pPr>
              <w:spacing w:before="60" w:after="60" w:line="280" w:lineRule="exact"/>
              <w:jc w:val="center"/>
              <w:rPr>
                <w:rFonts w:hint="cs"/>
              </w:rPr>
            </w:pPr>
            <w:r>
              <w:rPr>
                <w:rFonts w:hint="cs"/>
                <w:rtl/>
              </w:rPr>
              <w:t>1980</w:t>
            </w:r>
          </w:p>
        </w:tc>
        <w:tc>
          <w:tcPr>
            <w:tcW w:w="2520" w:type="dxa"/>
            <w:tcBorders>
              <w:left w:val="single" w:sz="4" w:space="0" w:color="auto"/>
              <w:right w:val="single" w:sz="4" w:space="0" w:color="auto"/>
            </w:tcBorders>
          </w:tcPr>
          <w:p w:rsidR="00443EC1" w:rsidRDefault="00443EC1">
            <w:pPr>
              <w:spacing w:before="60" w:after="60" w:line="280" w:lineRule="exact"/>
              <w:jc w:val="center"/>
              <w:rPr>
                <w:rFonts w:hint="cs"/>
              </w:rPr>
            </w:pPr>
            <w:r>
              <w:rPr>
                <w:rFonts w:hint="cs"/>
                <w:rtl/>
              </w:rPr>
              <w:t>0.92</w:t>
            </w:r>
          </w:p>
        </w:tc>
        <w:tc>
          <w:tcPr>
            <w:tcW w:w="2880" w:type="dxa"/>
            <w:tcBorders>
              <w:left w:val="single" w:sz="4" w:space="0" w:color="auto"/>
              <w:right w:val="single" w:sz="4" w:space="0" w:color="auto"/>
            </w:tcBorders>
          </w:tcPr>
          <w:p w:rsidR="00443EC1" w:rsidRDefault="00443EC1">
            <w:pPr>
              <w:spacing w:before="60" w:after="60" w:line="280" w:lineRule="exact"/>
              <w:jc w:val="center"/>
              <w:rPr>
                <w:rFonts w:hint="cs"/>
              </w:rPr>
            </w:pPr>
            <w:r>
              <w:rPr>
                <w:rFonts w:hint="cs"/>
                <w:rtl/>
              </w:rPr>
              <w:t>7.2</w:t>
            </w:r>
          </w:p>
        </w:tc>
        <w:tc>
          <w:tcPr>
            <w:tcW w:w="2808" w:type="dxa"/>
            <w:tcBorders>
              <w:left w:val="single" w:sz="4" w:space="0" w:color="auto"/>
            </w:tcBorders>
          </w:tcPr>
          <w:p w:rsidR="00443EC1" w:rsidRDefault="00443EC1">
            <w:pPr>
              <w:spacing w:before="60" w:after="60" w:line="280" w:lineRule="exact"/>
              <w:jc w:val="center"/>
              <w:rPr>
                <w:rFonts w:hint="cs"/>
              </w:rPr>
            </w:pPr>
            <w:r>
              <w:rPr>
                <w:rFonts w:hint="cs"/>
                <w:rtl/>
              </w:rPr>
              <w:t>000</w:t>
            </w:r>
          </w:p>
        </w:tc>
      </w:tr>
      <w:tr w:rsidR="00443EC1" w:rsidTr="00443EC1">
        <w:tblPrEx>
          <w:tblCellMar>
            <w:top w:w="0" w:type="dxa"/>
            <w:bottom w:w="0" w:type="dxa"/>
          </w:tblCellMar>
        </w:tblPrEx>
        <w:trPr>
          <w:jc w:val="center"/>
        </w:trPr>
        <w:tc>
          <w:tcPr>
            <w:tcW w:w="1362" w:type="dxa"/>
            <w:tcBorders>
              <w:right w:val="single" w:sz="4" w:space="0" w:color="auto"/>
            </w:tcBorders>
          </w:tcPr>
          <w:p w:rsidR="00443EC1" w:rsidRDefault="00443EC1">
            <w:pPr>
              <w:spacing w:before="60" w:after="60" w:line="280" w:lineRule="exact"/>
              <w:jc w:val="center"/>
              <w:rPr>
                <w:rFonts w:hint="cs"/>
              </w:rPr>
            </w:pPr>
            <w:r>
              <w:rPr>
                <w:rFonts w:hint="cs"/>
                <w:rtl/>
              </w:rPr>
              <w:t>1985</w:t>
            </w:r>
          </w:p>
        </w:tc>
        <w:tc>
          <w:tcPr>
            <w:tcW w:w="2520" w:type="dxa"/>
            <w:tcBorders>
              <w:left w:val="single" w:sz="4" w:space="0" w:color="auto"/>
              <w:right w:val="single" w:sz="4" w:space="0" w:color="auto"/>
            </w:tcBorders>
          </w:tcPr>
          <w:p w:rsidR="00443EC1" w:rsidRDefault="00443EC1">
            <w:pPr>
              <w:spacing w:before="60" w:after="60" w:line="280" w:lineRule="exact"/>
              <w:jc w:val="center"/>
              <w:rPr>
                <w:rFonts w:hint="cs"/>
              </w:rPr>
            </w:pPr>
            <w:r>
              <w:rPr>
                <w:rFonts w:hint="cs"/>
                <w:rtl/>
              </w:rPr>
              <w:t>1.88</w:t>
            </w:r>
          </w:p>
        </w:tc>
        <w:tc>
          <w:tcPr>
            <w:tcW w:w="2880" w:type="dxa"/>
            <w:tcBorders>
              <w:left w:val="single" w:sz="4" w:space="0" w:color="auto"/>
              <w:right w:val="single" w:sz="4" w:space="0" w:color="auto"/>
            </w:tcBorders>
          </w:tcPr>
          <w:p w:rsidR="00443EC1" w:rsidRDefault="00443EC1">
            <w:pPr>
              <w:spacing w:before="60" w:after="60" w:line="280" w:lineRule="exact"/>
              <w:jc w:val="center"/>
              <w:rPr>
                <w:rFonts w:hint="cs"/>
              </w:rPr>
            </w:pPr>
            <w:r>
              <w:rPr>
                <w:rFonts w:hint="cs"/>
                <w:rtl/>
              </w:rPr>
              <w:t>10.0</w:t>
            </w:r>
          </w:p>
        </w:tc>
        <w:tc>
          <w:tcPr>
            <w:tcW w:w="2808" w:type="dxa"/>
            <w:tcBorders>
              <w:left w:val="single" w:sz="4" w:space="0" w:color="auto"/>
            </w:tcBorders>
          </w:tcPr>
          <w:p w:rsidR="00443EC1" w:rsidRDefault="00443EC1">
            <w:pPr>
              <w:spacing w:before="60" w:after="60" w:line="280" w:lineRule="exact"/>
              <w:jc w:val="center"/>
              <w:rPr>
                <w:rFonts w:hint="cs"/>
              </w:rPr>
            </w:pPr>
            <w:r>
              <w:rPr>
                <w:rFonts w:hint="cs"/>
                <w:rtl/>
              </w:rPr>
              <w:t>000</w:t>
            </w:r>
          </w:p>
        </w:tc>
      </w:tr>
      <w:tr w:rsidR="00443EC1" w:rsidTr="00443EC1">
        <w:tblPrEx>
          <w:tblCellMar>
            <w:top w:w="0" w:type="dxa"/>
            <w:bottom w:w="0" w:type="dxa"/>
          </w:tblCellMar>
        </w:tblPrEx>
        <w:trPr>
          <w:jc w:val="center"/>
        </w:trPr>
        <w:tc>
          <w:tcPr>
            <w:tcW w:w="1362" w:type="dxa"/>
            <w:tcBorders>
              <w:right w:val="single" w:sz="4" w:space="0" w:color="auto"/>
            </w:tcBorders>
          </w:tcPr>
          <w:p w:rsidR="00443EC1" w:rsidRDefault="00443EC1">
            <w:pPr>
              <w:spacing w:before="60" w:after="60" w:line="280" w:lineRule="exact"/>
              <w:jc w:val="center"/>
              <w:rPr>
                <w:rFonts w:hint="cs"/>
              </w:rPr>
            </w:pPr>
            <w:r>
              <w:rPr>
                <w:rFonts w:hint="cs"/>
                <w:rtl/>
              </w:rPr>
              <w:t>1986</w:t>
            </w:r>
          </w:p>
        </w:tc>
        <w:tc>
          <w:tcPr>
            <w:tcW w:w="2520" w:type="dxa"/>
            <w:tcBorders>
              <w:left w:val="single" w:sz="4" w:space="0" w:color="auto"/>
              <w:right w:val="single" w:sz="4" w:space="0" w:color="auto"/>
            </w:tcBorders>
          </w:tcPr>
          <w:p w:rsidR="00443EC1" w:rsidRDefault="00443EC1">
            <w:pPr>
              <w:spacing w:before="60" w:after="60" w:line="280" w:lineRule="exact"/>
              <w:jc w:val="center"/>
              <w:rPr>
                <w:rFonts w:hint="cs"/>
              </w:rPr>
            </w:pPr>
            <w:r>
              <w:rPr>
                <w:rFonts w:hint="cs"/>
                <w:rtl/>
              </w:rPr>
              <w:t>2.22</w:t>
            </w:r>
          </w:p>
        </w:tc>
        <w:tc>
          <w:tcPr>
            <w:tcW w:w="2880" w:type="dxa"/>
            <w:tcBorders>
              <w:left w:val="single" w:sz="4" w:space="0" w:color="auto"/>
              <w:right w:val="single" w:sz="4" w:space="0" w:color="auto"/>
            </w:tcBorders>
          </w:tcPr>
          <w:p w:rsidR="00443EC1" w:rsidRDefault="00443EC1">
            <w:pPr>
              <w:spacing w:before="60" w:after="60" w:line="280" w:lineRule="exact"/>
              <w:jc w:val="center"/>
              <w:rPr>
                <w:rFonts w:hint="cs"/>
              </w:rPr>
            </w:pPr>
            <w:r>
              <w:rPr>
                <w:rFonts w:hint="cs"/>
                <w:rtl/>
              </w:rPr>
              <w:t>12.4</w:t>
            </w:r>
          </w:p>
        </w:tc>
        <w:tc>
          <w:tcPr>
            <w:tcW w:w="2808" w:type="dxa"/>
            <w:tcBorders>
              <w:left w:val="single" w:sz="4" w:space="0" w:color="auto"/>
            </w:tcBorders>
          </w:tcPr>
          <w:p w:rsidR="00443EC1" w:rsidRDefault="00443EC1">
            <w:pPr>
              <w:spacing w:before="60" w:after="60" w:line="280" w:lineRule="exact"/>
              <w:jc w:val="center"/>
              <w:rPr>
                <w:rFonts w:hint="cs"/>
              </w:rPr>
            </w:pPr>
            <w:r>
              <w:rPr>
                <w:rFonts w:hint="cs"/>
                <w:rtl/>
              </w:rPr>
              <w:t>8.8</w:t>
            </w:r>
          </w:p>
        </w:tc>
      </w:tr>
      <w:tr w:rsidR="00443EC1" w:rsidTr="00443EC1">
        <w:tblPrEx>
          <w:tblCellMar>
            <w:top w:w="0" w:type="dxa"/>
            <w:bottom w:w="0" w:type="dxa"/>
          </w:tblCellMar>
        </w:tblPrEx>
        <w:trPr>
          <w:jc w:val="center"/>
        </w:trPr>
        <w:tc>
          <w:tcPr>
            <w:tcW w:w="1362" w:type="dxa"/>
            <w:tcBorders>
              <w:right w:val="single" w:sz="4" w:space="0" w:color="auto"/>
            </w:tcBorders>
          </w:tcPr>
          <w:p w:rsidR="00443EC1" w:rsidRDefault="00443EC1">
            <w:pPr>
              <w:spacing w:before="60" w:after="60" w:line="280" w:lineRule="exact"/>
              <w:jc w:val="center"/>
              <w:rPr>
                <w:rFonts w:hint="cs"/>
              </w:rPr>
            </w:pPr>
            <w:r>
              <w:rPr>
                <w:rFonts w:hint="cs"/>
                <w:rtl/>
              </w:rPr>
              <w:t>1987</w:t>
            </w:r>
          </w:p>
        </w:tc>
        <w:tc>
          <w:tcPr>
            <w:tcW w:w="2520" w:type="dxa"/>
            <w:tcBorders>
              <w:left w:val="single" w:sz="4" w:space="0" w:color="auto"/>
              <w:right w:val="single" w:sz="4" w:space="0" w:color="auto"/>
            </w:tcBorders>
          </w:tcPr>
          <w:p w:rsidR="00443EC1" w:rsidRDefault="00443EC1">
            <w:pPr>
              <w:spacing w:before="60" w:after="60" w:line="280" w:lineRule="exact"/>
              <w:jc w:val="center"/>
              <w:rPr>
                <w:rFonts w:hint="cs"/>
              </w:rPr>
            </w:pPr>
            <w:r>
              <w:rPr>
                <w:rFonts w:hint="cs"/>
                <w:rtl/>
              </w:rPr>
              <w:t>2.23</w:t>
            </w:r>
          </w:p>
        </w:tc>
        <w:tc>
          <w:tcPr>
            <w:tcW w:w="2880" w:type="dxa"/>
            <w:tcBorders>
              <w:left w:val="single" w:sz="4" w:space="0" w:color="auto"/>
              <w:right w:val="single" w:sz="4" w:space="0" w:color="auto"/>
            </w:tcBorders>
          </w:tcPr>
          <w:p w:rsidR="00443EC1" w:rsidRDefault="00443EC1">
            <w:pPr>
              <w:spacing w:before="60" w:after="60" w:line="280" w:lineRule="exact"/>
              <w:jc w:val="center"/>
              <w:rPr>
                <w:rFonts w:hint="cs"/>
              </w:rPr>
            </w:pPr>
            <w:r>
              <w:rPr>
                <w:rFonts w:hint="cs"/>
                <w:rtl/>
              </w:rPr>
              <w:t>12.7</w:t>
            </w:r>
          </w:p>
        </w:tc>
        <w:tc>
          <w:tcPr>
            <w:tcW w:w="2808" w:type="dxa"/>
            <w:tcBorders>
              <w:left w:val="single" w:sz="4" w:space="0" w:color="auto"/>
            </w:tcBorders>
          </w:tcPr>
          <w:p w:rsidR="00443EC1" w:rsidRDefault="00443EC1">
            <w:pPr>
              <w:spacing w:before="60" w:after="60" w:line="280" w:lineRule="exact"/>
              <w:jc w:val="center"/>
              <w:rPr>
                <w:rFonts w:hint="cs"/>
              </w:rPr>
            </w:pPr>
            <w:r>
              <w:rPr>
                <w:rFonts w:hint="cs"/>
                <w:rtl/>
              </w:rPr>
              <w:t>9.0</w:t>
            </w:r>
          </w:p>
        </w:tc>
      </w:tr>
      <w:tr w:rsidR="00443EC1" w:rsidTr="00443EC1">
        <w:tblPrEx>
          <w:tblCellMar>
            <w:top w:w="0" w:type="dxa"/>
            <w:bottom w:w="0" w:type="dxa"/>
          </w:tblCellMar>
        </w:tblPrEx>
        <w:trPr>
          <w:jc w:val="center"/>
        </w:trPr>
        <w:tc>
          <w:tcPr>
            <w:tcW w:w="1362" w:type="dxa"/>
            <w:tcBorders>
              <w:right w:val="single" w:sz="4" w:space="0" w:color="auto"/>
            </w:tcBorders>
          </w:tcPr>
          <w:p w:rsidR="00443EC1" w:rsidRDefault="00443EC1">
            <w:pPr>
              <w:spacing w:before="60" w:after="60" w:line="280" w:lineRule="exact"/>
              <w:jc w:val="center"/>
              <w:rPr>
                <w:rFonts w:hint="cs"/>
              </w:rPr>
            </w:pPr>
            <w:r>
              <w:rPr>
                <w:rFonts w:hint="cs"/>
                <w:rtl/>
              </w:rPr>
              <w:t>1988</w:t>
            </w:r>
          </w:p>
        </w:tc>
        <w:tc>
          <w:tcPr>
            <w:tcW w:w="2520" w:type="dxa"/>
            <w:tcBorders>
              <w:left w:val="single" w:sz="4" w:space="0" w:color="auto"/>
              <w:right w:val="single" w:sz="4" w:space="0" w:color="auto"/>
            </w:tcBorders>
          </w:tcPr>
          <w:p w:rsidR="00443EC1" w:rsidRDefault="00443EC1">
            <w:pPr>
              <w:spacing w:before="60" w:after="60" w:line="280" w:lineRule="exact"/>
              <w:jc w:val="center"/>
              <w:rPr>
                <w:rFonts w:hint="cs"/>
              </w:rPr>
            </w:pPr>
            <w:r>
              <w:rPr>
                <w:rFonts w:hint="cs"/>
                <w:rtl/>
              </w:rPr>
              <w:t>2.40</w:t>
            </w:r>
          </w:p>
        </w:tc>
        <w:tc>
          <w:tcPr>
            <w:tcW w:w="2880" w:type="dxa"/>
            <w:tcBorders>
              <w:left w:val="single" w:sz="4" w:space="0" w:color="auto"/>
              <w:right w:val="single" w:sz="4" w:space="0" w:color="auto"/>
            </w:tcBorders>
          </w:tcPr>
          <w:p w:rsidR="00443EC1" w:rsidRDefault="00443EC1">
            <w:pPr>
              <w:spacing w:before="60" w:after="60" w:line="280" w:lineRule="exact"/>
              <w:jc w:val="center"/>
              <w:rPr>
                <w:rFonts w:hint="cs"/>
              </w:rPr>
            </w:pPr>
            <w:r>
              <w:rPr>
                <w:rFonts w:hint="cs"/>
                <w:rtl/>
              </w:rPr>
              <w:t>13.0</w:t>
            </w:r>
          </w:p>
        </w:tc>
        <w:tc>
          <w:tcPr>
            <w:tcW w:w="2808" w:type="dxa"/>
            <w:tcBorders>
              <w:left w:val="single" w:sz="4" w:space="0" w:color="auto"/>
            </w:tcBorders>
          </w:tcPr>
          <w:p w:rsidR="00443EC1" w:rsidRDefault="00443EC1">
            <w:pPr>
              <w:spacing w:before="60" w:after="60" w:line="280" w:lineRule="exact"/>
              <w:jc w:val="center"/>
              <w:rPr>
                <w:rFonts w:hint="cs"/>
              </w:rPr>
            </w:pPr>
            <w:r>
              <w:rPr>
                <w:rFonts w:hint="cs"/>
                <w:rtl/>
              </w:rPr>
              <w:t>9.3</w:t>
            </w:r>
          </w:p>
        </w:tc>
      </w:tr>
      <w:tr w:rsidR="00443EC1" w:rsidTr="00443EC1">
        <w:tblPrEx>
          <w:tblCellMar>
            <w:top w:w="0" w:type="dxa"/>
            <w:bottom w:w="0" w:type="dxa"/>
          </w:tblCellMar>
        </w:tblPrEx>
        <w:trPr>
          <w:jc w:val="center"/>
        </w:trPr>
        <w:tc>
          <w:tcPr>
            <w:tcW w:w="1362" w:type="dxa"/>
            <w:tcBorders>
              <w:right w:val="single" w:sz="4" w:space="0" w:color="auto"/>
            </w:tcBorders>
          </w:tcPr>
          <w:p w:rsidR="00443EC1" w:rsidRDefault="00443EC1">
            <w:pPr>
              <w:spacing w:before="60" w:after="60" w:line="280" w:lineRule="exact"/>
              <w:jc w:val="center"/>
              <w:rPr>
                <w:rFonts w:hint="cs"/>
              </w:rPr>
            </w:pPr>
            <w:r>
              <w:rPr>
                <w:rFonts w:hint="cs"/>
                <w:rtl/>
              </w:rPr>
              <w:t>1989</w:t>
            </w:r>
          </w:p>
        </w:tc>
        <w:tc>
          <w:tcPr>
            <w:tcW w:w="2520" w:type="dxa"/>
            <w:tcBorders>
              <w:left w:val="single" w:sz="4" w:space="0" w:color="auto"/>
              <w:right w:val="single" w:sz="4" w:space="0" w:color="auto"/>
            </w:tcBorders>
          </w:tcPr>
          <w:p w:rsidR="00443EC1" w:rsidRDefault="00443EC1">
            <w:pPr>
              <w:spacing w:before="60" w:after="60" w:line="280" w:lineRule="exact"/>
              <w:jc w:val="center"/>
              <w:rPr>
                <w:rFonts w:hint="cs"/>
              </w:rPr>
            </w:pPr>
            <w:r>
              <w:rPr>
                <w:rFonts w:hint="cs"/>
                <w:rtl/>
              </w:rPr>
              <w:t>1.97</w:t>
            </w:r>
          </w:p>
        </w:tc>
        <w:tc>
          <w:tcPr>
            <w:tcW w:w="2880" w:type="dxa"/>
            <w:tcBorders>
              <w:left w:val="single" w:sz="4" w:space="0" w:color="auto"/>
              <w:right w:val="single" w:sz="4" w:space="0" w:color="auto"/>
            </w:tcBorders>
          </w:tcPr>
          <w:p w:rsidR="00443EC1" w:rsidRDefault="00443EC1">
            <w:pPr>
              <w:spacing w:before="60" w:after="60" w:line="280" w:lineRule="exact"/>
              <w:jc w:val="center"/>
              <w:rPr>
                <w:rFonts w:hint="cs"/>
              </w:rPr>
            </w:pPr>
            <w:r>
              <w:rPr>
                <w:rFonts w:hint="cs"/>
                <w:rtl/>
              </w:rPr>
              <w:t>13.5</w:t>
            </w:r>
          </w:p>
        </w:tc>
        <w:tc>
          <w:tcPr>
            <w:tcW w:w="2808" w:type="dxa"/>
            <w:tcBorders>
              <w:left w:val="single" w:sz="4" w:space="0" w:color="auto"/>
            </w:tcBorders>
          </w:tcPr>
          <w:p w:rsidR="00443EC1" w:rsidRDefault="00443EC1">
            <w:pPr>
              <w:spacing w:before="60" w:after="60" w:line="280" w:lineRule="exact"/>
              <w:jc w:val="center"/>
              <w:rPr>
                <w:rFonts w:hint="cs"/>
              </w:rPr>
            </w:pPr>
            <w:r>
              <w:rPr>
                <w:rFonts w:hint="cs"/>
                <w:rtl/>
              </w:rPr>
              <w:t>9.7</w:t>
            </w:r>
          </w:p>
        </w:tc>
      </w:tr>
      <w:tr w:rsidR="00443EC1" w:rsidTr="00443EC1">
        <w:tblPrEx>
          <w:tblCellMar>
            <w:top w:w="0" w:type="dxa"/>
            <w:bottom w:w="0" w:type="dxa"/>
          </w:tblCellMar>
        </w:tblPrEx>
        <w:trPr>
          <w:jc w:val="center"/>
        </w:trPr>
        <w:tc>
          <w:tcPr>
            <w:tcW w:w="1362" w:type="dxa"/>
            <w:tcBorders>
              <w:right w:val="single" w:sz="4" w:space="0" w:color="auto"/>
            </w:tcBorders>
          </w:tcPr>
          <w:p w:rsidR="00443EC1" w:rsidRDefault="00443EC1">
            <w:pPr>
              <w:spacing w:before="60" w:after="60" w:line="280" w:lineRule="exact"/>
              <w:jc w:val="center"/>
              <w:rPr>
                <w:rFonts w:hint="cs"/>
              </w:rPr>
            </w:pPr>
            <w:r>
              <w:rPr>
                <w:rFonts w:hint="cs"/>
                <w:rtl/>
              </w:rPr>
              <w:t>1990</w:t>
            </w:r>
          </w:p>
        </w:tc>
        <w:tc>
          <w:tcPr>
            <w:tcW w:w="2520" w:type="dxa"/>
            <w:tcBorders>
              <w:left w:val="single" w:sz="4" w:space="0" w:color="auto"/>
              <w:right w:val="single" w:sz="4" w:space="0" w:color="auto"/>
            </w:tcBorders>
          </w:tcPr>
          <w:p w:rsidR="00443EC1" w:rsidRDefault="00443EC1">
            <w:pPr>
              <w:spacing w:before="60" w:after="60" w:line="280" w:lineRule="exact"/>
              <w:jc w:val="center"/>
              <w:rPr>
                <w:rFonts w:hint="cs"/>
              </w:rPr>
            </w:pPr>
            <w:r>
              <w:rPr>
                <w:rFonts w:hint="cs"/>
                <w:rtl/>
              </w:rPr>
              <w:t>1.73</w:t>
            </w:r>
          </w:p>
        </w:tc>
        <w:tc>
          <w:tcPr>
            <w:tcW w:w="2880" w:type="dxa"/>
            <w:tcBorders>
              <w:left w:val="single" w:sz="4" w:space="0" w:color="auto"/>
              <w:right w:val="single" w:sz="4" w:space="0" w:color="auto"/>
            </w:tcBorders>
          </w:tcPr>
          <w:p w:rsidR="00443EC1" w:rsidRDefault="00443EC1">
            <w:pPr>
              <w:spacing w:before="60" w:after="60" w:line="280" w:lineRule="exact"/>
              <w:jc w:val="center"/>
              <w:rPr>
                <w:rFonts w:hint="cs"/>
              </w:rPr>
            </w:pPr>
            <w:r>
              <w:rPr>
                <w:rFonts w:hint="cs"/>
                <w:rtl/>
              </w:rPr>
              <w:t>13.7</w:t>
            </w:r>
          </w:p>
        </w:tc>
        <w:tc>
          <w:tcPr>
            <w:tcW w:w="2808" w:type="dxa"/>
            <w:tcBorders>
              <w:left w:val="single" w:sz="4" w:space="0" w:color="auto"/>
            </w:tcBorders>
          </w:tcPr>
          <w:p w:rsidR="00443EC1" w:rsidRDefault="00443EC1">
            <w:pPr>
              <w:spacing w:before="60" w:after="60" w:line="280" w:lineRule="exact"/>
              <w:jc w:val="center"/>
              <w:rPr>
                <w:rFonts w:hint="cs"/>
              </w:rPr>
            </w:pPr>
            <w:r>
              <w:rPr>
                <w:rFonts w:hint="cs"/>
                <w:rtl/>
              </w:rPr>
              <w:t>9.9</w:t>
            </w:r>
          </w:p>
        </w:tc>
      </w:tr>
      <w:tr w:rsidR="00443EC1" w:rsidTr="00443EC1">
        <w:tblPrEx>
          <w:tblCellMar>
            <w:top w:w="0" w:type="dxa"/>
            <w:bottom w:w="0" w:type="dxa"/>
          </w:tblCellMar>
        </w:tblPrEx>
        <w:trPr>
          <w:jc w:val="center"/>
        </w:trPr>
        <w:tc>
          <w:tcPr>
            <w:tcW w:w="1362" w:type="dxa"/>
            <w:tcBorders>
              <w:right w:val="single" w:sz="4" w:space="0" w:color="auto"/>
            </w:tcBorders>
          </w:tcPr>
          <w:p w:rsidR="00443EC1" w:rsidRDefault="00443EC1">
            <w:pPr>
              <w:spacing w:before="60" w:after="60" w:line="280" w:lineRule="exact"/>
              <w:jc w:val="center"/>
              <w:rPr>
                <w:rFonts w:hint="cs"/>
              </w:rPr>
            </w:pPr>
            <w:r>
              <w:rPr>
                <w:rFonts w:hint="cs"/>
                <w:rtl/>
              </w:rPr>
              <w:t>1991</w:t>
            </w:r>
          </w:p>
        </w:tc>
        <w:tc>
          <w:tcPr>
            <w:tcW w:w="2520" w:type="dxa"/>
            <w:tcBorders>
              <w:left w:val="single" w:sz="4" w:space="0" w:color="auto"/>
              <w:right w:val="single" w:sz="4" w:space="0" w:color="auto"/>
            </w:tcBorders>
          </w:tcPr>
          <w:p w:rsidR="00443EC1" w:rsidRDefault="00443EC1">
            <w:pPr>
              <w:spacing w:before="60" w:after="60" w:line="280" w:lineRule="exact"/>
              <w:jc w:val="center"/>
              <w:rPr>
                <w:rFonts w:hint="cs"/>
              </w:rPr>
            </w:pPr>
            <w:r>
              <w:rPr>
                <w:rFonts w:hint="cs"/>
                <w:rtl/>
              </w:rPr>
              <w:t>1.92</w:t>
            </w:r>
          </w:p>
        </w:tc>
        <w:tc>
          <w:tcPr>
            <w:tcW w:w="2880" w:type="dxa"/>
            <w:tcBorders>
              <w:left w:val="single" w:sz="4" w:space="0" w:color="auto"/>
              <w:right w:val="single" w:sz="4" w:space="0" w:color="auto"/>
            </w:tcBorders>
          </w:tcPr>
          <w:p w:rsidR="00443EC1" w:rsidRDefault="00443EC1">
            <w:pPr>
              <w:spacing w:before="60" w:after="60" w:line="280" w:lineRule="exact"/>
              <w:jc w:val="center"/>
              <w:rPr>
                <w:rFonts w:hint="cs"/>
              </w:rPr>
            </w:pPr>
            <w:r>
              <w:rPr>
                <w:rFonts w:hint="cs"/>
                <w:rtl/>
              </w:rPr>
              <w:t>14.2</w:t>
            </w:r>
          </w:p>
        </w:tc>
        <w:tc>
          <w:tcPr>
            <w:tcW w:w="2808" w:type="dxa"/>
            <w:tcBorders>
              <w:left w:val="single" w:sz="4" w:space="0" w:color="auto"/>
            </w:tcBorders>
          </w:tcPr>
          <w:p w:rsidR="00443EC1" w:rsidRDefault="00443EC1">
            <w:pPr>
              <w:spacing w:before="60" w:after="60" w:line="280" w:lineRule="exact"/>
              <w:jc w:val="center"/>
              <w:rPr>
                <w:rFonts w:hint="cs"/>
              </w:rPr>
            </w:pPr>
            <w:r>
              <w:rPr>
                <w:rFonts w:hint="cs"/>
                <w:rtl/>
              </w:rPr>
              <w:t>10.3</w:t>
            </w:r>
          </w:p>
        </w:tc>
      </w:tr>
      <w:tr w:rsidR="00443EC1" w:rsidTr="00443EC1">
        <w:tblPrEx>
          <w:tblCellMar>
            <w:top w:w="0" w:type="dxa"/>
            <w:bottom w:w="0" w:type="dxa"/>
          </w:tblCellMar>
        </w:tblPrEx>
        <w:trPr>
          <w:jc w:val="center"/>
        </w:trPr>
        <w:tc>
          <w:tcPr>
            <w:tcW w:w="1362" w:type="dxa"/>
            <w:tcBorders>
              <w:right w:val="single" w:sz="4" w:space="0" w:color="auto"/>
            </w:tcBorders>
          </w:tcPr>
          <w:p w:rsidR="00443EC1" w:rsidRDefault="00443EC1">
            <w:pPr>
              <w:spacing w:before="60" w:after="60" w:line="280" w:lineRule="exact"/>
              <w:jc w:val="center"/>
              <w:rPr>
                <w:rFonts w:hint="cs"/>
              </w:rPr>
            </w:pPr>
            <w:r>
              <w:rPr>
                <w:rFonts w:hint="cs"/>
                <w:rtl/>
              </w:rPr>
              <w:t>1992</w:t>
            </w:r>
          </w:p>
        </w:tc>
        <w:tc>
          <w:tcPr>
            <w:tcW w:w="2520" w:type="dxa"/>
            <w:tcBorders>
              <w:left w:val="single" w:sz="4" w:space="0" w:color="auto"/>
              <w:right w:val="single" w:sz="4" w:space="0" w:color="auto"/>
            </w:tcBorders>
          </w:tcPr>
          <w:p w:rsidR="00443EC1" w:rsidRDefault="00443EC1">
            <w:pPr>
              <w:spacing w:before="60" w:after="60" w:line="280" w:lineRule="exact"/>
              <w:jc w:val="center"/>
              <w:rPr>
                <w:rFonts w:hint="cs"/>
              </w:rPr>
            </w:pPr>
            <w:r>
              <w:rPr>
                <w:rFonts w:hint="cs"/>
                <w:rtl/>
              </w:rPr>
              <w:t>2.40</w:t>
            </w:r>
          </w:p>
        </w:tc>
        <w:tc>
          <w:tcPr>
            <w:tcW w:w="2880" w:type="dxa"/>
            <w:tcBorders>
              <w:left w:val="single" w:sz="4" w:space="0" w:color="auto"/>
              <w:right w:val="single" w:sz="4" w:space="0" w:color="auto"/>
            </w:tcBorders>
          </w:tcPr>
          <w:p w:rsidR="00443EC1" w:rsidRDefault="00443EC1">
            <w:pPr>
              <w:spacing w:before="60" w:after="60" w:line="280" w:lineRule="exact"/>
              <w:jc w:val="center"/>
              <w:rPr>
                <w:rFonts w:hint="cs"/>
              </w:rPr>
            </w:pPr>
            <w:r>
              <w:rPr>
                <w:rFonts w:hint="cs"/>
                <w:rtl/>
              </w:rPr>
              <w:t>14.8</w:t>
            </w:r>
          </w:p>
        </w:tc>
        <w:tc>
          <w:tcPr>
            <w:tcW w:w="2808" w:type="dxa"/>
            <w:tcBorders>
              <w:left w:val="single" w:sz="4" w:space="0" w:color="auto"/>
            </w:tcBorders>
          </w:tcPr>
          <w:p w:rsidR="00443EC1" w:rsidRDefault="00443EC1">
            <w:pPr>
              <w:spacing w:before="60" w:after="60" w:line="280" w:lineRule="exact"/>
              <w:jc w:val="center"/>
              <w:rPr>
                <w:rFonts w:hint="cs"/>
              </w:rPr>
            </w:pPr>
            <w:r>
              <w:rPr>
                <w:rFonts w:hint="cs"/>
                <w:rtl/>
              </w:rPr>
              <w:t>10.7</w:t>
            </w:r>
          </w:p>
        </w:tc>
      </w:tr>
      <w:tr w:rsidR="00443EC1" w:rsidTr="00443EC1">
        <w:tblPrEx>
          <w:tblCellMar>
            <w:top w:w="0" w:type="dxa"/>
            <w:bottom w:w="0" w:type="dxa"/>
          </w:tblCellMar>
        </w:tblPrEx>
        <w:trPr>
          <w:jc w:val="center"/>
        </w:trPr>
        <w:tc>
          <w:tcPr>
            <w:tcW w:w="1362" w:type="dxa"/>
            <w:tcBorders>
              <w:right w:val="single" w:sz="4" w:space="0" w:color="auto"/>
            </w:tcBorders>
          </w:tcPr>
          <w:p w:rsidR="00443EC1" w:rsidRDefault="00443EC1">
            <w:pPr>
              <w:spacing w:before="60" w:after="60" w:line="280" w:lineRule="exact"/>
              <w:jc w:val="center"/>
              <w:rPr>
                <w:rFonts w:hint="cs"/>
              </w:rPr>
            </w:pPr>
            <w:r>
              <w:rPr>
                <w:rFonts w:hint="cs"/>
                <w:rtl/>
              </w:rPr>
              <w:t>1993</w:t>
            </w:r>
          </w:p>
        </w:tc>
        <w:tc>
          <w:tcPr>
            <w:tcW w:w="2520" w:type="dxa"/>
            <w:tcBorders>
              <w:left w:val="single" w:sz="4" w:space="0" w:color="auto"/>
              <w:right w:val="single" w:sz="4" w:space="0" w:color="auto"/>
            </w:tcBorders>
          </w:tcPr>
          <w:p w:rsidR="00443EC1" w:rsidRDefault="00443EC1">
            <w:pPr>
              <w:spacing w:before="60" w:after="60" w:line="280" w:lineRule="exact"/>
              <w:jc w:val="center"/>
              <w:rPr>
                <w:rFonts w:hint="cs"/>
              </w:rPr>
            </w:pPr>
            <w:r>
              <w:rPr>
                <w:rFonts w:hint="cs"/>
                <w:rtl/>
              </w:rPr>
              <w:t>3.08</w:t>
            </w:r>
          </w:p>
        </w:tc>
        <w:tc>
          <w:tcPr>
            <w:tcW w:w="2880" w:type="dxa"/>
            <w:tcBorders>
              <w:left w:val="single" w:sz="4" w:space="0" w:color="auto"/>
              <w:right w:val="single" w:sz="4" w:space="0" w:color="auto"/>
            </w:tcBorders>
          </w:tcPr>
          <w:p w:rsidR="00443EC1" w:rsidRDefault="00443EC1">
            <w:pPr>
              <w:spacing w:before="60" w:after="60" w:line="280" w:lineRule="exact"/>
              <w:jc w:val="center"/>
              <w:rPr>
                <w:rFonts w:hint="cs"/>
              </w:rPr>
            </w:pPr>
            <w:r>
              <w:rPr>
                <w:rFonts w:hint="cs"/>
                <w:rtl/>
              </w:rPr>
              <w:t>15.2</w:t>
            </w:r>
          </w:p>
        </w:tc>
        <w:tc>
          <w:tcPr>
            <w:tcW w:w="2808" w:type="dxa"/>
            <w:tcBorders>
              <w:left w:val="single" w:sz="4" w:space="0" w:color="auto"/>
            </w:tcBorders>
          </w:tcPr>
          <w:p w:rsidR="00443EC1" w:rsidRDefault="00443EC1">
            <w:pPr>
              <w:spacing w:before="60" w:after="60" w:line="280" w:lineRule="exact"/>
              <w:jc w:val="center"/>
              <w:rPr>
                <w:rFonts w:hint="cs"/>
              </w:rPr>
            </w:pPr>
            <w:r>
              <w:rPr>
                <w:rFonts w:hint="cs"/>
                <w:rtl/>
              </w:rPr>
              <w:t>11.0</w:t>
            </w:r>
          </w:p>
        </w:tc>
      </w:tr>
      <w:tr w:rsidR="00443EC1" w:rsidTr="00443EC1">
        <w:tblPrEx>
          <w:tblCellMar>
            <w:top w:w="0" w:type="dxa"/>
            <w:bottom w:w="0" w:type="dxa"/>
          </w:tblCellMar>
        </w:tblPrEx>
        <w:trPr>
          <w:jc w:val="center"/>
        </w:trPr>
        <w:tc>
          <w:tcPr>
            <w:tcW w:w="1362" w:type="dxa"/>
            <w:tcBorders>
              <w:right w:val="single" w:sz="4" w:space="0" w:color="auto"/>
            </w:tcBorders>
          </w:tcPr>
          <w:p w:rsidR="00443EC1" w:rsidRDefault="00443EC1">
            <w:pPr>
              <w:spacing w:before="60" w:after="60" w:line="280" w:lineRule="exact"/>
              <w:jc w:val="center"/>
              <w:rPr>
                <w:rFonts w:hint="cs"/>
              </w:rPr>
            </w:pPr>
            <w:r>
              <w:rPr>
                <w:rFonts w:hint="cs"/>
                <w:rtl/>
              </w:rPr>
              <w:t>1994</w:t>
            </w:r>
          </w:p>
        </w:tc>
        <w:tc>
          <w:tcPr>
            <w:tcW w:w="2520" w:type="dxa"/>
            <w:tcBorders>
              <w:left w:val="single" w:sz="4" w:space="0" w:color="auto"/>
              <w:right w:val="single" w:sz="4" w:space="0" w:color="auto"/>
            </w:tcBorders>
          </w:tcPr>
          <w:p w:rsidR="00443EC1" w:rsidRDefault="00443EC1">
            <w:pPr>
              <w:spacing w:before="60" w:after="60" w:line="280" w:lineRule="exact"/>
              <w:jc w:val="center"/>
              <w:rPr>
                <w:rFonts w:hint="cs"/>
              </w:rPr>
            </w:pPr>
            <w:r>
              <w:rPr>
                <w:rFonts w:hint="cs"/>
                <w:rtl/>
              </w:rPr>
              <w:t>3.57</w:t>
            </w:r>
          </w:p>
        </w:tc>
        <w:tc>
          <w:tcPr>
            <w:tcW w:w="2880" w:type="dxa"/>
            <w:tcBorders>
              <w:left w:val="single" w:sz="4" w:space="0" w:color="auto"/>
              <w:right w:val="single" w:sz="4" w:space="0" w:color="auto"/>
            </w:tcBorders>
          </w:tcPr>
          <w:p w:rsidR="00443EC1" w:rsidRDefault="00443EC1">
            <w:pPr>
              <w:spacing w:before="60" w:after="60" w:line="280" w:lineRule="exact"/>
              <w:jc w:val="center"/>
              <w:rPr>
                <w:rFonts w:hint="cs"/>
              </w:rPr>
            </w:pPr>
            <w:r>
              <w:rPr>
                <w:rFonts w:hint="cs"/>
                <w:rtl/>
              </w:rPr>
              <w:t>15.7</w:t>
            </w:r>
          </w:p>
        </w:tc>
        <w:tc>
          <w:tcPr>
            <w:tcW w:w="2808" w:type="dxa"/>
            <w:tcBorders>
              <w:left w:val="single" w:sz="4" w:space="0" w:color="auto"/>
            </w:tcBorders>
          </w:tcPr>
          <w:p w:rsidR="00443EC1" w:rsidRDefault="00443EC1">
            <w:pPr>
              <w:spacing w:before="60" w:after="60" w:line="280" w:lineRule="exact"/>
              <w:jc w:val="center"/>
              <w:rPr>
                <w:rFonts w:hint="cs"/>
              </w:rPr>
            </w:pPr>
            <w:r>
              <w:rPr>
                <w:rFonts w:hint="cs"/>
                <w:rtl/>
              </w:rPr>
              <w:t>11.4</w:t>
            </w:r>
          </w:p>
        </w:tc>
      </w:tr>
      <w:tr w:rsidR="00443EC1" w:rsidTr="00443EC1">
        <w:tblPrEx>
          <w:tblCellMar>
            <w:top w:w="0" w:type="dxa"/>
            <w:bottom w:w="0" w:type="dxa"/>
          </w:tblCellMar>
        </w:tblPrEx>
        <w:trPr>
          <w:jc w:val="center"/>
        </w:trPr>
        <w:tc>
          <w:tcPr>
            <w:tcW w:w="1362" w:type="dxa"/>
            <w:tcBorders>
              <w:right w:val="single" w:sz="4" w:space="0" w:color="auto"/>
            </w:tcBorders>
          </w:tcPr>
          <w:p w:rsidR="00443EC1" w:rsidRDefault="00443EC1">
            <w:pPr>
              <w:spacing w:before="60" w:after="60" w:line="280" w:lineRule="exact"/>
              <w:jc w:val="center"/>
              <w:rPr>
                <w:rFonts w:hint="cs"/>
              </w:rPr>
            </w:pPr>
            <w:r>
              <w:rPr>
                <w:rFonts w:hint="cs"/>
                <w:rtl/>
              </w:rPr>
              <w:t>1995</w:t>
            </w:r>
          </w:p>
        </w:tc>
        <w:tc>
          <w:tcPr>
            <w:tcW w:w="2520" w:type="dxa"/>
            <w:tcBorders>
              <w:left w:val="single" w:sz="4" w:space="0" w:color="auto"/>
              <w:right w:val="single" w:sz="4" w:space="0" w:color="auto"/>
            </w:tcBorders>
          </w:tcPr>
          <w:p w:rsidR="00443EC1" w:rsidRDefault="00443EC1">
            <w:pPr>
              <w:spacing w:before="60" w:after="60" w:line="280" w:lineRule="exact"/>
              <w:jc w:val="center"/>
              <w:rPr>
                <w:rFonts w:hint="cs"/>
              </w:rPr>
            </w:pPr>
            <w:r>
              <w:rPr>
                <w:rFonts w:hint="cs"/>
                <w:rtl/>
              </w:rPr>
              <w:t>3.75</w:t>
            </w:r>
          </w:p>
        </w:tc>
        <w:tc>
          <w:tcPr>
            <w:tcW w:w="2880" w:type="dxa"/>
            <w:tcBorders>
              <w:left w:val="single" w:sz="4" w:space="0" w:color="auto"/>
              <w:right w:val="single" w:sz="4" w:space="0" w:color="auto"/>
            </w:tcBorders>
          </w:tcPr>
          <w:p w:rsidR="00443EC1" w:rsidRDefault="00443EC1">
            <w:pPr>
              <w:spacing w:before="60" w:after="60" w:line="280" w:lineRule="exact"/>
              <w:jc w:val="center"/>
              <w:rPr>
                <w:rFonts w:hint="cs"/>
              </w:rPr>
            </w:pPr>
            <w:r>
              <w:rPr>
                <w:rFonts w:hint="cs"/>
                <w:rtl/>
              </w:rPr>
              <w:t>16.3</w:t>
            </w:r>
          </w:p>
        </w:tc>
        <w:tc>
          <w:tcPr>
            <w:tcW w:w="2808" w:type="dxa"/>
            <w:tcBorders>
              <w:left w:val="single" w:sz="4" w:space="0" w:color="auto"/>
            </w:tcBorders>
          </w:tcPr>
          <w:p w:rsidR="00443EC1" w:rsidRDefault="00443EC1">
            <w:pPr>
              <w:spacing w:before="60" w:after="60" w:line="280" w:lineRule="exact"/>
              <w:jc w:val="center"/>
              <w:rPr>
                <w:rFonts w:hint="cs"/>
              </w:rPr>
            </w:pPr>
            <w:r>
              <w:rPr>
                <w:rFonts w:hint="cs"/>
                <w:rtl/>
              </w:rPr>
              <w:t>11.8</w:t>
            </w:r>
          </w:p>
        </w:tc>
      </w:tr>
      <w:tr w:rsidR="00443EC1" w:rsidTr="00443EC1">
        <w:tblPrEx>
          <w:tblCellMar>
            <w:top w:w="0" w:type="dxa"/>
            <w:bottom w:w="0" w:type="dxa"/>
          </w:tblCellMar>
        </w:tblPrEx>
        <w:trPr>
          <w:jc w:val="center"/>
        </w:trPr>
        <w:tc>
          <w:tcPr>
            <w:tcW w:w="1362" w:type="dxa"/>
            <w:tcBorders>
              <w:right w:val="single" w:sz="4" w:space="0" w:color="auto"/>
            </w:tcBorders>
          </w:tcPr>
          <w:p w:rsidR="00443EC1" w:rsidRDefault="00443EC1">
            <w:pPr>
              <w:spacing w:before="60" w:after="60" w:line="280" w:lineRule="exact"/>
              <w:jc w:val="center"/>
              <w:rPr>
                <w:rFonts w:hint="cs"/>
                <w:rtl/>
              </w:rPr>
            </w:pPr>
            <w:r>
              <w:rPr>
                <w:rFonts w:hint="cs"/>
                <w:rtl/>
              </w:rPr>
              <w:t>1996</w:t>
            </w:r>
          </w:p>
        </w:tc>
        <w:tc>
          <w:tcPr>
            <w:tcW w:w="2520" w:type="dxa"/>
            <w:tcBorders>
              <w:left w:val="single" w:sz="4" w:space="0" w:color="auto"/>
              <w:right w:val="single" w:sz="4" w:space="0" w:color="auto"/>
            </w:tcBorders>
          </w:tcPr>
          <w:p w:rsidR="00443EC1" w:rsidRDefault="00443EC1">
            <w:pPr>
              <w:spacing w:before="60" w:after="60" w:line="280" w:lineRule="exact"/>
              <w:jc w:val="center"/>
              <w:rPr>
                <w:rFonts w:hint="cs"/>
              </w:rPr>
            </w:pPr>
            <w:r>
              <w:rPr>
                <w:rFonts w:hint="cs"/>
                <w:rtl/>
              </w:rPr>
              <w:t>3.95</w:t>
            </w:r>
          </w:p>
        </w:tc>
        <w:tc>
          <w:tcPr>
            <w:tcW w:w="2880" w:type="dxa"/>
            <w:tcBorders>
              <w:left w:val="single" w:sz="4" w:space="0" w:color="auto"/>
              <w:right w:val="single" w:sz="4" w:space="0" w:color="auto"/>
            </w:tcBorders>
          </w:tcPr>
          <w:p w:rsidR="00443EC1" w:rsidRDefault="00443EC1">
            <w:pPr>
              <w:spacing w:before="60" w:after="60" w:line="280" w:lineRule="exact"/>
              <w:jc w:val="center"/>
              <w:rPr>
                <w:rFonts w:hint="cs"/>
              </w:rPr>
            </w:pPr>
            <w:r>
              <w:rPr>
                <w:rFonts w:hint="cs"/>
                <w:rtl/>
              </w:rPr>
              <w:t>17.0</w:t>
            </w:r>
          </w:p>
        </w:tc>
        <w:tc>
          <w:tcPr>
            <w:tcW w:w="2808" w:type="dxa"/>
            <w:tcBorders>
              <w:left w:val="single" w:sz="4" w:space="0" w:color="auto"/>
            </w:tcBorders>
          </w:tcPr>
          <w:p w:rsidR="00443EC1" w:rsidRDefault="00443EC1">
            <w:pPr>
              <w:spacing w:before="60" w:after="60" w:line="280" w:lineRule="exact"/>
              <w:jc w:val="center"/>
              <w:rPr>
                <w:rFonts w:hint="cs"/>
              </w:rPr>
            </w:pPr>
            <w:r>
              <w:rPr>
                <w:rFonts w:hint="cs"/>
                <w:rtl/>
              </w:rPr>
              <w:t>12.3</w:t>
            </w:r>
          </w:p>
        </w:tc>
      </w:tr>
      <w:tr w:rsidR="00443EC1" w:rsidTr="00443EC1">
        <w:tblPrEx>
          <w:tblCellMar>
            <w:top w:w="0" w:type="dxa"/>
            <w:bottom w:w="0" w:type="dxa"/>
          </w:tblCellMar>
        </w:tblPrEx>
        <w:trPr>
          <w:jc w:val="center"/>
        </w:trPr>
        <w:tc>
          <w:tcPr>
            <w:tcW w:w="1362" w:type="dxa"/>
            <w:tcBorders>
              <w:right w:val="single" w:sz="4" w:space="0" w:color="auto"/>
            </w:tcBorders>
          </w:tcPr>
          <w:p w:rsidR="00443EC1" w:rsidRDefault="00443EC1">
            <w:pPr>
              <w:spacing w:before="60" w:after="60" w:line="280" w:lineRule="exact"/>
              <w:jc w:val="center"/>
              <w:rPr>
                <w:rFonts w:hint="cs"/>
                <w:rtl/>
              </w:rPr>
            </w:pPr>
            <w:r>
              <w:rPr>
                <w:rFonts w:hint="cs"/>
                <w:rtl/>
              </w:rPr>
              <w:t>1997</w:t>
            </w:r>
          </w:p>
        </w:tc>
        <w:tc>
          <w:tcPr>
            <w:tcW w:w="2520" w:type="dxa"/>
            <w:tcBorders>
              <w:left w:val="single" w:sz="4" w:space="0" w:color="auto"/>
              <w:right w:val="single" w:sz="4" w:space="0" w:color="auto"/>
            </w:tcBorders>
          </w:tcPr>
          <w:p w:rsidR="00443EC1" w:rsidRDefault="00443EC1">
            <w:pPr>
              <w:spacing w:before="60" w:after="60" w:line="280" w:lineRule="exact"/>
              <w:jc w:val="center"/>
              <w:rPr>
                <w:rFonts w:hint="cs"/>
              </w:rPr>
            </w:pPr>
            <w:r>
              <w:rPr>
                <w:rFonts w:hint="cs"/>
                <w:rtl/>
              </w:rPr>
              <w:t>4.06</w:t>
            </w:r>
          </w:p>
        </w:tc>
        <w:tc>
          <w:tcPr>
            <w:tcW w:w="2880" w:type="dxa"/>
            <w:tcBorders>
              <w:left w:val="single" w:sz="4" w:space="0" w:color="auto"/>
              <w:right w:val="single" w:sz="4" w:space="0" w:color="auto"/>
            </w:tcBorders>
          </w:tcPr>
          <w:p w:rsidR="00443EC1" w:rsidRDefault="00443EC1">
            <w:pPr>
              <w:spacing w:before="60" w:after="60" w:line="280" w:lineRule="exact"/>
              <w:jc w:val="center"/>
              <w:rPr>
                <w:rFonts w:hint="cs"/>
              </w:rPr>
            </w:pPr>
            <w:r>
              <w:rPr>
                <w:rFonts w:hint="cs"/>
                <w:rtl/>
              </w:rPr>
              <w:t>17.8</w:t>
            </w:r>
          </w:p>
        </w:tc>
        <w:tc>
          <w:tcPr>
            <w:tcW w:w="2808" w:type="dxa"/>
            <w:tcBorders>
              <w:left w:val="single" w:sz="4" w:space="0" w:color="auto"/>
            </w:tcBorders>
          </w:tcPr>
          <w:p w:rsidR="00443EC1" w:rsidRDefault="00443EC1">
            <w:pPr>
              <w:spacing w:before="60" w:after="60" w:line="280" w:lineRule="exact"/>
              <w:jc w:val="center"/>
              <w:rPr>
                <w:rFonts w:hint="cs"/>
              </w:rPr>
            </w:pPr>
            <w:r>
              <w:rPr>
                <w:rFonts w:hint="cs"/>
                <w:rtl/>
              </w:rPr>
              <w:t>13.0</w:t>
            </w:r>
          </w:p>
        </w:tc>
      </w:tr>
      <w:tr w:rsidR="00443EC1" w:rsidTr="00443EC1">
        <w:tblPrEx>
          <w:tblCellMar>
            <w:top w:w="0" w:type="dxa"/>
            <w:bottom w:w="0" w:type="dxa"/>
          </w:tblCellMar>
        </w:tblPrEx>
        <w:trPr>
          <w:jc w:val="center"/>
        </w:trPr>
        <w:tc>
          <w:tcPr>
            <w:tcW w:w="1362" w:type="dxa"/>
            <w:tcBorders>
              <w:right w:val="single" w:sz="4" w:space="0" w:color="auto"/>
            </w:tcBorders>
          </w:tcPr>
          <w:p w:rsidR="00443EC1" w:rsidRDefault="00443EC1">
            <w:pPr>
              <w:spacing w:before="60" w:after="60" w:line="280" w:lineRule="exact"/>
              <w:jc w:val="center"/>
              <w:rPr>
                <w:rFonts w:hint="cs"/>
                <w:rtl/>
              </w:rPr>
            </w:pPr>
            <w:r>
              <w:rPr>
                <w:rFonts w:hint="cs"/>
                <w:rtl/>
              </w:rPr>
              <w:t>1998</w:t>
            </w:r>
          </w:p>
        </w:tc>
        <w:tc>
          <w:tcPr>
            <w:tcW w:w="2520" w:type="dxa"/>
            <w:tcBorders>
              <w:left w:val="single" w:sz="4" w:space="0" w:color="auto"/>
              <w:right w:val="single" w:sz="4" w:space="0" w:color="auto"/>
            </w:tcBorders>
          </w:tcPr>
          <w:p w:rsidR="00443EC1" w:rsidRDefault="00443EC1">
            <w:pPr>
              <w:spacing w:before="60" w:after="60" w:line="280" w:lineRule="exact"/>
              <w:jc w:val="center"/>
              <w:rPr>
                <w:rFonts w:hint="cs"/>
              </w:rPr>
            </w:pPr>
            <w:r>
              <w:rPr>
                <w:rFonts w:hint="cs"/>
                <w:rtl/>
              </w:rPr>
              <w:t>4.76</w:t>
            </w:r>
          </w:p>
        </w:tc>
        <w:tc>
          <w:tcPr>
            <w:tcW w:w="2880" w:type="dxa"/>
            <w:tcBorders>
              <w:left w:val="single" w:sz="4" w:space="0" w:color="auto"/>
              <w:right w:val="single" w:sz="4" w:space="0" w:color="auto"/>
            </w:tcBorders>
          </w:tcPr>
          <w:p w:rsidR="00443EC1" w:rsidRDefault="00443EC1">
            <w:pPr>
              <w:spacing w:before="60" w:after="60" w:line="280" w:lineRule="exact"/>
              <w:jc w:val="center"/>
              <w:rPr>
                <w:rFonts w:hint="cs"/>
              </w:rPr>
            </w:pPr>
            <w:r>
              <w:rPr>
                <w:rFonts w:hint="cs"/>
                <w:rtl/>
              </w:rPr>
              <w:t>18.7</w:t>
            </w:r>
          </w:p>
        </w:tc>
        <w:tc>
          <w:tcPr>
            <w:tcW w:w="2808" w:type="dxa"/>
            <w:tcBorders>
              <w:left w:val="single" w:sz="4" w:space="0" w:color="auto"/>
            </w:tcBorders>
          </w:tcPr>
          <w:p w:rsidR="00443EC1" w:rsidRDefault="00443EC1">
            <w:pPr>
              <w:spacing w:before="60" w:after="60" w:line="280" w:lineRule="exact"/>
              <w:jc w:val="center"/>
              <w:rPr>
                <w:rFonts w:hint="cs"/>
              </w:rPr>
            </w:pPr>
            <w:r>
              <w:rPr>
                <w:rFonts w:hint="cs"/>
                <w:rtl/>
              </w:rPr>
              <w:t>13.6</w:t>
            </w:r>
          </w:p>
        </w:tc>
      </w:tr>
      <w:tr w:rsidR="00443EC1" w:rsidTr="00443EC1">
        <w:tblPrEx>
          <w:tblCellMar>
            <w:top w:w="0" w:type="dxa"/>
            <w:bottom w:w="0" w:type="dxa"/>
          </w:tblCellMar>
        </w:tblPrEx>
        <w:trPr>
          <w:jc w:val="center"/>
        </w:trPr>
        <w:tc>
          <w:tcPr>
            <w:tcW w:w="1362" w:type="dxa"/>
            <w:tcBorders>
              <w:right w:val="single" w:sz="4" w:space="0" w:color="auto"/>
            </w:tcBorders>
          </w:tcPr>
          <w:p w:rsidR="00443EC1" w:rsidRDefault="00443EC1">
            <w:pPr>
              <w:spacing w:before="60" w:after="60" w:line="280" w:lineRule="exact"/>
              <w:jc w:val="center"/>
              <w:rPr>
                <w:rFonts w:hint="cs"/>
                <w:rtl/>
              </w:rPr>
            </w:pPr>
            <w:r>
              <w:rPr>
                <w:rFonts w:hint="cs"/>
                <w:rtl/>
              </w:rPr>
              <w:t>1999</w:t>
            </w:r>
          </w:p>
        </w:tc>
        <w:tc>
          <w:tcPr>
            <w:tcW w:w="2520" w:type="dxa"/>
            <w:tcBorders>
              <w:left w:val="single" w:sz="4" w:space="0" w:color="auto"/>
              <w:right w:val="single" w:sz="4" w:space="0" w:color="auto"/>
            </w:tcBorders>
          </w:tcPr>
          <w:p w:rsidR="00443EC1" w:rsidRDefault="00443EC1">
            <w:pPr>
              <w:spacing w:before="60" w:after="60" w:line="280" w:lineRule="exact"/>
              <w:jc w:val="center"/>
              <w:rPr>
                <w:rFonts w:hint="cs"/>
              </w:rPr>
            </w:pPr>
            <w:r>
              <w:rPr>
                <w:rFonts w:hint="cs"/>
                <w:rtl/>
              </w:rPr>
              <w:t>5.59</w:t>
            </w:r>
          </w:p>
        </w:tc>
        <w:tc>
          <w:tcPr>
            <w:tcW w:w="2880" w:type="dxa"/>
            <w:tcBorders>
              <w:left w:val="single" w:sz="4" w:space="0" w:color="auto"/>
              <w:right w:val="single" w:sz="4" w:space="0" w:color="auto"/>
            </w:tcBorders>
          </w:tcPr>
          <w:p w:rsidR="00443EC1" w:rsidRDefault="00443EC1">
            <w:pPr>
              <w:spacing w:before="60" w:after="60" w:line="280" w:lineRule="exact"/>
              <w:jc w:val="center"/>
              <w:rPr>
                <w:rFonts w:hint="cs"/>
              </w:rPr>
            </w:pPr>
            <w:r>
              <w:rPr>
                <w:rFonts w:hint="cs"/>
                <w:rtl/>
              </w:rPr>
              <w:t>19.4</w:t>
            </w:r>
          </w:p>
        </w:tc>
        <w:tc>
          <w:tcPr>
            <w:tcW w:w="2808" w:type="dxa"/>
            <w:tcBorders>
              <w:left w:val="single" w:sz="4" w:space="0" w:color="auto"/>
            </w:tcBorders>
          </w:tcPr>
          <w:p w:rsidR="00443EC1" w:rsidRDefault="00443EC1">
            <w:pPr>
              <w:spacing w:before="60" w:after="60" w:line="280" w:lineRule="exact"/>
              <w:jc w:val="center"/>
              <w:rPr>
                <w:rFonts w:hint="cs"/>
              </w:rPr>
            </w:pPr>
            <w:r>
              <w:rPr>
                <w:rFonts w:hint="cs"/>
                <w:rtl/>
              </w:rPr>
              <w:t>12.3</w:t>
            </w:r>
          </w:p>
        </w:tc>
      </w:tr>
      <w:tr w:rsidR="00443EC1" w:rsidTr="00443EC1">
        <w:tblPrEx>
          <w:tblCellMar>
            <w:top w:w="0" w:type="dxa"/>
            <w:bottom w:w="0" w:type="dxa"/>
          </w:tblCellMar>
        </w:tblPrEx>
        <w:trPr>
          <w:jc w:val="center"/>
        </w:trPr>
        <w:tc>
          <w:tcPr>
            <w:tcW w:w="1362" w:type="dxa"/>
            <w:tcBorders>
              <w:right w:val="single" w:sz="4" w:space="0" w:color="auto"/>
            </w:tcBorders>
          </w:tcPr>
          <w:p w:rsidR="00443EC1" w:rsidRDefault="00443EC1">
            <w:pPr>
              <w:spacing w:before="60" w:after="60" w:line="280" w:lineRule="exact"/>
              <w:jc w:val="center"/>
              <w:rPr>
                <w:rFonts w:hint="cs"/>
                <w:rtl/>
              </w:rPr>
            </w:pPr>
            <w:r>
              <w:rPr>
                <w:rFonts w:hint="cs"/>
                <w:rtl/>
              </w:rPr>
              <w:t>2000</w:t>
            </w:r>
          </w:p>
        </w:tc>
        <w:tc>
          <w:tcPr>
            <w:tcW w:w="2520" w:type="dxa"/>
            <w:tcBorders>
              <w:left w:val="single" w:sz="4" w:space="0" w:color="auto"/>
              <w:right w:val="single" w:sz="4" w:space="0" w:color="auto"/>
            </w:tcBorders>
          </w:tcPr>
          <w:p w:rsidR="00443EC1" w:rsidRDefault="00443EC1">
            <w:pPr>
              <w:spacing w:before="60" w:after="60" w:line="280" w:lineRule="exact"/>
              <w:jc w:val="center"/>
              <w:rPr>
                <w:rFonts w:hint="cs"/>
              </w:rPr>
            </w:pPr>
            <w:r>
              <w:rPr>
                <w:rFonts w:hint="cs"/>
                <w:rtl/>
              </w:rPr>
              <w:t>5.49</w:t>
            </w:r>
          </w:p>
        </w:tc>
        <w:tc>
          <w:tcPr>
            <w:tcW w:w="2880" w:type="dxa"/>
            <w:tcBorders>
              <w:left w:val="single" w:sz="4" w:space="0" w:color="auto"/>
              <w:right w:val="single" w:sz="4" w:space="0" w:color="auto"/>
            </w:tcBorders>
          </w:tcPr>
          <w:p w:rsidR="00443EC1" w:rsidRDefault="00443EC1">
            <w:pPr>
              <w:spacing w:before="60" w:after="60" w:line="280" w:lineRule="exact"/>
              <w:jc w:val="center"/>
              <w:rPr>
                <w:rFonts w:hint="cs"/>
              </w:rPr>
            </w:pPr>
            <w:r>
              <w:rPr>
                <w:rFonts w:hint="cs"/>
                <w:rtl/>
              </w:rPr>
              <w:t>20.3</w:t>
            </w:r>
          </w:p>
        </w:tc>
        <w:tc>
          <w:tcPr>
            <w:tcW w:w="2808" w:type="dxa"/>
            <w:tcBorders>
              <w:left w:val="single" w:sz="4" w:space="0" w:color="auto"/>
            </w:tcBorders>
          </w:tcPr>
          <w:p w:rsidR="00443EC1" w:rsidRDefault="00443EC1">
            <w:pPr>
              <w:spacing w:before="60" w:after="60" w:line="280" w:lineRule="exact"/>
              <w:jc w:val="center"/>
              <w:rPr>
                <w:rFonts w:hint="cs"/>
              </w:rPr>
            </w:pPr>
            <w:r>
              <w:rPr>
                <w:rFonts w:hint="cs"/>
                <w:rtl/>
              </w:rPr>
              <w:t>14.9</w:t>
            </w:r>
          </w:p>
        </w:tc>
      </w:tr>
      <w:tr w:rsidR="00443EC1" w:rsidTr="00443EC1">
        <w:tblPrEx>
          <w:tblCellMar>
            <w:top w:w="0" w:type="dxa"/>
            <w:bottom w:w="0" w:type="dxa"/>
          </w:tblCellMar>
        </w:tblPrEx>
        <w:trPr>
          <w:jc w:val="center"/>
        </w:trPr>
        <w:tc>
          <w:tcPr>
            <w:tcW w:w="1362" w:type="dxa"/>
            <w:tcBorders>
              <w:bottom w:val="single" w:sz="4" w:space="0" w:color="auto"/>
              <w:right w:val="single" w:sz="4" w:space="0" w:color="auto"/>
            </w:tcBorders>
          </w:tcPr>
          <w:p w:rsidR="00443EC1" w:rsidRDefault="00443EC1">
            <w:pPr>
              <w:spacing w:before="60" w:after="60" w:line="280" w:lineRule="exact"/>
              <w:jc w:val="center"/>
              <w:rPr>
                <w:rFonts w:hint="cs"/>
                <w:rtl/>
              </w:rPr>
            </w:pPr>
            <w:r>
              <w:rPr>
                <w:rFonts w:hint="cs"/>
                <w:rtl/>
              </w:rPr>
              <w:t>2001</w:t>
            </w:r>
          </w:p>
        </w:tc>
        <w:tc>
          <w:tcPr>
            <w:tcW w:w="2520" w:type="dxa"/>
            <w:tcBorders>
              <w:left w:val="single" w:sz="4" w:space="0" w:color="auto"/>
              <w:bottom w:val="single" w:sz="4" w:space="0" w:color="auto"/>
              <w:right w:val="single" w:sz="4" w:space="0" w:color="auto"/>
            </w:tcBorders>
          </w:tcPr>
          <w:p w:rsidR="00443EC1" w:rsidRDefault="00443EC1">
            <w:pPr>
              <w:spacing w:before="60" w:after="60" w:line="280" w:lineRule="exact"/>
              <w:jc w:val="center"/>
              <w:rPr>
                <w:rFonts w:hint="cs"/>
              </w:rPr>
            </w:pPr>
            <w:r>
              <w:rPr>
                <w:rFonts w:hint="cs"/>
                <w:rtl/>
              </w:rPr>
              <w:t>5.75</w:t>
            </w:r>
          </w:p>
        </w:tc>
        <w:tc>
          <w:tcPr>
            <w:tcW w:w="2880" w:type="dxa"/>
            <w:tcBorders>
              <w:left w:val="single" w:sz="4" w:space="0" w:color="auto"/>
              <w:bottom w:val="single" w:sz="4" w:space="0" w:color="auto"/>
              <w:right w:val="single" w:sz="4" w:space="0" w:color="auto"/>
            </w:tcBorders>
          </w:tcPr>
          <w:p w:rsidR="00443EC1" w:rsidRDefault="00443EC1">
            <w:pPr>
              <w:spacing w:before="60" w:after="60" w:line="280" w:lineRule="exact"/>
              <w:jc w:val="center"/>
              <w:rPr>
                <w:rFonts w:hint="cs"/>
              </w:rPr>
            </w:pPr>
            <w:r>
              <w:rPr>
                <w:rFonts w:hint="cs"/>
                <w:rtl/>
              </w:rPr>
              <w:t>20.8</w:t>
            </w:r>
          </w:p>
        </w:tc>
        <w:tc>
          <w:tcPr>
            <w:tcW w:w="2808" w:type="dxa"/>
            <w:tcBorders>
              <w:left w:val="single" w:sz="4" w:space="0" w:color="auto"/>
            </w:tcBorders>
          </w:tcPr>
          <w:p w:rsidR="00443EC1" w:rsidRDefault="00443EC1">
            <w:pPr>
              <w:spacing w:before="60" w:after="60" w:line="280" w:lineRule="exact"/>
              <w:jc w:val="center"/>
              <w:rPr>
                <w:rFonts w:hint="cs"/>
              </w:rPr>
            </w:pPr>
            <w:r>
              <w:rPr>
                <w:rFonts w:hint="cs"/>
                <w:rtl/>
              </w:rPr>
              <w:t>15.5</w:t>
            </w:r>
          </w:p>
        </w:tc>
      </w:tr>
    </w:tbl>
    <w:p w:rsidR="00000000" w:rsidRDefault="00443EC1">
      <w:pPr>
        <w:jc w:val="both"/>
        <w:rPr>
          <w:rFonts w:hint="cs"/>
          <w:rtl/>
        </w:rPr>
      </w:pPr>
      <w:r>
        <w:rPr>
          <w:rFonts w:hint="cs"/>
          <w:i/>
          <w:iCs/>
          <w:rtl/>
        </w:rPr>
        <w:tab/>
        <w:t>المصدر</w:t>
      </w:r>
      <w:r>
        <w:rPr>
          <w:rFonts w:hint="cs"/>
          <w:rtl/>
        </w:rPr>
        <w:t>:</w:t>
      </w:r>
      <w:r>
        <w:rPr>
          <w:rFonts w:hint="cs"/>
          <w:rtl/>
        </w:rPr>
        <w:tab/>
      </w:r>
      <w:r>
        <w:rPr>
          <w:rFonts w:hint="cs"/>
          <w:i/>
          <w:iCs/>
          <w:rtl/>
        </w:rPr>
        <w:t>الحولية الإحصائية الوطنية الصينية، 2002</w:t>
      </w:r>
      <w:r>
        <w:rPr>
          <w:rFonts w:hint="cs"/>
          <w:rtl/>
        </w:rPr>
        <w:t>.</w:t>
      </w:r>
    </w:p>
    <w:p w:rsidR="00000000" w:rsidRDefault="00443EC1">
      <w:pPr>
        <w:spacing w:before="120" w:after="120"/>
        <w:jc w:val="center"/>
        <w:rPr>
          <w:rFonts w:hint="cs"/>
          <w:b/>
          <w:bCs/>
          <w:rtl/>
        </w:rPr>
      </w:pPr>
      <w:r>
        <w:br w:type="page"/>
      </w:r>
      <w:r>
        <w:rPr>
          <w:rFonts w:hint="cs"/>
          <w:b/>
          <w:bCs/>
          <w:rtl/>
        </w:rPr>
        <w:t>الجدول 4</w:t>
      </w:r>
    </w:p>
    <w:p w:rsidR="00000000" w:rsidRDefault="00443EC1">
      <w:pPr>
        <w:spacing w:before="120" w:after="120"/>
        <w:jc w:val="center"/>
        <w:rPr>
          <w:rStyle w:val="FootnoteReference"/>
          <w:rFonts w:hint="cs"/>
          <w:b/>
          <w:bCs w:val="0"/>
          <w:vertAlign w:val="baseline"/>
          <w:rtl/>
        </w:rPr>
      </w:pPr>
      <w:r>
        <w:rPr>
          <w:rFonts w:hint="cs"/>
          <w:b/>
          <w:bCs/>
          <w:rtl/>
        </w:rPr>
        <w:t>عدد الغرف المخصصة لكل أسرة في المدن (2000)</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59"/>
        <w:gridCol w:w="1074"/>
        <w:gridCol w:w="1195"/>
        <w:gridCol w:w="951"/>
        <w:gridCol w:w="715"/>
        <w:gridCol w:w="715"/>
        <w:gridCol w:w="739"/>
        <w:gridCol w:w="690"/>
        <w:gridCol w:w="713"/>
        <w:gridCol w:w="820"/>
      </w:tblGrid>
      <w:tr w:rsidR="00443EC1" w:rsidTr="00443EC1">
        <w:tblPrEx>
          <w:tblCellMar>
            <w:top w:w="0" w:type="dxa"/>
            <w:bottom w:w="0" w:type="dxa"/>
          </w:tblCellMar>
        </w:tblPrEx>
        <w:trPr>
          <w:cantSplit/>
          <w:trHeight w:val="434"/>
          <w:jc w:val="center"/>
        </w:trPr>
        <w:tc>
          <w:tcPr>
            <w:tcW w:w="1980" w:type="dxa"/>
            <w:vMerge w:val="restart"/>
          </w:tcPr>
          <w:p w:rsidR="00443EC1" w:rsidRDefault="00443EC1">
            <w:pPr>
              <w:spacing w:before="60" w:after="60" w:line="240" w:lineRule="exact"/>
              <w:jc w:val="center"/>
              <w:rPr>
                <w:rStyle w:val="FootnoteReference"/>
                <w:b/>
                <w:szCs w:val="22"/>
              </w:rPr>
            </w:pPr>
          </w:p>
        </w:tc>
        <w:tc>
          <w:tcPr>
            <w:tcW w:w="1080" w:type="dxa"/>
            <w:vMerge w:val="restart"/>
          </w:tcPr>
          <w:p w:rsidR="00443EC1" w:rsidRDefault="00443EC1">
            <w:pPr>
              <w:spacing w:before="60" w:after="60" w:line="240" w:lineRule="exact"/>
              <w:jc w:val="center"/>
              <w:rPr>
                <w:rStyle w:val="FootnoteReference"/>
                <w:rFonts w:hint="cs"/>
                <w:b/>
                <w:sz w:val="24"/>
                <w:szCs w:val="24"/>
              </w:rPr>
            </w:pPr>
            <w:r>
              <w:rPr>
                <w:b/>
                <w:sz w:val="24"/>
                <w:szCs w:val="24"/>
                <w:rtl/>
              </w:rPr>
              <w:br/>
            </w:r>
            <w:r>
              <w:rPr>
                <w:rFonts w:hint="cs"/>
                <w:b/>
                <w:sz w:val="24"/>
                <w:szCs w:val="24"/>
                <w:rtl/>
              </w:rPr>
              <w:t>عدد الأسر بالآلاف</w:t>
            </w:r>
          </w:p>
        </w:tc>
        <w:tc>
          <w:tcPr>
            <w:tcW w:w="1203" w:type="dxa"/>
            <w:vMerge w:val="restart"/>
          </w:tcPr>
          <w:p w:rsidR="00443EC1" w:rsidRDefault="00443EC1">
            <w:pPr>
              <w:spacing w:before="60" w:after="60" w:line="240" w:lineRule="exact"/>
              <w:jc w:val="center"/>
              <w:rPr>
                <w:rStyle w:val="FootnoteReference"/>
                <w:rFonts w:hint="cs"/>
                <w:b/>
                <w:spacing w:val="-2"/>
                <w:sz w:val="24"/>
                <w:szCs w:val="24"/>
              </w:rPr>
            </w:pPr>
            <w:r>
              <w:rPr>
                <w:b/>
                <w:spacing w:val="-2"/>
                <w:sz w:val="24"/>
                <w:szCs w:val="24"/>
                <w:rtl/>
              </w:rPr>
              <w:br/>
            </w:r>
            <w:r>
              <w:rPr>
                <w:rFonts w:hint="cs"/>
                <w:b/>
                <w:spacing w:val="-2"/>
                <w:sz w:val="24"/>
                <w:szCs w:val="24"/>
                <w:rtl/>
              </w:rPr>
              <w:t>المعدل المتوسط لكل أسرة</w:t>
            </w:r>
          </w:p>
        </w:tc>
        <w:tc>
          <w:tcPr>
            <w:tcW w:w="5385" w:type="dxa"/>
            <w:gridSpan w:val="7"/>
          </w:tcPr>
          <w:p w:rsidR="00443EC1" w:rsidRDefault="00443EC1">
            <w:pPr>
              <w:spacing w:before="60" w:after="60" w:line="240" w:lineRule="exact"/>
              <w:jc w:val="center"/>
              <w:rPr>
                <w:rStyle w:val="FootnoteReference"/>
                <w:rFonts w:hint="cs"/>
                <w:b/>
                <w:sz w:val="24"/>
                <w:szCs w:val="24"/>
              </w:rPr>
            </w:pPr>
            <w:r>
              <w:rPr>
                <w:rFonts w:hint="cs"/>
                <w:b/>
                <w:sz w:val="24"/>
                <w:szCs w:val="24"/>
                <w:rtl/>
              </w:rPr>
              <w:t>عدد الغرف (نسبة مئوية)</w:t>
            </w:r>
          </w:p>
        </w:tc>
      </w:tr>
      <w:tr w:rsidR="00443EC1" w:rsidTr="00443EC1">
        <w:tblPrEx>
          <w:tblCellMar>
            <w:top w:w="0" w:type="dxa"/>
            <w:bottom w:w="0" w:type="dxa"/>
          </w:tblCellMar>
        </w:tblPrEx>
        <w:trPr>
          <w:cantSplit/>
          <w:trHeight w:val="345"/>
          <w:jc w:val="center"/>
        </w:trPr>
        <w:tc>
          <w:tcPr>
            <w:tcW w:w="1980" w:type="dxa"/>
            <w:vMerge/>
            <w:tcBorders>
              <w:bottom w:val="single" w:sz="4" w:space="0" w:color="auto"/>
            </w:tcBorders>
          </w:tcPr>
          <w:p w:rsidR="00443EC1" w:rsidRDefault="00443EC1">
            <w:pPr>
              <w:spacing w:before="60" w:after="60" w:line="240" w:lineRule="exact"/>
              <w:jc w:val="center"/>
              <w:rPr>
                <w:rStyle w:val="FootnoteReference"/>
                <w:rFonts w:hint="cs"/>
                <w:b/>
                <w:bCs w:val="0"/>
                <w:szCs w:val="22"/>
                <w:vertAlign w:val="baseline"/>
              </w:rPr>
            </w:pPr>
          </w:p>
        </w:tc>
        <w:tc>
          <w:tcPr>
            <w:tcW w:w="1080" w:type="dxa"/>
            <w:vMerge/>
            <w:tcBorders>
              <w:bottom w:val="single" w:sz="4" w:space="0" w:color="auto"/>
            </w:tcBorders>
          </w:tcPr>
          <w:p w:rsidR="00443EC1" w:rsidRDefault="00443EC1">
            <w:pPr>
              <w:spacing w:before="60" w:after="60" w:line="240" w:lineRule="exact"/>
              <w:jc w:val="center"/>
              <w:rPr>
                <w:rStyle w:val="FootnoteReference"/>
                <w:rFonts w:hint="cs"/>
                <w:b/>
                <w:bCs w:val="0"/>
                <w:sz w:val="24"/>
                <w:szCs w:val="24"/>
                <w:vertAlign w:val="baseline"/>
              </w:rPr>
            </w:pPr>
          </w:p>
        </w:tc>
        <w:tc>
          <w:tcPr>
            <w:tcW w:w="1203" w:type="dxa"/>
            <w:vMerge/>
            <w:tcBorders>
              <w:bottom w:val="single" w:sz="4" w:space="0" w:color="auto"/>
            </w:tcBorders>
          </w:tcPr>
          <w:p w:rsidR="00443EC1" w:rsidRDefault="00443EC1">
            <w:pPr>
              <w:spacing w:before="60" w:after="60" w:line="240" w:lineRule="exact"/>
              <w:jc w:val="center"/>
              <w:rPr>
                <w:rStyle w:val="FootnoteReference"/>
                <w:rFonts w:hint="cs"/>
                <w:b/>
                <w:bCs w:val="0"/>
                <w:sz w:val="24"/>
                <w:szCs w:val="24"/>
                <w:vertAlign w:val="baseline"/>
              </w:rPr>
            </w:pPr>
          </w:p>
        </w:tc>
        <w:tc>
          <w:tcPr>
            <w:tcW w:w="957" w:type="dxa"/>
            <w:tcBorders>
              <w:bottom w:val="single" w:sz="4" w:space="0" w:color="auto"/>
            </w:tcBorders>
          </w:tcPr>
          <w:p w:rsidR="00443EC1" w:rsidRDefault="00443EC1">
            <w:pPr>
              <w:spacing w:before="60" w:after="60" w:line="240" w:lineRule="exact"/>
              <w:jc w:val="center"/>
              <w:rPr>
                <w:rStyle w:val="FootnoteReference"/>
                <w:rFonts w:hint="cs"/>
                <w:b/>
                <w:bCs w:val="0"/>
                <w:sz w:val="24"/>
                <w:szCs w:val="24"/>
                <w:vertAlign w:val="baseline"/>
              </w:rPr>
            </w:pPr>
            <w:r>
              <w:rPr>
                <w:rFonts w:hint="cs"/>
                <w:b/>
                <w:sz w:val="24"/>
                <w:szCs w:val="24"/>
                <w:rtl/>
              </w:rPr>
              <w:t>صفر</w:t>
            </w:r>
          </w:p>
        </w:tc>
        <w:tc>
          <w:tcPr>
            <w:tcW w:w="720" w:type="dxa"/>
            <w:tcBorders>
              <w:bottom w:val="single" w:sz="4" w:space="0" w:color="auto"/>
            </w:tcBorders>
          </w:tcPr>
          <w:p w:rsidR="00443EC1" w:rsidRDefault="00443EC1">
            <w:pPr>
              <w:spacing w:before="60" w:after="60" w:line="240" w:lineRule="exact"/>
              <w:jc w:val="center"/>
              <w:rPr>
                <w:rStyle w:val="FootnoteReference"/>
                <w:rFonts w:hint="cs"/>
                <w:b/>
                <w:bCs w:val="0"/>
                <w:sz w:val="24"/>
                <w:szCs w:val="24"/>
                <w:vertAlign w:val="baseline"/>
              </w:rPr>
            </w:pPr>
            <w:r>
              <w:rPr>
                <w:rFonts w:hint="cs"/>
                <w:b/>
                <w:sz w:val="24"/>
                <w:szCs w:val="24"/>
                <w:rtl/>
              </w:rPr>
              <w:t>1</w:t>
            </w:r>
          </w:p>
        </w:tc>
        <w:tc>
          <w:tcPr>
            <w:tcW w:w="720" w:type="dxa"/>
            <w:tcBorders>
              <w:bottom w:val="single" w:sz="4" w:space="0" w:color="auto"/>
            </w:tcBorders>
          </w:tcPr>
          <w:p w:rsidR="00443EC1" w:rsidRDefault="00443EC1">
            <w:pPr>
              <w:spacing w:before="60" w:after="60" w:line="240" w:lineRule="exact"/>
              <w:jc w:val="center"/>
              <w:rPr>
                <w:rStyle w:val="FootnoteReference"/>
                <w:rFonts w:hint="cs"/>
                <w:b/>
                <w:bCs w:val="0"/>
                <w:sz w:val="24"/>
                <w:szCs w:val="24"/>
                <w:vertAlign w:val="baseline"/>
              </w:rPr>
            </w:pPr>
            <w:r>
              <w:rPr>
                <w:rFonts w:hint="cs"/>
                <w:b/>
                <w:sz w:val="24"/>
                <w:szCs w:val="24"/>
                <w:rtl/>
              </w:rPr>
              <w:t>2</w:t>
            </w:r>
          </w:p>
        </w:tc>
        <w:tc>
          <w:tcPr>
            <w:tcW w:w="744" w:type="dxa"/>
            <w:tcBorders>
              <w:bottom w:val="single" w:sz="4" w:space="0" w:color="auto"/>
            </w:tcBorders>
          </w:tcPr>
          <w:p w:rsidR="00443EC1" w:rsidRDefault="00443EC1">
            <w:pPr>
              <w:spacing w:before="60" w:after="60" w:line="240" w:lineRule="exact"/>
              <w:jc w:val="center"/>
              <w:rPr>
                <w:rStyle w:val="FootnoteReference"/>
                <w:rFonts w:hint="cs"/>
                <w:b/>
                <w:bCs w:val="0"/>
                <w:sz w:val="24"/>
                <w:szCs w:val="24"/>
                <w:vertAlign w:val="baseline"/>
              </w:rPr>
            </w:pPr>
            <w:r>
              <w:rPr>
                <w:rFonts w:hint="cs"/>
                <w:b/>
                <w:sz w:val="24"/>
                <w:szCs w:val="24"/>
                <w:rtl/>
              </w:rPr>
              <w:t>3</w:t>
            </w:r>
          </w:p>
        </w:tc>
        <w:tc>
          <w:tcPr>
            <w:tcW w:w="696" w:type="dxa"/>
            <w:tcBorders>
              <w:bottom w:val="single" w:sz="4" w:space="0" w:color="auto"/>
            </w:tcBorders>
          </w:tcPr>
          <w:p w:rsidR="00443EC1" w:rsidRDefault="00443EC1">
            <w:pPr>
              <w:spacing w:before="60" w:after="60" w:line="240" w:lineRule="exact"/>
              <w:jc w:val="center"/>
              <w:rPr>
                <w:rStyle w:val="FootnoteReference"/>
                <w:rFonts w:hint="cs"/>
                <w:b/>
                <w:bCs w:val="0"/>
                <w:sz w:val="24"/>
                <w:szCs w:val="24"/>
                <w:vertAlign w:val="baseline"/>
              </w:rPr>
            </w:pPr>
            <w:r>
              <w:rPr>
                <w:rFonts w:hint="cs"/>
                <w:b/>
                <w:sz w:val="24"/>
                <w:szCs w:val="24"/>
                <w:rtl/>
              </w:rPr>
              <w:t>4</w:t>
            </w:r>
          </w:p>
        </w:tc>
        <w:tc>
          <w:tcPr>
            <w:tcW w:w="720" w:type="dxa"/>
            <w:tcBorders>
              <w:bottom w:val="single" w:sz="4" w:space="0" w:color="auto"/>
            </w:tcBorders>
          </w:tcPr>
          <w:p w:rsidR="00443EC1" w:rsidRDefault="00443EC1">
            <w:pPr>
              <w:spacing w:before="60" w:after="60" w:line="240" w:lineRule="exact"/>
              <w:jc w:val="center"/>
              <w:rPr>
                <w:rStyle w:val="FootnoteReference"/>
                <w:rFonts w:hint="cs"/>
                <w:b/>
                <w:bCs w:val="0"/>
                <w:sz w:val="24"/>
                <w:szCs w:val="24"/>
                <w:vertAlign w:val="baseline"/>
              </w:rPr>
            </w:pPr>
            <w:r>
              <w:rPr>
                <w:rFonts w:hint="cs"/>
                <w:b/>
                <w:sz w:val="24"/>
                <w:szCs w:val="24"/>
                <w:rtl/>
              </w:rPr>
              <w:t>5</w:t>
            </w:r>
          </w:p>
        </w:tc>
        <w:tc>
          <w:tcPr>
            <w:tcW w:w="828" w:type="dxa"/>
            <w:tcBorders>
              <w:bottom w:val="single" w:sz="4" w:space="0" w:color="auto"/>
            </w:tcBorders>
          </w:tcPr>
          <w:p w:rsidR="00443EC1" w:rsidRDefault="00443EC1">
            <w:pPr>
              <w:spacing w:before="60" w:after="60" w:line="240" w:lineRule="exact"/>
              <w:jc w:val="center"/>
              <w:rPr>
                <w:rStyle w:val="FootnoteReference"/>
                <w:rFonts w:hint="cs"/>
                <w:b/>
                <w:bCs w:val="0"/>
                <w:sz w:val="24"/>
                <w:szCs w:val="24"/>
                <w:vertAlign w:val="baseline"/>
              </w:rPr>
            </w:pPr>
            <w:r>
              <w:rPr>
                <w:rFonts w:hint="cs"/>
                <w:b/>
                <w:sz w:val="24"/>
                <w:szCs w:val="24"/>
                <w:rtl/>
              </w:rPr>
              <w:t>6+</w:t>
            </w:r>
          </w:p>
        </w:tc>
      </w:tr>
      <w:tr w:rsidR="00443EC1" w:rsidTr="00443EC1">
        <w:tblPrEx>
          <w:tblCellMar>
            <w:top w:w="0" w:type="dxa"/>
            <w:bottom w:w="0" w:type="dxa"/>
          </w:tblCellMar>
        </w:tblPrEx>
        <w:trPr>
          <w:jc w:val="center"/>
        </w:trPr>
        <w:tc>
          <w:tcPr>
            <w:tcW w:w="1980" w:type="dxa"/>
            <w:tcBorders>
              <w:top w:val="single" w:sz="4" w:space="0" w:color="auto"/>
              <w:bottom w:val="nil"/>
            </w:tcBorders>
          </w:tcPr>
          <w:p w:rsidR="00443EC1" w:rsidRDefault="00443EC1">
            <w:pPr>
              <w:spacing w:before="60" w:after="60"/>
              <w:jc w:val="both"/>
              <w:rPr>
                <w:rStyle w:val="FootnoteReference"/>
                <w:rFonts w:hint="cs"/>
                <w:b/>
                <w:bCs w:val="0"/>
                <w:sz w:val="24"/>
                <w:szCs w:val="24"/>
                <w:vertAlign w:val="baseline"/>
              </w:rPr>
            </w:pPr>
            <w:r>
              <w:rPr>
                <w:rFonts w:hint="cs"/>
                <w:b/>
                <w:sz w:val="24"/>
                <w:szCs w:val="24"/>
                <w:rtl/>
              </w:rPr>
              <w:t>الصين</w:t>
            </w:r>
          </w:p>
        </w:tc>
        <w:tc>
          <w:tcPr>
            <w:tcW w:w="1080" w:type="dxa"/>
            <w:tcBorders>
              <w:top w:val="single" w:sz="4" w:space="0" w:color="auto"/>
              <w:bottom w:val="nil"/>
            </w:tcBorders>
          </w:tcPr>
          <w:p w:rsidR="00443EC1" w:rsidRDefault="00443EC1">
            <w:pPr>
              <w:spacing w:before="60" w:after="60"/>
              <w:jc w:val="center"/>
              <w:rPr>
                <w:rStyle w:val="FootnoteReference"/>
                <w:rFonts w:hint="cs"/>
                <w:b/>
                <w:bCs w:val="0"/>
                <w:szCs w:val="22"/>
                <w:vertAlign w:val="baseline"/>
              </w:rPr>
            </w:pPr>
            <w:r>
              <w:rPr>
                <w:rFonts w:hint="cs"/>
                <w:b/>
                <w:szCs w:val="22"/>
                <w:rtl/>
              </w:rPr>
              <w:t>890 84</w:t>
            </w:r>
          </w:p>
        </w:tc>
        <w:tc>
          <w:tcPr>
            <w:tcW w:w="1203" w:type="dxa"/>
            <w:tcBorders>
              <w:top w:val="single" w:sz="4" w:space="0" w:color="auto"/>
              <w:bottom w:val="nil"/>
            </w:tcBorders>
          </w:tcPr>
          <w:p w:rsidR="00443EC1" w:rsidRDefault="00443EC1">
            <w:pPr>
              <w:spacing w:before="60" w:after="60"/>
              <w:jc w:val="center"/>
              <w:rPr>
                <w:rStyle w:val="FootnoteReference"/>
                <w:rFonts w:hint="cs"/>
                <w:b/>
                <w:bCs w:val="0"/>
                <w:szCs w:val="22"/>
                <w:vertAlign w:val="baseline"/>
              </w:rPr>
            </w:pPr>
            <w:r>
              <w:rPr>
                <w:rFonts w:hint="cs"/>
                <w:b/>
                <w:szCs w:val="22"/>
                <w:rtl/>
              </w:rPr>
              <w:t>2.27</w:t>
            </w:r>
          </w:p>
        </w:tc>
        <w:tc>
          <w:tcPr>
            <w:tcW w:w="957" w:type="dxa"/>
            <w:tcBorders>
              <w:top w:val="single" w:sz="4" w:space="0" w:color="auto"/>
              <w:bottom w:val="nil"/>
            </w:tcBorders>
          </w:tcPr>
          <w:p w:rsidR="00443EC1" w:rsidRDefault="00443EC1">
            <w:pPr>
              <w:spacing w:before="60" w:after="60"/>
              <w:jc w:val="center"/>
              <w:rPr>
                <w:rStyle w:val="FootnoteReference"/>
                <w:rFonts w:hint="cs"/>
                <w:b/>
                <w:bCs w:val="0"/>
                <w:szCs w:val="22"/>
                <w:vertAlign w:val="baseline"/>
              </w:rPr>
            </w:pPr>
            <w:r>
              <w:rPr>
                <w:rFonts w:hint="cs"/>
                <w:b/>
                <w:szCs w:val="22"/>
                <w:rtl/>
              </w:rPr>
              <w:t>0.1</w:t>
            </w:r>
          </w:p>
        </w:tc>
        <w:tc>
          <w:tcPr>
            <w:tcW w:w="720" w:type="dxa"/>
            <w:tcBorders>
              <w:top w:val="single" w:sz="4" w:space="0" w:color="auto"/>
              <w:bottom w:val="nil"/>
            </w:tcBorders>
          </w:tcPr>
          <w:p w:rsidR="00443EC1" w:rsidRDefault="00443EC1">
            <w:pPr>
              <w:spacing w:before="60" w:after="60"/>
              <w:jc w:val="center"/>
              <w:rPr>
                <w:rStyle w:val="FootnoteReference"/>
                <w:rFonts w:hint="cs"/>
                <w:b/>
                <w:bCs w:val="0"/>
                <w:szCs w:val="22"/>
                <w:vertAlign w:val="baseline"/>
              </w:rPr>
            </w:pPr>
            <w:r>
              <w:rPr>
                <w:rFonts w:hint="cs"/>
                <w:b/>
                <w:szCs w:val="22"/>
                <w:rtl/>
              </w:rPr>
              <w:t>25</w:t>
            </w:r>
          </w:p>
        </w:tc>
        <w:tc>
          <w:tcPr>
            <w:tcW w:w="720" w:type="dxa"/>
            <w:tcBorders>
              <w:top w:val="single" w:sz="4" w:space="0" w:color="auto"/>
              <w:bottom w:val="nil"/>
            </w:tcBorders>
          </w:tcPr>
          <w:p w:rsidR="00443EC1" w:rsidRDefault="00443EC1">
            <w:pPr>
              <w:spacing w:before="60" w:after="60"/>
              <w:jc w:val="center"/>
              <w:rPr>
                <w:rStyle w:val="FootnoteReference"/>
                <w:rFonts w:hint="cs"/>
                <w:b/>
                <w:bCs w:val="0"/>
                <w:szCs w:val="22"/>
                <w:vertAlign w:val="baseline"/>
              </w:rPr>
            </w:pPr>
            <w:r>
              <w:rPr>
                <w:rFonts w:hint="cs"/>
                <w:b/>
                <w:szCs w:val="22"/>
                <w:rtl/>
              </w:rPr>
              <w:t>43</w:t>
            </w:r>
          </w:p>
        </w:tc>
        <w:tc>
          <w:tcPr>
            <w:tcW w:w="744" w:type="dxa"/>
            <w:tcBorders>
              <w:top w:val="single" w:sz="4" w:space="0" w:color="auto"/>
              <w:bottom w:val="nil"/>
            </w:tcBorders>
          </w:tcPr>
          <w:p w:rsidR="00443EC1" w:rsidRDefault="00443EC1">
            <w:pPr>
              <w:spacing w:before="60" w:after="60"/>
              <w:jc w:val="center"/>
              <w:rPr>
                <w:rStyle w:val="FootnoteReference"/>
                <w:rFonts w:hint="cs"/>
                <w:b/>
                <w:bCs w:val="0"/>
                <w:szCs w:val="22"/>
                <w:vertAlign w:val="baseline"/>
              </w:rPr>
            </w:pPr>
            <w:r>
              <w:rPr>
                <w:rFonts w:hint="cs"/>
                <w:b/>
                <w:szCs w:val="22"/>
                <w:rtl/>
              </w:rPr>
              <w:t>21</w:t>
            </w:r>
          </w:p>
        </w:tc>
        <w:tc>
          <w:tcPr>
            <w:tcW w:w="696" w:type="dxa"/>
            <w:tcBorders>
              <w:top w:val="single" w:sz="4" w:space="0" w:color="auto"/>
              <w:bottom w:val="nil"/>
            </w:tcBorders>
          </w:tcPr>
          <w:p w:rsidR="00443EC1" w:rsidRDefault="00443EC1">
            <w:pPr>
              <w:spacing w:before="60" w:after="60"/>
              <w:jc w:val="center"/>
              <w:rPr>
                <w:rStyle w:val="FootnoteReference"/>
                <w:rFonts w:hint="cs"/>
                <w:b/>
                <w:bCs w:val="0"/>
                <w:szCs w:val="22"/>
                <w:vertAlign w:val="baseline"/>
              </w:rPr>
            </w:pPr>
            <w:r>
              <w:rPr>
                <w:rFonts w:hint="cs"/>
                <w:b/>
                <w:szCs w:val="22"/>
                <w:rtl/>
              </w:rPr>
              <w:t>6</w:t>
            </w:r>
          </w:p>
        </w:tc>
        <w:tc>
          <w:tcPr>
            <w:tcW w:w="720" w:type="dxa"/>
            <w:tcBorders>
              <w:top w:val="single" w:sz="4" w:space="0" w:color="auto"/>
              <w:bottom w:val="nil"/>
            </w:tcBorders>
          </w:tcPr>
          <w:p w:rsidR="00443EC1" w:rsidRDefault="00443EC1">
            <w:pPr>
              <w:spacing w:before="60" w:after="60"/>
              <w:jc w:val="center"/>
              <w:rPr>
                <w:rStyle w:val="FootnoteReference"/>
                <w:rFonts w:hint="cs"/>
                <w:b/>
                <w:bCs w:val="0"/>
                <w:szCs w:val="22"/>
                <w:vertAlign w:val="baseline"/>
              </w:rPr>
            </w:pPr>
            <w:r>
              <w:rPr>
                <w:rFonts w:hint="cs"/>
                <w:b/>
                <w:szCs w:val="22"/>
                <w:rtl/>
              </w:rPr>
              <w:t>2</w:t>
            </w:r>
          </w:p>
        </w:tc>
        <w:tc>
          <w:tcPr>
            <w:tcW w:w="828" w:type="dxa"/>
            <w:tcBorders>
              <w:bottom w:val="nil"/>
            </w:tcBorders>
          </w:tcPr>
          <w:p w:rsidR="00443EC1" w:rsidRDefault="00443EC1">
            <w:pPr>
              <w:spacing w:before="60" w:after="60"/>
              <w:jc w:val="center"/>
              <w:rPr>
                <w:rStyle w:val="FootnoteReference"/>
                <w:rFonts w:hint="cs"/>
                <w:b/>
                <w:bCs w:val="0"/>
                <w:szCs w:val="22"/>
                <w:vertAlign w:val="baseline"/>
              </w:rPr>
            </w:pPr>
            <w:r>
              <w:rPr>
                <w:rFonts w:hint="cs"/>
                <w:b/>
                <w:szCs w:val="22"/>
                <w:rtl/>
              </w:rPr>
              <w:t>3</w:t>
            </w:r>
          </w:p>
        </w:tc>
      </w:tr>
      <w:tr w:rsidR="00443EC1" w:rsidTr="00443EC1">
        <w:tblPrEx>
          <w:tblCellMar>
            <w:top w:w="0" w:type="dxa"/>
            <w:bottom w:w="0" w:type="dxa"/>
          </w:tblCellMar>
        </w:tblPrEx>
        <w:trPr>
          <w:jc w:val="center"/>
        </w:trPr>
        <w:tc>
          <w:tcPr>
            <w:tcW w:w="1980" w:type="dxa"/>
            <w:tcBorders>
              <w:top w:val="nil"/>
              <w:bottom w:val="nil"/>
            </w:tcBorders>
          </w:tcPr>
          <w:p w:rsidR="00443EC1" w:rsidRDefault="00443EC1">
            <w:pPr>
              <w:spacing w:before="60" w:after="60"/>
              <w:jc w:val="both"/>
              <w:rPr>
                <w:rStyle w:val="FootnoteReference"/>
                <w:rFonts w:hint="cs"/>
                <w:b/>
                <w:bCs w:val="0"/>
                <w:spacing w:val="0"/>
                <w:sz w:val="24"/>
                <w:szCs w:val="24"/>
                <w:vertAlign w:val="baseline"/>
              </w:rPr>
            </w:pPr>
            <w:r>
              <w:rPr>
                <w:rFonts w:hint="cs"/>
                <w:b/>
                <w:spacing w:val="0"/>
                <w:sz w:val="24"/>
                <w:szCs w:val="24"/>
                <w:rtl/>
              </w:rPr>
              <w:t>المنطقة الشرقية</w:t>
            </w:r>
          </w:p>
        </w:tc>
        <w:tc>
          <w:tcPr>
            <w:tcW w:w="1080" w:type="dxa"/>
            <w:tcBorders>
              <w:top w:val="nil"/>
              <w:bottom w:val="nil"/>
            </w:tcBorders>
          </w:tcPr>
          <w:p w:rsidR="00443EC1" w:rsidRDefault="00443EC1">
            <w:pPr>
              <w:spacing w:before="60" w:after="60"/>
              <w:jc w:val="center"/>
              <w:rPr>
                <w:rStyle w:val="FootnoteReference"/>
                <w:rFonts w:hint="cs"/>
                <w:b/>
                <w:bCs w:val="0"/>
                <w:szCs w:val="22"/>
                <w:vertAlign w:val="baseline"/>
              </w:rPr>
            </w:pPr>
            <w:r>
              <w:rPr>
                <w:rFonts w:hint="cs"/>
                <w:b/>
                <w:szCs w:val="22"/>
                <w:rtl/>
              </w:rPr>
              <w:t>990 44</w:t>
            </w:r>
          </w:p>
        </w:tc>
        <w:tc>
          <w:tcPr>
            <w:tcW w:w="1203" w:type="dxa"/>
            <w:tcBorders>
              <w:top w:val="nil"/>
              <w:bottom w:val="nil"/>
            </w:tcBorders>
          </w:tcPr>
          <w:p w:rsidR="00443EC1" w:rsidRDefault="00443EC1">
            <w:pPr>
              <w:spacing w:before="60" w:after="60"/>
              <w:jc w:val="center"/>
              <w:rPr>
                <w:rStyle w:val="FootnoteReference"/>
                <w:rFonts w:hint="cs"/>
                <w:b/>
                <w:bCs w:val="0"/>
                <w:szCs w:val="22"/>
                <w:vertAlign w:val="baseline"/>
              </w:rPr>
            </w:pPr>
            <w:r>
              <w:rPr>
                <w:rFonts w:hint="cs"/>
                <w:b/>
                <w:szCs w:val="22"/>
                <w:rtl/>
              </w:rPr>
              <w:t>2.269</w:t>
            </w:r>
          </w:p>
        </w:tc>
        <w:tc>
          <w:tcPr>
            <w:tcW w:w="957" w:type="dxa"/>
            <w:tcBorders>
              <w:top w:val="nil"/>
              <w:bottom w:val="nil"/>
            </w:tcBorders>
          </w:tcPr>
          <w:p w:rsidR="00443EC1" w:rsidRDefault="00443EC1">
            <w:pPr>
              <w:spacing w:before="60" w:after="60"/>
              <w:jc w:val="center"/>
              <w:rPr>
                <w:rStyle w:val="FootnoteReference"/>
                <w:rFonts w:hint="cs"/>
                <w:b/>
                <w:bCs w:val="0"/>
                <w:szCs w:val="22"/>
                <w:vertAlign w:val="baseline"/>
              </w:rPr>
            </w:pPr>
            <w:r>
              <w:rPr>
                <w:rFonts w:hint="cs"/>
                <w:b/>
                <w:szCs w:val="22"/>
                <w:rtl/>
              </w:rPr>
              <w:t>0.1</w:t>
            </w:r>
          </w:p>
        </w:tc>
        <w:tc>
          <w:tcPr>
            <w:tcW w:w="720" w:type="dxa"/>
            <w:tcBorders>
              <w:top w:val="nil"/>
              <w:bottom w:val="nil"/>
            </w:tcBorders>
          </w:tcPr>
          <w:p w:rsidR="00443EC1" w:rsidRDefault="00443EC1">
            <w:pPr>
              <w:spacing w:before="60" w:after="60"/>
              <w:jc w:val="center"/>
              <w:rPr>
                <w:rStyle w:val="FootnoteReference"/>
                <w:rFonts w:hint="cs"/>
                <w:b/>
                <w:bCs w:val="0"/>
                <w:szCs w:val="22"/>
                <w:vertAlign w:val="baseline"/>
              </w:rPr>
            </w:pPr>
            <w:r>
              <w:rPr>
                <w:rFonts w:hint="cs"/>
                <w:b/>
                <w:szCs w:val="22"/>
                <w:rtl/>
              </w:rPr>
              <w:t>26</w:t>
            </w:r>
          </w:p>
        </w:tc>
        <w:tc>
          <w:tcPr>
            <w:tcW w:w="720" w:type="dxa"/>
            <w:tcBorders>
              <w:top w:val="nil"/>
              <w:bottom w:val="nil"/>
            </w:tcBorders>
          </w:tcPr>
          <w:p w:rsidR="00443EC1" w:rsidRDefault="00443EC1">
            <w:pPr>
              <w:spacing w:before="60" w:after="60"/>
              <w:jc w:val="center"/>
              <w:rPr>
                <w:rStyle w:val="FootnoteReference"/>
                <w:rFonts w:hint="cs"/>
                <w:b/>
                <w:bCs w:val="0"/>
                <w:szCs w:val="22"/>
                <w:vertAlign w:val="baseline"/>
              </w:rPr>
            </w:pPr>
            <w:r>
              <w:rPr>
                <w:rFonts w:hint="cs"/>
                <w:b/>
                <w:szCs w:val="22"/>
                <w:rtl/>
              </w:rPr>
              <w:t>40</w:t>
            </w:r>
          </w:p>
        </w:tc>
        <w:tc>
          <w:tcPr>
            <w:tcW w:w="744" w:type="dxa"/>
            <w:tcBorders>
              <w:top w:val="nil"/>
              <w:bottom w:val="nil"/>
            </w:tcBorders>
          </w:tcPr>
          <w:p w:rsidR="00443EC1" w:rsidRDefault="00443EC1">
            <w:pPr>
              <w:spacing w:before="60" w:after="60"/>
              <w:jc w:val="center"/>
              <w:rPr>
                <w:rStyle w:val="FootnoteReference"/>
                <w:rFonts w:hint="cs"/>
                <w:b/>
                <w:bCs w:val="0"/>
                <w:szCs w:val="22"/>
                <w:vertAlign w:val="baseline"/>
              </w:rPr>
            </w:pPr>
            <w:r>
              <w:rPr>
                <w:rFonts w:hint="cs"/>
                <w:b/>
                <w:szCs w:val="22"/>
                <w:rtl/>
              </w:rPr>
              <w:t>21</w:t>
            </w:r>
          </w:p>
        </w:tc>
        <w:tc>
          <w:tcPr>
            <w:tcW w:w="696" w:type="dxa"/>
            <w:tcBorders>
              <w:top w:val="nil"/>
              <w:bottom w:val="nil"/>
            </w:tcBorders>
          </w:tcPr>
          <w:p w:rsidR="00443EC1" w:rsidRDefault="00443EC1">
            <w:pPr>
              <w:spacing w:before="60" w:after="60"/>
              <w:jc w:val="center"/>
              <w:rPr>
                <w:rStyle w:val="FootnoteReference"/>
                <w:rFonts w:hint="cs"/>
                <w:b/>
                <w:bCs w:val="0"/>
                <w:szCs w:val="22"/>
                <w:vertAlign w:val="baseline"/>
              </w:rPr>
            </w:pPr>
            <w:r>
              <w:rPr>
                <w:rFonts w:hint="cs"/>
                <w:b/>
                <w:szCs w:val="22"/>
                <w:rtl/>
              </w:rPr>
              <w:t>7</w:t>
            </w:r>
          </w:p>
        </w:tc>
        <w:tc>
          <w:tcPr>
            <w:tcW w:w="720" w:type="dxa"/>
            <w:tcBorders>
              <w:top w:val="nil"/>
              <w:bottom w:val="nil"/>
            </w:tcBorders>
          </w:tcPr>
          <w:p w:rsidR="00443EC1" w:rsidRDefault="00443EC1">
            <w:pPr>
              <w:spacing w:before="60" w:after="60"/>
              <w:jc w:val="center"/>
              <w:rPr>
                <w:rStyle w:val="FootnoteReference"/>
                <w:rFonts w:hint="cs"/>
                <w:b/>
                <w:bCs w:val="0"/>
                <w:szCs w:val="22"/>
                <w:vertAlign w:val="baseline"/>
              </w:rPr>
            </w:pPr>
            <w:r>
              <w:rPr>
                <w:rFonts w:hint="cs"/>
                <w:b/>
                <w:szCs w:val="22"/>
                <w:rtl/>
              </w:rPr>
              <w:t>2</w:t>
            </w:r>
          </w:p>
        </w:tc>
        <w:tc>
          <w:tcPr>
            <w:tcW w:w="828" w:type="dxa"/>
            <w:tcBorders>
              <w:top w:val="nil"/>
              <w:bottom w:val="nil"/>
            </w:tcBorders>
          </w:tcPr>
          <w:p w:rsidR="00443EC1" w:rsidRDefault="00443EC1">
            <w:pPr>
              <w:spacing w:before="60" w:after="60"/>
              <w:jc w:val="center"/>
              <w:rPr>
                <w:rStyle w:val="FootnoteReference"/>
                <w:rFonts w:hint="cs"/>
                <w:b/>
                <w:bCs w:val="0"/>
                <w:szCs w:val="22"/>
                <w:vertAlign w:val="baseline"/>
              </w:rPr>
            </w:pPr>
            <w:r>
              <w:rPr>
                <w:rFonts w:hint="cs"/>
                <w:b/>
                <w:szCs w:val="22"/>
                <w:rtl/>
              </w:rPr>
              <w:t>3</w:t>
            </w:r>
          </w:p>
        </w:tc>
      </w:tr>
      <w:tr w:rsidR="00443EC1" w:rsidTr="00443EC1">
        <w:tblPrEx>
          <w:tblCellMar>
            <w:top w:w="0" w:type="dxa"/>
            <w:bottom w:w="0" w:type="dxa"/>
          </w:tblCellMar>
        </w:tblPrEx>
        <w:trPr>
          <w:jc w:val="center"/>
        </w:trPr>
        <w:tc>
          <w:tcPr>
            <w:tcW w:w="1980" w:type="dxa"/>
            <w:tcBorders>
              <w:top w:val="nil"/>
              <w:bottom w:val="nil"/>
            </w:tcBorders>
          </w:tcPr>
          <w:p w:rsidR="00443EC1" w:rsidRDefault="00443EC1">
            <w:pPr>
              <w:spacing w:before="60" w:after="60"/>
              <w:jc w:val="both"/>
              <w:rPr>
                <w:rStyle w:val="FootnoteReference"/>
                <w:rFonts w:hint="cs"/>
                <w:b/>
                <w:bCs w:val="0"/>
                <w:spacing w:val="0"/>
                <w:sz w:val="24"/>
                <w:szCs w:val="24"/>
                <w:vertAlign w:val="baseline"/>
              </w:rPr>
            </w:pPr>
            <w:r>
              <w:rPr>
                <w:rFonts w:hint="cs"/>
                <w:b/>
                <w:spacing w:val="0"/>
                <w:sz w:val="24"/>
                <w:szCs w:val="24"/>
                <w:rtl/>
              </w:rPr>
              <w:t>المنطقة الوسطى</w:t>
            </w:r>
          </w:p>
        </w:tc>
        <w:tc>
          <w:tcPr>
            <w:tcW w:w="1080" w:type="dxa"/>
            <w:tcBorders>
              <w:top w:val="nil"/>
              <w:bottom w:val="nil"/>
            </w:tcBorders>
          </w:tcPr>
          <w:p w:rsidR="00443EC1" w:rsidRDefault="00443EC1">
            <w:pPr>
              <w:spacing w:before="60" w:after="60"/>
              <w:jc w:val="center"/>
              <w:rPr>
                <w:rStyle w:val="FootnoteReference"/>
                <w:rFonts w:hint="cs"/>
                <w:b/>
                <w:bCs w:val="0"/>
                <w:szCs w:val="22"/>
                <w:vertAlign w:val="baseline"/>
              </w:rPr>
            </w:pPr>
            <w:r>
              <w:rPr>
                <w:rFonts w:hint="cs"/>
                <w:b/>
                <w:szCs w:val="22"/>
                <w:rtl/>
              </w:rPr>
              <w:t>270 26</w:t>
            </w:r>
          </w:p>
        </w:tc>
        <w:tc>
          <w:tcPr>
            <w:tcW w:w="1203" w:type="dxa"/>
            <w:tcBorders>
              <w:top w:val="nil"/>
              <w:bottom w:val="nil"/>
            </w:tcBorders>
          </w:tcPr>
          <w:p w:rsidR="00443EC1" w:rsidRDefault="00443EC1">
            <w:pPr>
              <w:spacing w:before="60" w:after="60"/>
              <w:jc w:val="center"/>
              <w:rPr>
                <w:rStyle w:val="FootnoteReference"/>
                <w:rFonts w:hint="cs"/>
                <w:b/>
                <w:bCs w:val="0"/>
                <w:szCs w:val="22"/>
                <w:vertAlign w:val="baseline"/>
              </w:rPr>
            </w:pPr>
            <w:r>
              <w:rPr>
                <w:rFonts w:hint="cs"/>
                <w:b/>
                <w:szCs w:val="22"/>
                <w:rtl/>
              </w:rPr>
              <w:t>2.214</w:t>
            </w:r>
          </w:p>
        </w:tc>
        <w:tc>
          <w:tcPr>
            <w:tcW w:w="957" w:type="dxa"/>
            <w:tcBorders>
              <w:top w:val="nil"/>
              <w:bottom w:val="nil"/>
            </w:tcBorders>
          </w:tcPr>
          <w:p w:rsidR="00443EC1" w:rsidRDefault="00443EC1">
            <w:pPr>
              <w:spacing w:before="60" w:after="60"/>
              <w:jc w:val="center"/>
              <w:rPr>
                <w:rStyle w:val="FootnoteReference"/>
                <w:rFonts w:hint="cs"/>
                <w:b/>
                <w:bCs w:val="0"/>
                <w:szCs w:val="22"/>
                <w:vertAlign w:val="baseline"/>
              </w:rPr>
            </w:pPr>
            <w:r>
              <w:rPr>
                <w:rFonts w:hint="cs"/>
                <w:b/>
                <w:szCs w:val="22"/>
                <w:rtl/>
              </w:rPr>
              <w:t>0.1</w:t>
            </w:r>
          </w:p>
        </w:tc>
        <w:tc>
          <w:tcPr>
            <w:tcW w:w="720" w:type="dxa"/>
            <w:tcBorders>
              <w:top w:val="nil"/>
              <w:bottom w:val="nil"/>
            </w:tcBorders>
          </w:tcPr>
          <w:p w:rsidR="00443EC1" w:rsidRDefault="00443EC1">
            <w:pPr>
              <w:spacing w:before="60" w:after="60"/>
              <w:jc w:val="center"/>
              <w:rPr>
                <w:rStyle w:val="FootnoteReference"/>
                <w:rFonts w:hint="cs"/>
                <w:b/>
                <w:bCs w:val="0"/>
                <w:szCs w:val="22"/>
                <w:vertAlign w:val="baseline"/>
              </w:rPr>
            </w:pPr>
            <w:r>
              <w:rPr>
                <w:rFonts w:hint="cs"/>
                <w:b/>
                <w:szCs w:val="22"/>
                <w:rtl/>
              </w:rPr>
              <w:t>24</w:t>
            </w:r>
          </w:p>
        </w:tc>
        <w:tc>
          <w:tcPr>
            <w:tcW w:w="720" w:type="dxa"/>
            <w:tcBorders>
              <w:top w:val="nil"/>
              <w:bottom w:val="nil"/>
            </w:tcBorders>
          </w:tcPr>
          <w:p w:rsidR="00443EC1" w:rsidRDefault="00443EC1">
            <w:pPr>
              <w:spacing w:before="60" w:after="60"/>
              <w:jc w:val="center"/>
              <w:rPr>
                <w:rStyle w:val="FootnoteReference"/>
                <w:rFonts w:hint="cs"/>
                <w:b/>
                <w:bCs w:val="0"/>
                <w:szCs w:val="22"/>
                <w:vertAlign w:val="baseline"/>
              </w:rPr>
            </w:pPr>
            <w:r>
              <w:rPr>
                <w:rFonts w:hint="cs"/>
                <w:b/>
                <w:szCs w:val="22"/>
                <w:rtl/>
              </w:rPr>
              <w:t>47</w:t>
            </w:r>
          </w:p>
        </w:tc>
        <w:tc>
          <w:tcPr>
            <w:tcW w:w="744" w:type="dxa"/>
            <w:tcBorders>
              <w:top w:val="nil"/>
              <w:bottom w:val="nil"/>
            </w:tcBorders>
          </w:tcPr>
          <w:p w:rsidR="00443EC1" w:rsidRDefault="00443EC1">
            <w:pPr>
              <w:spacing w:before="60" w:after="60"/>
              <w:jc w:val="center"/>
              <w:rPr>
                <w:rStyle w:val="FootnoteReference"/>
                <w:rFonts w:hint="cs"/>
                <w:b/>
                <w:bCs w:val="0"/>
                <w:szCs w:val="22"/>
                <w:vertAlign w:val="baseline"/>
              </w:rPr>
            </w:pPr>
            <w:r>
              <w:rPr>
                <w:rFonts w:hint="cs"/>
                <w:b/>
                <w:szCs w:val="22"/>
                <w:rtl/>
              </w:rPr>
              <w:t>21</w:t>
            </w:r>
          </w:p>
        </w:tc>
        <w:tc>
          <w:tcPr>
            <w:tcW w:w="696" w:type="dxa"/>
            <w:tcBorders>
              <w:top w:val="nil"/>
              <w:bottom w:val="nil"/>
            </w:tcBorders>
          </w:tcPr>
          <w:p w:rsidR="00443EC1" w:rsidRDefault="00443EC1">
            <w:pPr>
              <w:spacing w:before="60" w:after="60"/>
              <w:jc w:val="center"/>
              <w:rPr>
                <w:rStyle w:val="FootnoteReference"/>
                <w:rFonts w:hint="cs"/>
                <w:b/>
                <w:bCs w:val="0"/>
                <w:szCs w:val="22"/>
                <w:vertAlign w:val="baseline"/>
              </w:rPr>
            </w:pPr>
            <w:r>
              <w:rPr>
                <w:rFonts w:hint="cs"/>
                <w:b/>
                <w:szCs w:val="22"/>
                <w:rtl/>
              </w:rPr>
              <w:t>5</w:t>
            </w:r>
          </w:p>
        </w:tc>
        <w:tc>
          <w:tcPr>
            <w:tcW w:w="720" w:type="dxa"/>
            <w:tcBorders>
              <w:top w:val="nil"/>
              <w:bottom w:val="nil"/>
            </w:tcBorders>
          </w:tcPr>
          <w:p w:rsidR="00443EC1" w:rsidRDefault="00443EC1">
            <w:pPr>
              <w:spacing w:before="60" w:after="60"/>
              <w:jc w:val="center"/>
              <w:rPr>
                <w:rStyle w:val="FootnoteReference"/>
                <w:rFonts w:hint="cs"/>
                <w:b/>
                <w:bCs w:val="0"/>
                <w:szCs w:val="22"/>
                <w:vertAlign w:val="baseline"/>
              </w:rPr>
            </w:pPr>
            <w:r>
              <w:rPr>
                <w:rFonts w:hint="cs"/>
                <w:b/>
                <w:szCs w:val="22"/>
                <w:rtl/>
              </w:rPr>
              <w:t>1</w:t>
            </w:r>
          </w:p>
        </w:tc>
        <w:tc>
          <w:tcPr>
            <w:tcW w:w="828" w:type="dxa"/>
            <w:tcBorders>
              <w:top w:val="nil"/>
              <w:bottom w:val="nil"/>
            </w:tcBorders>
          </w:tcPr>
          <w:p w:rsidR="00443EC1" w:rsidRDefault="00443EC1">
            <w:pPr>
              <w:spacing w:before="60" w:after="60"/>
              <w:jc w:val="center"/>
              <w:rPr>
                <w:rStyle w:val="FootnoteReference"/>
                <w:rFonts w:hint="cs"/>
                <w:b/>
                <w:bCs w:val="0"/>
                <w:szCs w:val="22"/>
                <w:vertAlign w:val="baseline"/>
              </w:rPr>
            </w:pPr>
            <w:r>
              <w:rPr>
                <w:rFonts w:hint="cs"/>
                <w:b/>
                <w:szCs w:val="22"/>
                <w:rtl/>
              </w:rPr>
              <w:t>2</w:t>
            </w:r>
          </w:p>
        </w:tc>
      </w:tr>
      <w:tr w:rsidR="00443EC1" w:rsidTr="00443EC1">
        <w:tblPrEx>
          <w:tblCellMar>
            <w:top w:w="0" w:type="dxa"/>
            <w:bottom w:w="0" w:type="dxa"/>
          </w:tblCellMar>
        </w:tblPrEx>
        <w:trPr>
          <w:jc w:val="center"/>
        </w:trPr>
        <w:tc>
          <w:tcPr>
            <w:tcW w:w="1980" w:type="dxa"/>
            <w:tcBorders>
              <w:top w:val="nil"/>
            </w:tcBorders>
          </w:tcPr>
          <w:p w:rsidR="00443EC1" w:rsidRDefault="00443EC1">
            <w:pPr>
              <w:spacing w:before="60" w:after="60"/>
              <w:jc w:val="both"/>
              <w:rPr>
                <w:rStyle w:val="FootnoteReference"/>
                <w:rFonts w:hint="cs"/>
                <w:b/>
                <w:bCs w:val="0"/>
                <w:sz w:val="24"/>
                <w:szCs w:val="24"/>
                <w:vertAlign w:val="baseline"/>
              </w:rPr>
            </w:pPr>
            <w:r>
              <w:rPr>
                <w:rFonts w:hint="cs"/>
                <w:b/>
                <w:sz w:val="24"/>
                <w:szCs w:val="24"/>
                <w:rtl/>
              </w:rPr>
              <w:t>المنطقة الغربية</w:t>
            </w:r>
          </w:p>
        </w:tc>
        <w:tc>
          <w:tcPr>
            <w:tcW w:w="1080" w:type="dxa"/>
            <w:tcBorders>
              <w:top w:val="nil"/>
            </w:tcBorders>
          </w:tcPr>
          <w:p w:rsidR="00443EC1" w:rsidRDefault="00443EC1">
            <w:pPr>
              <w:spacing w:before="60" w:after="60"/>
              <w:jc w:val="center"/>
              <w:rPr>
                <w:rStyle w:val="FootnoteReference"/>
                <w:rFonts w:hint="cs"/>
                <w:b/>
                <w:bCs w:val="0"/>
                <w:szCs w:val="22"/>
                <w:vertAlign w:val="baseline"/>
              </w:rPr>
            </w:pPr>
            <w:r>
              <w:rPr>
                <w:rFonts w:hint="cs"/>
                <w:b/>
                <w:szCs w:val="22"/>
                <w:rtl/>
              </w:rPr>
              <w:t>630 13</w:t>
            </w:r>
          </w:p>
        </w:tc>
        <w:tc>
          <w:tcPr>
            <w:tcW w:w="1203" w:type="dxa"/>
            <w:tcBorders>
              <w:top w:val="nil"/>
            </w:tcBorders>
          </w:tcPr>
          <w:p w:rsidR="00443EC1" w:rsidRDefault="00443EC1">
            <w:pPr>
              <w:spacing w:before="60" w:after="60"/>
              <w:jc w:val="center"/>
              <w:rPr>
                <w:rStyle w:val="FootnoteReference"/>
                <w:rFonts w:hint="cs"/>
                <w:b/>
                <w:bCs w:val="0"/>
                <w:szCs w:val="22"/>
                <w:vertAlign w:val="baseline"/>
              </w:rPr>
            </w:pPr>
            <w:r>
              <w:rPr>
                <w:rFonts w:hint="cs"/>
                <w:b/>
                <w:szCs w:val="22"/>
                <w:rtl/>
              </w:rPr>
              <w:t>2.254</w:t>
            </w:r>
          </w:p>
        </w:tc>
        <w:tc>
          <w:tcPr>
            <w:tcW w:w="957" w:type="dxa"/>
            <w:tcBorders>
              <w:top w:val="nil"/>
            </w:tcBorders>
          </w:tcPr>
          <w:p w:rsidR="00443EC1" w:rsidRDefault="00443EC1">
            <w:pPr>
              <w:spacing w:before="60" w:after="60"/>
              <w:jc w:val="center"/>
              <w:rPr>
                <w:rStyle w:val="FootnoteReference"/>
                <w:rFonts w:hint="cs"/>
                <w:b/>
                <w:bCs w:val="0"/>
                <w:szCs w:val="22"/>
                <w:vertAlign w:val="baseline"/>
              </w:rPr>
            </w:pPr>
            <w:r>
              <w:rPr>
                <w:rFonts w:hint="cs"/>
                <w:b/>
                <w:szCs w:val="22"/>
                <w:rtl/>
              </w:rPr>
              <w:t>0.05</w:t>
            </w:r>
          </w:p>
        </w:tc>
        <w:tc>
          <w:tcPr>
            <w:tcW w:w="720" w:type="dxa"/>
            <w:tcBorders>
              <w:top w:val="nil"/>
            </w:tcBorders>
          </w:tcPr>
          <w:p w:rsidR="00443EC1" w:rsidRDefault="00443EC1">
            <w:pPr>
              <w:spacing w:before="60" w:after="60"/>
              <w:jc w:val="center"/>
              <w:rPr>
                <w:rStyle w:val="FootnoteReference"/>
                <w:rFonts w:hint="cs"/>
                <w:b/>
                <w:bCs w:val="0"/>
                <w:szCs w:val="22"/>
                <w:vertAlign w:val="baseline"/>
              </w:rPr>
            </w:pPr>
            <w:r>
              <w:rPr>
                <w:rFonts w:hint="cs"/>
                <w:b/>
                <w:szCs w:val="22"/>
                <w:rtl/>
              </w:rPr>
              <w:t>25</w:t>
            </w:r>
          </w:p>
        </w:tc>
        <w:tc>
          <w:tcPr>
            <w:tcW w:w="720" w:type="dxa"/>
            <w:tcBorders>
              <w:top w:val="nil"/>
            </w:tcBorders>
          </w:tcPr>
          <w:p w:rsidR="00443EC1" w:rsidRDefault="00443EC1">
            <w:pPr>
              <w:spacing w:before="60" w:after="60"/>
              <w:jc w:val="center"/>
              <w:rPr>
                <w:rStyle w:val="FootnoteReference"/>
                <w:rFonts w:hint="cs"/>
                <w:b/>
                <w:bCs w:val="0"/>
                <w:szCs w:val="22"/>
                <w:vertAlign w:val="baseline"/>
              </w:rPr>
            </w:pPr>
            <w:r>
              <w:rPr>
                <w:rFonts w:hint="cs"/>
                <w:b/>
                <w:szCs w:val="22"/>
                <w:rtl/>
              </w:rPr>
              <w:t>44</w:t>
            </w:r>
          </w:p>
        </w:tc>
        <w:tc>
          <w:tcPr>
            <w:tcW w:w="744" w:type="dxa"/>
            <w:tcBorders>
              <w:top w:val="nil"/>
            </w:tcBorders>
          </w:tcPr>
          <w:p w:rsidR="00443EC1" w:rsidRDefault="00443EC1">
            <w:pPr>
              <w:spacing w:before="60" w:after="60"/>
              <w:jc w:val="center"/>
              <w:rPr>
                <w:rStyle w:val="FootnoteReference"/>
                <w:rFonts w:hint="cs"/>
                <w:b/>
                <w:bCs w:val="0"/>
                <w:szCs w:val="22"/>
                <w:vertAlign w:val="baseline"/>
              </w:rPr>
            </w:pPr>
            <w:r>
              <w:rPr>
                <w:rFonts w:hint="cs"/>
                <w:b/>
                <w:szCs w:val="22"/>
                <w:rtl/>
              </w:rPr>
              <w:t>22</w:t>
            </w:r>
          </w:p>
        </w:tc>
        <w:tc>
          <w:tcPr>
            <w:tcW w:w="696" w:type="dxa"/>
            <w:tcBorders>
              <w:top w:val="nil"/>
            </w:tcBorders>
          </w:tcPr>
          <w:p w:rsidR="00443EC1" w:rsidRDefault="00443EC1">
            <w:pPr>
              <w:spacing w:before="60" w:after="60"/>
              <w:jc w:val="center"/>
              <w:rPr>
                <w:rStyle w:val="FootnoteReference"/>
                <w:rFonts w:hint="cs"/>
                <w:b/>
                <w:bCs w:val="0"/>
                <w:szCs w:val="22"/>
                <w:vertAlign w:val="baseline"/>
              </w:rPr>
            </w:pPr>
            <w:r>
              <w:rPr>
                <w:rFonts w:hint="cs"/>
                <w:b/>
                <w:szCs w:val="22"/>
                <w:rtl/>
              </w:rPr>
              <w:t>5</w:t>
            </w:r>
          </w:p>
        </w:tc>
        <w:tc>
          <w:tcPr>
            <w:tcW w:w="720" w:type="dxa"/>
            <w:tcBorders>
              <w:top w:val="nil"/>
            </w:tcBorders>
          </w:tcPr>
          <w:p w:rsidR="00443EC1" w:rsidRDefault="00443EC1">
            <w:pPr>
              <w:spacing w:before="60" w:after="60"/>
              <w:jc w:val="center"/>
              <w:rPr>
                <w:rStyle w:val="FootnoteReference"/>
                <w:rFonts w:hint="cs"/>
                <w:b/>
                <w:bCs w:val="0"/>
                <w:szCs w:val="22"/>
                <w:vertAlign w:val="baseline"/>
              </w:rPr>
            </w:pPr>
            <w:r>
              <w:rPr>
                <w:rFonts w:hint="cs"/>
                <w:b/>
                <w:szCs w:val="22"/>
                <w:rtl/>
              </w:rPr>
              <w:t>2</w:t>
            </w:r>
          </w:p>
        </w:tc>
        <w:tc>
          <w:tcPr>
            <w:tcW w:w="828" w:type="dxa"/>
            <w:tcBorders>
              <w:top w:val="nil"/>
            </w:tcBorders>
          </w:tcPr>
          <w:p w:rsidR="00443EC1" w:rsidRDefault="00443EC1">
            <w:pPr>
              <w:spacing w:before="60" w:after="60"/>
              <w:jc w:val="center"/>
              <w:rPr>
                <w:rStyle w:val="FootnoteReference"/>
                <w:rFonts w:hint="cs"/>
                <w:b/>
                <w:bCs w:val="0"/>
                <w:szCs w:val="22"/>
                <w:vertAlign w:val="baseline"/>
              </w:rPr>
            </w:pPr>
            <w:r>
              <w:rPr>
                <w:rFonts w:hint="cs"/>
                <w:b/>
                <w:szCs w:val="22"/>
                <w:rtl/>
              </w:rPr>
              <w:t>2</w:t>
            </w:r>
          </w:p>
        </w:tc>
      </w:tr>
    </w:tbl>
    <w:p w:rsidR="00000000" w:rsidRDefault="00443EC1">
      <w:pPr>
        <w:jc w:val="both"/>
        <w:rPr>
          <w:rFonts w:hint="cs"/>
          <w:b/>
          <w:sz w:val="28"/>
          <w:szCs w:val="28"/>
          <w:rtl/>
        </w:rPr>
      </w:pPr>
      <w:r>
        <w:rPr>
          <w:rFonts w:hint="cs"/>
          <w:b/>
          <w:i/>
          <w:iCs/>
          <w:sz w:val="28"/>
          <w:szCs w:val="28"/>
          <w:rtl/>
        </w:rPr>
        <w:tab/>
        <w:t>المصدر</w:t>
      </w:r>
      <w:r>
        <w:rPr>
          <w:rFonts w:hint="cs"/>
          <w:b/>
          <w:sz w:val="28"/>
          <w:szCs w:val="28"/>
          <w:rtl/>
        </w:rPr>
        <w:t>:</w:t>
      </w:r>
      <w:r>
        <w:rPr>
          <w:rFonts w:hint="cs"/>
          <w:b/>
          <w:sz w:val="28"/>
          <w:szCs w:val="28"/>
          <w:rtl/>
        </w:rPr>
        <w:tab/>
        <w:t>بيانات مستمدة من التعداد السكاني الصيني لعام 2000.</w:t>
      </w:r>
    </w:p>
    <w:p w:rsidR="00000000" w:rsidRDefault="00443EC1">
      <w:pPr>
        <w:spacing w:before="120" w:after="120"/>
        <w:jc w:val="center"/>
        <w:rPr>
          <w:rFonts w:hint="cs"/>
          <w:b/>
          <w:bCs/>
          <w:rtl/>
        </w:rPr>
      </w:pPr>
      <w:r>
        <w:rPr>
          <w:rFonts w:hint="cs"/>
          <w:b/>
          <w:bCs/>
          <w:rtl/>
        </w:rPr>
        <w:t>الجدول 5</w:t>
      </w:r>
    </w:p>
    <w:p w:rsidR="00000000" w:rsidRDefault="00443EC1">
      <w:pPr>
        <w:spacing w:before="120" w:after="120"/>
        <w:jc w:val="center"/>
        <w:rPr>
          <w:rFonts w:hint="cs"/>
          <w:b/>
          <w:bCs/>
          <w:rtl/>
        </w:rPr>
      </w:pPr>
      <w:r>
        <w:rPr>
          <w:rFonts w:hint="cs"/>
          <w:b/>
          <w:bCs/>
          <w:rtl/>
        </w:rPr>
        <w:t>الوضع السكني للمقيمين في الأرياف</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28"/>
        <w:gridCol w:w="1128"/>
        <w:gridCol w:w="1128"/>
        <w:gridCol w:w="1128"/>
        <w:gridCol w:w="1129"/>
        <w:gridCol w:w="1129"/>
      </w:tblGrid>
      <w:tr w:rsidR="00443EC1" w:rsidTr="00443EC1">
        <w:tblPrEx>
          <w:tblCellMar>
            <w:top w:w="0" w:type="dxa"/>
            <w:bottom w:w="0" w:type="dxa"/>
          </w:tblCellMar>
        </w:tblPrEx>
        <w:tc>
          <w:tcPr>
            <w:tcW w:w="3928" w:type="dxa"/>
            <w:tcBorders>
              <w:bottom w:val="single" w:sz="4" w:space="0" w:color="auto"/>
            </w:tcBorders>
          </w:tcPr>
          <w:p w:rsidR="00443EC1" w:rsidRDefault="00443EC1">
            <w:pPr>
              <w:spacing w:before="40" w:after="40"/>
              <w:jc w:val="center"/>
              <w:rPr>
                <w:rFonts w:hint="cs"/>
                <w:b/>
                <w:sz w:val="24"/>
                <w:szCs w:val="24"/>
              </w:rPr>
            </w:pPr>
            <w:r>
              <w:rPr>
                <w:rFonts w:hint="cs"/>
                <w:b/>
                <w:sz w:val="24"/>
                <w:szCs w:val="24"/>
                <w:rtl/>
              </w:rPr>
              <w:t>البند</w:t>
            </w:r>
          </w:p>
        </w:tc>
        <w:tc>
          <w:tcPr>
            <w:tcW w:w="1128" w:type="dxa"/>
            <w:tcBorders>
              <w:bottom w:val="single" w:sz="4" w:space="0" w:color="auto"/>
            </w:tcBorders>
          </w:tcPr>
          <w:p w:rsidR="00443EC1" w:rsidRDefault="00443EC1">
            <w:pPr>
              <w:spacing w:before="40" w:after="40"/>
              <w:jc w:val="center"/>
              <w:rPr>
                <w:rFonts w:hint="cs"/>
                <w:b/>
                <w:sz w:val="24"/>
                <w:szCs w:val="24"/>
              </w:rPr>
            </w:pPr>
            <w:r>
              <w:rPr>
                <w:rFonts w:hint="cs"/>
                <w:b/>
                <w:sz w:val="24"/>
                <w:szCs w:val="24"/>
                <w:rtl/>
              </w:rPr>
              <w:t>1985</w:t>
            </w:r>
          </w:p>
        </w:tc>
        <w:tc>
          <w:tcPr>
            <w:tcW w:w="1128" w:type="dxa"/>
            <w:tcBorders>
              <w:bottom w:val="single" w:sz="4" w:space="0" w:color="auto"/>
            </w:tcBorders>
          </w:tcPr>
          <w:p w:rsidR="00443EC1" w:rsidRDefault="00443EC1">
            <w:pPr>
              <w:spacing w:before="40" w:after="40"/>
              <w:jc w:val="center"/>
              <w:rPr>
                <w:rFonts w:hint="cs"/>
                <w:b/>
                <w:sz w:val="24"/>
                <w:szCs w:val="24"/>
              </w:rPr>
            </w:pPr>
            <w:r>
              <w:rPr>
                <w:rFonts w:hint="cs"/>
                <w:b/>
                <w:sz w:val="24"/>
                <w:szCs w:val="24"/>
                <w:rtl/>
              </w:rPr>
              <w:t>1990</w:t>
            </w:r>
          </w:p>
        </w:tc>
        <w:tc>
          <w:tcPr>
            <w:tcW w:w="1128" w:type="dxa"/>
            <w:tcBorders>
              <w:bottom w:val="single" w:sz="4" w:space="0" w:color="auto"/>
            </w:tcBorders>
          </w:tcPr>
          <w:p w:rsidR="00443EC1" w:rsidRDefault="00443EC1">
            <w:pPr>
              <w:spacing w:before="40" w:after="40"/>
              <w:jc w:val="center"/>
              <w:rPr>
                <w:rFonts w:hint="cs"/>
                <w:b/>
                <w:sz w:val="24"/>
                <w:szCs w:val="24"/>
              </w:rPr>
            </w:pPr>
            <w:r>
              <w:rPr>
                <w:rFonts w:hint="cs"/>
                <w:b/>
                <w:sz w:val="24"/>
                <w:szCs w:val="24"/>
                <w:rtl/>
              </w:rPr>
              <w:t>1995</w:t>
            </w:r>
          </w:p>
        </w:tc>
        <w:tc>
          <w:tcPr>
            <w:tcW w:w="1129" w:type="dxa"/>
            <w:tcBorders>
              <w:bottom w:val="single" w:sz="4" w:space="0" w:color="auto"/>
            </w:tcBorders>
          </w:tcPr>
          <w:p w:rsidR="00443EC1" w:rsidRDefault="00443EC1">
            <w:pPr>
              <w:spacing w:before="40" w:after="40"/>
              <w:jc w:val="center"/>
              <w:rPr>
                <w:rFonts w:hint="cs"/>
                <w:b/>
                <w:sz w:val="24"/>
                <w:szCs w:val="24"/>
              </w:rPr>
            </w:pPr>
            <w:r>
              <w:rPr>
                <w:rFonts w:hint="cs"/>
                <w:b/>
                <w:sz w:val="24"/>
                <w:szCs w:val="24"/>
                <w:rtl/>
              </w:rPr>
              <w:t>2000</w:t>
            </w:r>
          </w:p>
        </w:tc>
        <w:tc>
          <w:tcPr>
            <w:tcW w:w="1129" w:type="dxa"/>
            <w:tcBorders>
              <w:bottom w:val="single" w:sz="4" w:space="0" w:color="auto"/>
            </w:tcBorders>
          </w:tcPr>
          <w:p w:rsidR="00443EC1" w:rsidRDefault="00443EC1">
            <w:pPr>
              <w:spacing w:before="40" w:after="40"/>
              <w:jc w:val="center"/>
              <w:rPr>
                <w:rFonts w:hint="cs"/>
                <w:b/>
                <w:sz w:val="24"/>
                <w:szCs w:val="24"/>
              </w:rPr>
            </w:pPr>
            <w:r>
              <w:rPr>
                <w:rFonts w:hint="cs"/>
                <w:b/>
                <w:sz w:val="24"/>
                <w:szCs w:val="24"/>
                <w:rtl/>
              </w:rPr>
              <w:t>2001</w:t>
            </w:r>
          </w:p>
        </w:tc>
      </w:tr>
      <w:tr w:rsidR="00443EC1" w:rsidTr="00443EC1">
        <w:tblPrEx>
          <w:tblCellMar>
            <w:top w:w="0" w:type="dxa"/>
            <w:bottom w:w="0" w:type="dxa"/>
          </w:tblCellMar>
        </w:tblPrEx>
        <w:tc>
          <w:tcPr>
            <w:tcW w:w="3928" w:type="dxa"/>
            <w:tcBorders>
              <w:bottom w:val="nil"/>
            </w:tcBorders>
          </w:tcPr>
          <w:p w:rsidR="00443EC1" w:rsidRDefault="00443EC1">
            <w:pPr>
              <w:spacing w:before="40" w:after="40"/>
              <w:jc w:val="both"/>
              <w:rPr>
                <w:rFonts w:hint="cs"/>
                <w:b/>
                <w:sz w:val="24"/>
                <w:szCs w:val="24"/>
                <w:rtl/>
              </w:rPr>
            </w:pPr>
            <w:r>
              <w:rPr>
                <w:rFonts w:hint="cs"/>
                <w:b/>
                <w:sz w:val="24"/>
                <w:szCs w:val="24"/>
                <w:rtl/>
              </w:rPr>
              <w:t>المساكن الجديدة في العام المشار إليه</w:t>
            </w:r>
          </w:p>
          <w:p w:rsidR="00443EC1" w:rsidRDefault="00443EC1">
            <w:pPr>
              <w:spacing w:before="40" w:after="40"/>
              <w:jc w:val="both"/>
              <w:rPr>
                <w:rFonts w:hint="cs"/>
                <w:b/>
                <w:sz w:val="24"/>
                <w:szCs w:val="24"/>
                <w:rtl/>
              </w:rPr>
            </w:pPr>
            <w:r>
              <w:rPr>
                <w:b/>
                <w:sz w:val="24"/>
                <w:szCs w:val="24"/>
                <w:rtl/>
              </w:rPr>
              <w:tab/>
              <w:t xml:space="preserve">المساحة </w:t>
            </w:r>
            <w:r>
              <w:rPr>
                <w:rFonts w:hint="cs"/>
                <w:b/>
                <w:sz w:val="24"/>
                <w:szCs w:val="24"/>
                <w:rtl/>
              </w:rPr>
              <w:t>الأرضية (بالمتر المربع لكل فرد)</w:t>
            </w:r>
          </w:p>
          <w:p w:rsidR="00443EC1" w:rsidRDefault="00443EC1">
            <w:pPr>
              <w:spacing w:before="40" w:after="40"/>
              <w:jc w:val="both"/>
              <w:rPr>
                <w:rFonts w:hint="cs"/>
                <w:b/>
                <w:sz w:val="24"/>
                <w:szCs w:val="24"/>
              </w:rPr>
            </w:pPr>
            <w:r>
              <w:rPr>
                <w:b/>
                <w:sz w:val="24"/>
                <w:szCs w:val="24"/>
                <w:rtl/>
              </w:rPr>
              <w:tab/>
            </w:r>
            <w:r>
              <w:rPr>
                <w:rFonts w:hint="cs"/>
                <w:b/>
                <w:sz w:val="24"/>
                <w:szCs w:val="24"/>
                <w:rtl/>
              </w:rPr>
              <w:t>القيمة (يوان/متر مربع)</w:t>
            </w:r>
          </w:p>
        </w:tc>
        <w:tc>
          <w:tcPr>
            <w:tcW w:w="1128" w:type="dxa"/>
            <w:tcBorders>
              <w:bottom w:val="nil"/>
            </w:tcBorders>
          </w:tcPr>
          <w:p w:rsidR="00443EC1" w:rsidRDefault="00443EC1">
            <w:pPr>
              <w:spacing w:before="40" w:after="40"/>
              <w:jc w:val="both"/>
              <w:rPr>
                <w:rFonts w:hint="cs"/>
                <w:b/>
                <w:sz w:val="24"/>
                <w:szCs w:val="24"/>
                <w:rtl/>
              </w:rPr>
            </w:pPr>
          </w:p>
          <w:p w:rsidR="00443EC1" w:rsidRDefault="00443EC1">
            <w:pPr>
              <w:spacing w:before="40" w:after="40"/>
              <w:jc w:val="both"/>
              <w:rPr>
                <w:rFonts w:hint="cs"/>
                <w:b/>
                <w:sz w:val="24"/>
                <w:szCs w:val="24"/>
                <w:rtl/>
              </w:rPr>
            </w:pPr>
            <w:r>
              <w:rPr>
                <w:rFonts w:hint="cs"/>
                <w:b/>
                <w:sz w:val="24"/>
                <w:szCs w:val="24"/>
                <w:rtl/>
              </w:rPr>
              <w:t>1.08</w:t>
            </w:r>
          </w:p>
          <w:p w:rsidR="00443EC1" w:rsidRDefault="00443EC1">
            <w:pPr>
              <w:spacing w:before="40" w:after="40"/>
              <w:jc w:val="both"/>
              <w:rPr>
                <w:rFonts w:hint="cs"/>
                <w:b/>
                <w:sz w:val="24"/>
                <w:szCs w:val="24"/>
              </w:rPr>
            </w:pPr>
            <w:r>
              <w:rPr>
                <w:rFonts w:hint="cs"/>
                <w:b/>
                <w:sz w:val="24"/>
                <w:szCs w:val="24"/>
                <w:rtl/>
              </w:rPr>
              <w:t>40.17</w:t>
            </w:r>
          </w:p>
        </w:tc>
        <w:tc>
          <w:tcPr>
            <w:tcW w:w="1128" w:type="dxa"/>
            <w:tcBorders>
              <w:bottom w:val="nil"/>
            </w:tcBorders>
          </w:tcPr>
          <w:p w:rsidR="00443EC1" w:rsidRDefault="00443EC1">
            <w:pPr>
              <w:spacing w:before="40" w:after="40"/>
              <w:jc w:val="both"/>
              <w:rPr>
                <w:rFonts w:hint="cs"/>
                <w:b/>
                <w:sz w:val="24"/>
                <w:szCs w:val="24"/>
                <w:rtl/>
              </w:rPr>
            </w:pPr>
          </w:p>
          <w:p w:rsidR="00443EC1" w:rsidRDefault="00443EC1">
            <w:pPr>
              <w:spacing w:before="40" w:after="40"/>
              <w:jc w:val="both"/>
              <w:rPr>
                <w:rFonts w:hint="cs"/>
                <w:b/>
                <w:sz w:val="24"/>
                <w:szCs w:val="24"/>
                <w:rtl/>
              </w:rPr>
            </w:pPr>
            <w:r>
              <w:rPr>
                <w:rFonts w:hint="cs"/>
                <w:b/>
                <w:sz w:val="24"/>
                <w:szCs w:val="24"/>
                <w:rtl/>
              </w:rPr>
              <w:t>0.82</w:t>
            </w:r>
          </w:p>
          <w:p w:rsidR="00443EC1" w:rsidRDefault="00443EC1">
            <w:pPr>
              <w:spacing w:before="40" w:after="40"/>
              <w:jc w:val="both"/>
              <w:rPr>
                <w:rFonts w:hint="cs"/>
                <w:b/>
                <w:sz w:val="24"/>
                <w:szCs w:val="24"/>
              </w:rPr>
            </w:pPr>
            <w:r>
              <w:rPr>
                <w:rFonts w:hint="cs"/>
                <w:b/>
                <w:sz w:val="24"/>
                <w:szCs w:val="24"/>
                <w:rtl/>
              </w:rPr>
              <w:t>92.32</w:t>
            </w:r>
          </w:p>
        </w:tc>
        <w:tc>
          <w:tcPr>
            <w:tcW w:w="1128" w:type="dxa"/>
            <w:tcBorders>
              <w:bottom w:val="nil"/>
            </w:tcBorders>
          </w:tcPr>
          <w:p w:rsidR="00443EC1" w:rsidRDefault="00443EC1">
            <w:pPr>
              <w:spacing w:before="40" w:after="40"/>
              <w:jc w:val="both"/>
              <w:rPr>
                <w:rFonts w:hint="cs"/>
                <w:b/>
                <w:sz w:val="24"/>
                <w:szCs w:val="24"/>
                <w:rtl/>
              </w:rPr>
            </w:pPr>
          </w:p>
          <w:p w:rsidR="00443EC1" w:rsidRDefault="00443EC1">
            <w:pPr>
              <w:spacing w:before="40" w:after="40"/>
              <w:jc w:val="both"/>
              <w:rPr>
                <w:rFonts w:hint="cs"/>
                <w:b/>
                <w:sz w:val="24"/>
                <w:szCs w:val="24"/>
                <w:rtl/>
              </w:rPr>
            </w:pPr>
            <w:r>
              <w:rPr>
                <w:rFonts w:hint="cs"/>
                <w:b/>
                <w:sz w:val="24"/>
                <w:szCs w:val="24"/>
                <w:rtl/>
              </w:rPr>
              <w:t>0.78</w:t>
            </w:r>
          </w:p>
          <w:p w:rsidR="00443EC1" w:rsidRDefault="00443EC1">
            <w:pPr>
              <w:spacing w:before="40" w:after="40"/>
              <w:jc w:val="both"/>
              <w:rPr>
                <w:rFonts w:hint="cs"/>
                <w:b/>
                <w:sz w:val="24"/>
                <w:szCs w:val="24"/>
              </w:rPr>
            </w:pPr>
            <w:r>
              <w:rPr>
                <w:rFonts w:hint="cs"/>
                <w:b/>
                <w:sz w:val="24"/>
                <w:szCs w:val="24"/>
                <w:rtl/>
              </w:rPr>
              <w:t>200.30</w:t>
            </w:r>
          </w:p>
        </w:tc>
        <w:tc>
          <w:tcPr>
            <w:tcW w:w="1129" w:type="dxa"/>
            <w:tcBorders>
              <w:bottom w:val="nil"/>
            </w:tcBorders>
          </w:tcPr>
          <w:p w:rsidR="00443EC1" w:rsidRDefault="00443EC1">
            <w:pPr>
              <w:spacing w:before="40" w:after="40"/>
              <w:jc w:val="both"/>
              <w:rPr>
                <w:rFonts w:hint="cs"/>
                <w:b/>
                <w:sz w:val="24"/>
                <w:szCs w:val="24"/>
                <w:rtl/>
              </w:rPr>
            </w:pPr>
          </w:p>
          <w:p w:rsidR="00443EC1" w:rsidRDefault="00443EC1">
            <w:pPr>
              <w:spacing w:before="40" w:after="40"/>
              <w:jc w:val="both"/>
              <w:rPr>
                <w:rFonts w:hint="cs"/>
                <w:b/>
                <w:sz w:val="24"/>
                <w:szCs w:val="24"/>
                <w:rtl/>
              </w:rPr>
            </w:pPr>
            <w:r>
              <w:rPr>
                <w:rFonts w:hint="cs"/>
                <w:b/>
                <w:sz w:val="24"/>
                <w:szCs w:val="24"/>
                <w:rtl/>
              </w:rPr>
              <w:t>0.87</w:t>
            </w:r>
          </w:p>
          <w:p w:rsidR="00443EC1" w:rsidRDefault="00443EC1">
            <w:pPr>
              <w:spacing w:before="40" w:after="40"/>
              <w:jc w:val="both"/>
              <w:rPr>
                <w:rFonts w:hint="cs"/>
                <w:b/>
                <w:sz w:val="24"/>
                <w:szCs w:val="24"/>
              </w:rPr>
            </w:pPr>
            <w:r>
              <w:rPr>
                <w:rFonts w:hint="cs"/>
                <w:b/>
                <w:sz w:val="24"/>
                <w:szCs w:val="24"/>
                <w:rtl/>
              </w:rPr>
              <w:t>260.23</w:t>
            </w:r>
          </w:p>
        </w:tc>
        <w:tc>
          <w:tcPr>
            <w:tcW w:w="1129" w:type="dxa"/>
            <w:tcBorders>
              <w:bottom w:val="nil"/>
            </w:tcBorders>
          </w:tcPr>
          <w:p w:rsidR="00443EC1" w:rsidRDefault="00443EC1">
            <w:pPr>
              <w:spacing w:before="40" w:after="40"/>
              <w:jc w:val="both"/>
              <w:rPr>
                <w:rFonts w:hint="cs"/>
                <w:b/>
                <w:sz w:val="24"/>
                <w:szCs w:val="24"/>
                <w:rtl/>
              </w:rPr>
            </w:pPr>
          </w:p>
          <w:p w:rsidR="00443EC1" w:rsidRDefault="00443EC1">
            <w:pPr>
              <w:spacing w:before="40" w:after="40"/>
              <w:jc w:val="both"/>
              <w:rPr>
                <w:rFonts w:hint="cs"/>
                <w:b/>
                <w:sz w:val="24"/>
                <w:szCs w:val="24"/>
                <w:rtl/>
              </w:rPr>
            </w:pPr>
            <w:r>
              <w:rPr>
                <w:rFonts w:hint="cs"/>
                <w:b/>
                <w:sz w:val="24"/>
                <w:szCs w:val="24"/>
                <w:rtl/>
              </w:rPr>
              <w:t>0.84</w:t>
            </w:r>
          </w:p>
          <w:p w:rsidR="00443EC1" w:rsidRDefault="00443EC1">
            <w:pPr>
              <w:spacing w:before="40" w:after="40"/>
              <w:jc w:val="both"/>
              <w:rPr>
                <w:rFonts w:hint="cs"/>
                <w:b/>
                <w:sz w:val="24"/>
                <w:szCs w:val="24"/>
              </w:rPr>
            </w:pPr>
            <w:r>
              <w:rPr>
                <w:rFonts w:hint="cs"/>
                <w:b/>
                <w:sz w:val="24"/>
                <w:szCs w:val="24"/>
                <w:rtl/>
              </w:rPr>
              <w:t>263.45</w:t>
            </w:r>
          </w:p>
        </w:tc>
      </w:tr>
      <w:tr w:rsidR="00443EC1" w:rsidTr="00443EC1">
        <w:tblPrEx>
          <w:tblCellMar>
            <w:top w:w="0" w:type="dxa"/>
            <w:bottom w:w="0" w:type="dxa"/>
          </w:tblCellMar>
        </w:tblPrEx>
        <w:tc>
          <w:tcPr>
            <w:tcW w:w="3928" w:type="dxa"/>
            <w:tcBorders>
              <w:top w:val="nil"/>
              <w:bottom w:val="nil"/>
            </w:tcBorders>
          </w:tcPr>
          <w:p w:rsidR="00443EC1" w:rsidRDefault="00443EC1">
            <w:pPr>
              <w:spacing w:before="40" w:after="40"/>
              <w:jc w:val="both"/>
              <w:rPr>
                <w:rFonts w:hint="cs"/>
                <w:b/>
                <w:sz w:val="24"/>
                <w:szCs w:val="24"/>
                <w:rtl/>
              </w:rPr>
            </w:pPr>
            <w:r>
              <w:rPr>
                <w:rFonts w:hint="cs"/>
                <w:b/>
                <w:sz w:val="24"/>
                <w:szCs w:val="24"/>
                <w:rtl/>
              </w:rPr>
              <w:t>مواد البناء</w:t>
            </w:r>
          </w:p>
          <w:p w:rsidR="00443EC1" w:rsidRDefault="00443EC1">
            <w:pPr>
              <w:spacing w:before="40" w:after="40"/>
              <w:jc w:val="both"/>
              <w:rPr>
                <w:rFonts w:hint="cs"/>
                <w:b/>
                <w:sz w:val="24"/>
                <w:szCs w:val="24"/>
                <w:rtl/>
              </w:rPr>
            </w:pPr>
            <w:r>
              <w:rPr>
                <w:b/>
                <w:sz w:val="24"/>
                <w:szCs w:val="24"/>
                <w:rtl/>
              </w:rPr>
              <w:tab/>
            </w:r>
            <w:r>
              <w:rPr>
                <w:rFonts w:hint="cs"/>
                <w:b/>
                <w:sz w:val="24"/>
                <w:szCs w:val="24"/>
                <w:rtl/>
              </w:rPr>
              <w:t>الإ</w:t>
            </w:r>
            <w:r>
              <w:rPr>
                <w:b/>
                <w:sz w:val="24"/>
                <w:szCs w:val="24"/>
                <w:rtl/>
              </w:rPr>
              <w:t xml:space="preserve">سمنت </w:t>
            </w:r>
            <w:r>
              <w:rPr>
                <w:rFonts w:hint="cs"/>
                <w:b/>
                <w:sz w:val="24"/>
                <w:szCs w:val="24"/>
                <w:rtl/>
              </w:rPr>
              <w:t>المسلح</w:t>
            </w:r>
          </w:p>
          <w:p w:rsidR="00443EC1" w:rsidRDefault="00443EC1">
            <w:pPr>
              <w:spacing w:before="40" w:after="40"/>
              <w:jc w:val="both"/>
              <w:rPr>
                <w:rFonts w:hint="cs"/>
                <w:b/>
                <w:sz w:val="24"/>
                <w:szCs w:val="24"/>
              </w:rPr>
            </w:pPr>
            <w:r>
              <w:rPr>
                <w:b/>
                <w:sz w:val="24"/>
                <w:szCs w:val="24"/>
                <w:rtl/>
              </w:rPr>
              <w:tab/>
              <w:t xml:space="preserve">القرميد </w:t>
            </w:r>
            <w:r>
              <w:rPr>
                <w:rFonts w:hint="cs"/>
                <w:b/>
                <w:sz w:val="24"/>
                <w:szCs w:val="24"/>
                <w:rtl/>
              </w:rPr>
              <w:t>والخشب</w:t>
            </w:r>
          </w:p>
        </w:tc>
        <w:tc>
          <w:tcPr>
            <w:tcW w:w="1128" w:type="dxa"/>
            <w:tcBorders>
              <w:top w:val="nil"/>
              <w:bottom w:val="nil"/>
            </w:tcBorders>
          </w:tcPr>
          <w:p w:rsidR="00443EC1" w:rsidRDefault="00443EC1">
            <w:pPr>
              <w:spacing w:before="40" w:after="40"/>
              <w:jc w:val="both"/>
              <w:rPr>
                <w:rFonts w:hint="cs"/>
                <w:b/>
                <w:sz w:val="24"/>
                <w:szCs w:val="24"/>
                <w:rtl/>
              </w:rPr>
            </w:pPr>
          </w:p>
          <w:p w:rsidR="00443EC1" w:rsidRDefault="00443EC1">
            <w:pPr>
              <w:spacing w:before="40" w:after="40"/>
              <w:jc w:val="both"/>
              <w:rPr>
                <w:rFonts w:hint="cs"/>
                <w:b/>
                <w:sz w:val="24"/>
                <w:szCs w:val="24"/>
                <w:rtl/>
              </w:rPr>
            </w:pPr>
            <w:r>
              <w:rPr>
                <w:rFonts w:hint="cs"/>
                <w:b/>
                <w:sz w:val="24"/>
                <w:szCs w:val="24"/>
                <w:rtl/>
              </w:rPr>
              <w:t>0.09</w:t>
            </w:r>
          </w:p>
          <w:p w:rsidR="00443EC1" w:rsidRDefault="00443EC1">
            <w:pPr>
              <w:spacing w:before="40" w:after="40"/>
              <w:jc w:val="both"/>
              <w:rPr>
                <w:rFonts w:hint="cs"/>
                <w:b/>
                <w:sz w:val="24"/>
                <w:szCs w:val="24"/>
              </w:rPr>
            </w:pPr>
            <w:r>
              <w:rPr>
                <w:rFonts w:hint="cs"/>
                <w:b/>
                <w:sz w:val="24"/>
                <w:szCs w:val="24"/>
                <w:rtl/>
              </w:rPr>
              <w:t>0.70</w:t>
            </w:r>
          </w:p>
        </w:tc>
        <w:tc>
          <w:tcPr>
            <w:tcW w:w="1128" w:type="dxa"/>
            <w:tcBorders>
              <w:top w:val="nil"/>
              <w:bottom w:val="nil"/>
            </w:tcBorders>
          </w:tcPr>
          <w:p w:rsidR="00443EC1" w:rsidRDefault="00443EC1">
            <w:pPr>
              <w:spacing w:before="40" w:after="40"/>
              <w:jc w:val="both"/>
              <w:rPr>
                <w:rFonts w:hint="cs"/>
                <w:b/>
                <w:sz w:val="24"/>
                <w:szCs w:val="24"/>
                <w:rtl/>
              </w:rPr>
            </w:pPr>
          </w:p>
          <w:p w:rsidR="00443EC1" w:rsidRDefault="00443EC1">
            <w:pPr>
              <w:spacing w:before="40" w:after="40"/>
              <w:jc w:val="both"/>
              <w:rPr>
                <w:rFonts w:hint="cs"/>
                <w:b/>
                <w:sz w:val="24"/>
                <w:szCs w:val="24"/>
                <w:rtl/>
              </w:rPr>
            </w:pPr>
            <w:r>
              <w:rPr>
                <w:rFonts w:hint="cs"/>
                <w:b/>
                <w:sz w:val="24"/>
                <w:szCs w:val="24"/>
                <w:rtl/>
              </w:rPr>
              <w:t>0.23</w:t>
            </w:r>
          </w:p>
          <w:p w:rsidR="00443EC1" w:rsidRDefault="00443EC1">
            <w:pPr>
              <w:spacing w:before="40" w:after="40"/>
              <w:jc w:val="both"/>
              <w:rPr>
                <w:rFonts w:hint="cs"/>
                <w:b/>
                <w:sz w:val="24"/>
                <w:szCs w:val="24"/>
              </w:rPr>
            </w:pPr>
            <w:r>
              <w:rPr>
                <w:rFonts w:hint="cs"/>
                <w:b/>
                <w:sz w:val="24"/>
                <w:szCs w:val="24"/>
                <w:rtl/>
              </w:rPr>
              <w:t>0.47</w:t>
            </w:r>
          </w:p>
        </w:tc>
        <w:tc>
          <w:tcPr>
            <w:tcW w:w="1128" w:type="dxa"/>
            <w:tcBorders>
              <w:top w:val="nil"/>
              <w:bottom w:val="nil"/>
            </w:tcBorders>
          </w:tcPr>
          <w:p w:rsidR="00443EC1" w:rsidRDefault="00443EC1">
            <w:pPr>
              <w:spacing w:before="40" w:after="40"/>
              <w:jc w:val="both"/>
              <w:rPr>
                <w:rFonts w:hint="cs"/>
                <w:b/>
                <w:sz w:val="24"/>
                <w:szCs w:val="24"/>
                <w:rtl/>
              </w:rPr>
            </w:pPr>
          </w:p>
          <w:p w:rsidR="00443EC1" w:rsidRDefault="00443EC1">
            <w:pPr>
              <w:spacing w:before="40" w:after="40"/>
              <w:jc w:val="both"/>
              <w:rPr>
                <w:rFonts w:hint="cs"/>
                <w:b/>
                <w:sz w:val="24"/>
                <w:szCs w:val="24"/>
                <w:rtl/>
              </w:rPr>
            </w:pPr>
            <w:r>
              <w:rPr>
                <w:rFonts w:hint="cs"/>
                <w:b/>
                <w:sz w:val="24"/>
                <w:szCs w:val="24"/>
                <w:rtl/>
              </w:rPr>
              <w:t>0.33</w:t>
            </w:r>
          </w:p>
          <w:p w:rsidR="00443EC1" w:rsidRDefault="00443EC1">
            <w:pPr>
              <w:spacing w:before="40" w:after="40"/>
              <w:jc w:val="both"/>
              <w:rPr>
                <w:rFonts w:hint="cs"/>
                <w:b/>
                <w:sz w:val="24"/>
                <w:szCs w:val="24"/>
              </w:rPr>
            </w:pPr>
            <w:r>
              <w:rPr>
                <w:rFonts w:hint="cs"/>
                <w:b/>
                <w:sz w:val="24"/>
                <w:szCs w:val="24"/>
                <w:rtl/>
              </w:rPr>
              <w:t>0.37</w:t>
            </w:r>
          </w:p>
        </w:tc>
        <w:tc>
          <w:tcPr>
            <w:tcW w:w="1129" w:type="dxa"/>
            <w:tcBorders>
              <w:top w:val="nil"/>
              <w:bottom w:val="nil"/>
            </w:tcBorders>
          </w:tcPr>
          <w:p w:rsidR="00443EC1" w:rsidRDefault="00443EC1">
            <w:pPr>
              <w:spacing w:before="40" w:after="40"/>
              <w:jc w:val="both"/>
              <w:rPr>
                <w:rFonts w:hint="cs"/>
                <w:b/>
                <w:sz w:val="24"/>
                <w:szCs w:val="24"/>
                <w:rtl/>
              </w:rPr>
            </w:pPr>
          </w:p>
          <w:p w:rsidR="00443EC1" w:rsidRDefault="00443EC1">
            <w:pPr>
              <w:spacing w:before="40" w:after="40"/>
              <w:jc w:val="both"/>
              <w:rPr>
                <w:rFonts w:hint="cs"/>
                <w:b/>
                <w:sz w:val="24"/>
                <w:szCs w:val="24"/>
                <w:rtl/>
              </w:rPr>
            </w:pPr>
            <w:r>
              <w:rPr>
                <w:rFonts w:hint="cs"/>
                <w:b/>
                <w:sz w:val="24"/>
                <w:szCs w:val="24"/>
                <w:rtl/>
              </w:rPr>
              <w:t>0.47</w:t>
            </w:r>
          </w:p>
          <w:p w:rsidR="00443EC1" w:rsidRDefault="00443EC1">
            <w:pPr>
              <w:spacing w:before="40" w:after="40"/>
              <w:jc w:val="both"/>
              <w:rPr>
                <w:rFonts w:hint="cs"/>
                <w:b/>
                <w:sz w:val="24"/>
                <w:szCs w:val="24"/>
              </w:rPr>
            </w:pPr>
            <w:r>
              <w:rPr>
                <w:rFonts w:hint="cs"/>
                <w:b/>
                <w:sz w:val="24"/>
                <w:szCs w:val="24"/>
                <w:rtl/>
              </w:rPr>
              <w:t>0.36</w:t>
            </w:r>
          </w:p>
        </w:tc>
        <w:tc>
          <w:tcPr>
            <w:tcW w:w="1129" w:type="dxa"/>
            <w:tcBorders>
              <w:top w:val="nil"/>
              <w:bottom w:val="nil"/>
            </w:tcBorders>
          </w:tcPr>
          <w:p w:rsidR="00443EC1" w:rsidRDefault="00443EC1">
            <w:pPr>
              <w:spacing w:before="40" w:after="40"/>
              <w:jc w:val="both"/>
              <w:rPr>
                <w:rFonts w:hint="cs"/>
                <w:b/>
                <w:sz w:val="24"/>
                <w:szCs w:val="24"/>
                <w:rtl/>
              </w:rPr>
            </w:pPr>
          </w:p>
          <w:p w:rsidR="00443EC1" w:rsidRDefault="00443EC1">
            <w:pPr>
              <w:spacing w:before="40" w:after="40"/>
              <w:jc w:val="both"/>
              <w:rPr>
                <w:rFonts w:hint="cs"/>
                <w:b/>
                <w:sz w:val="24"/>
                <w:szCs w:val="24"/>
                <w:rtl/>
              </w:rPr>
            </w:pPr>
            <w:r>
              <w:rPr>
                <w:rFonts w:hint="cs"/>
                <w:b/>
                <w:sz w:val="24"/>
                <w:szCs w:val="24"/>
                <w:rtl/>
              </w:rPr>
              <w:t>0.45</w:t>
            </w:r>
          </w:p>
          <w:p w:rsidR="00443EC1" w:rsidRDefault="00443EC1">
            <w:pPr>
              <w:spacing w:before="40" w:after="40"/>
              <w:jc w:val="both"/>
              <w:rPr>
                <w:rFonts w:hint="cs"/>
                <w:b/>
                <w:sz w:val="24"/>
                <w:szCs w:val="24"/>
              </w:rPr>
            </w:pPr>
            <w:r>
              <w:rPr>
                <w:rFonts w:hint="cs"/>
                <w:b/>
                <w:sz w:val="24"/>
                <w:szCs w:val="24"/>
                <w:rtl/>
              </w:rPr>
              <w:t>0.34</w:t>
            </w:r>
          </w:p>
        </w:tc>
      </w:tr>
      <w:tr w:rsidR="00443EC1" w:rsidTr="00443EC1">
        <w:tblPrEx>
          <w:tblCellMar>
            <w:top w:w="0" w:type="dxa"/>
            <w:bottom w:w="0" w:type="dxa"/>
          </w:tblCellMar>
        </w:tblPrEx>
        <w:tc>
          <w:tcPr>
            <w:tcW w:w="3928" w:type="dxa"/>
            <w:tcBorders>
              <w:top w:val="nil"/>
              <w:bottom w:val="nil"/>
            </w:tcBorders>
          </w:tcPr>
          <w:p w:rsidR="00443EC1" w:rsidRDefault="00443EC1">
            <w:pPr>
              <w:spacing w:before="40" w:after="40"/>
              <w:jc w:val="both"/>
              <w:rPr>
                <w:rFonts w:hint="cs"/>
                <w:b/>
                <w:sz w:val="24"/>
                <w:szCs w:val="24"/>
                <w:rtl/>
              </w:rPr>
            </w:pPr>
            <w:r>
              <w:rPr>
                <w:rFonts w:hint="cs"/>
                <w:b/>
                <w:sz w:val="24"/>
                <w:szCs w:val="24"/>
                <w:rtl/>
              </w:rPr>
              <w:t>الوضع السكني في نهاية العام</w:t>
            </w:r>
          </w:p>
          <w:p w:rsidR="00443EC1" w:rsidRDefault="00443EC1">
            <w:pPr>
              <w:spacing w:before="40" w:after="40"/>
              <w:jc w:val="both"/>
              <w:rPr>
                <w:rFonts w:hint="cs"/>
                <w:b/>
                <w:sz w:val="24"/>
                <w:szCs w:val="24"/>
                <w:rtl/>
              </w:rPr>
            </w:pPr>
            <w:r>
              <w:rPr>
                <w:b/>
                <w:sz w:val="24"/>
                <w:szCs w:val="24"/>
                <w:rtl/>
              </w:rPr>
              <w:tab/>
              <w:t xml:space="preserve">المساحة </w:t>
            </w:r>
            <w:r>
              <w:rPr>
                <w:rFonts w:hint="cs"/>
                <w:b/>
                <w:sz w:val="24"/>
                <w:szCs w:val="24"/>
                <w:rtl/>
              </w:rPr>
              <w:t>الأرضية (بالمتر المربع لكل فرد)</w:t>
            </w:r>
          </w:p>
          <w:p w:rsidR="00443EC1" w:rsidRDefault="00443EC1">
            <w:pPr>
              <w:spacing w:before="40" w:after="40"/>
              <w:jc w:val="both"/>
              <w:rPr>
                <w:rFonts w:hint="cs"/>
                <w:b/>
                <w:sz w:val="24"/>
                <w:szCs w:val="24"/>
              </w:rPr>
            </w:pPr>
            <w:r>
              <w:rPr>
                <w:b/>
                <w:sz w:val="24"/>
                <w:szCs w:val="24"/>
                <w:rtl/>
              </w:rPr>
              <w:tab/>
              <w:t xml:space="preserve">القيمة </w:t>
            </w:r>
            <w:r>
              <w:rPr>
                <w:rFonts w:hint="cs"/>
                <w:b/>
                <w:sz w:val="24"/>
                <w:szCs w:val="24"/>
                <w:rtl/>
              </w:rPr>
              <w:t>(يوان/متر مربع)</w:t>
            </w:r>
          </w:p>
        </w:tc>
        <w:tc>
          <w:tcPr>
            <w:tcW w:w="1128" w:type="dxa"/>
            <w:tcBorders>
              <w:top w:val="nil"/>
              <w:bottom w:val="nil"/>
            </w:tcBorders>
          </w:tcPr>
          <w:p w:rsidR="00443EC1" w:rsidRDefault="00443EC1">
            <w:pPr>
              <w:spacing w:before="40" w:after="40"/>
              <w:jc w:val="both"/>
              <w:rPr>
                <w:rFonts w:hint="cs"/>
                <w:b/>
                <w:sz w:val="24"/>
                <w:szCs w:val="24"/>
                <w:rtl/>
              </w:rPr>
            </w:pPr>
          </w:p>
          <w:p w:rsidR="00443EC1" w:rsidRDefault="00443EC1">
            <w:pPr>
              <w:spacing w:before="40" w:after="40"/>
              <w:jc w:val="both"/>
              <w:rPr>
                <w:rFonts w:hint="cs"/>
                <w:b/>
                <w:sz w:val="24"/>
                <w:szCs w:val="24"/>
                <w:rtl/>
              </w:rPr>
            </w:pPr>
            <w:r>
              <w:rPr>
                <w:rFonts w:hint="cs"/>
                <w:b/>
                <w:sz w:val="24"/>
                <w:szCs w:val="24"/>
                <w:rtl/>
              </w:rPr>
              <w:t>14.70</w:t>
            </w:r>
          </w:p>
          <w:p w:rsidR="00443EC1" w:rsidRDefault="00443EC1">
            <w:pPr>
              <w:spacing w:before="40" w:after="40"/>
              <w:jc w:val="both"/>
              <w:rPr>
                <w:rFonts w:hint="cs"/>
                <w:b/>
                <w:sz w:val="24"/>
                <w:szCs w:val="24"/>
              </w:rPr>
            </w:pPr>
            <w:r>
              <w:rPr>
                <w:rFonts w:hint="cs"/>
                <w:b/>
                <w:sz w:val="24"/>
                <w:szCs w:val="24"/>
                <w:rtl/>
              </w:rPr>
              <w:t>26.27</w:t>
            </w:r>
          </w:p>
        </w:tc>
        <w:tc>
          <w:tcPr>
            <w:tcW w:w="1128" w:type="dxa"/>
            <w:tcBorders>
              <w:top w:val="nil"/>
              <w:bottom w:val="nil"/>
            </w:tcBorders>
          </w:tcPr>
          <w:p w:rsidR="00443EC1" w:rsidRDefault="00443EC1">
            <w:pPr>
              <w:spacing w:before="40" w:after="40"/>
              <w:jc w:val="both"/>
              <w:rPr>
                <w:rFonts w:hint="cs"/>
                <w:b/>
                <w:sz w:val="24"/>
                <w:szCs w:val="24"/>
                <w:rtl/>
              </w:rPr>
            </w:pPr>
          </w:p>
          <w:p w:rsidR="00443EC1" w:rsidRDefault="00443EC1">
            <w:pPr>
              <w:spacing w:before="40" w:after="40"/>
              <w:jc w:val="both"/>
              <w:rPr>
                <w:rFonts w:hint="cs"/>
                <w:b/>
                <w:sz w:val="24"/>
                <w:szCs w:val="24"/>
                <w:rtl/>
              </w:rPr>
            </w:pPr>
            <w:r>
              <w:rPr>
                <w:rFonts w:hint="cs"/>
                <w:b/>
                <w:sz w:val="24"/>
                <w:szCs w:val="24"/>
                <w:rtl/>
              </w:rPr>
              <w:t>17.83</w:t>
            </w:r>
          </w:p>
          <w:p w:rsidR="00443EC1" w:rsidRDefault="00443EC1">
            <w:pPr>
              <w:spacing w:before="40" w:after="40"/>
              <w:jc w:val="both"/>
              <w:rPr>
                <w:rFonts w:hint="cs"/>
                <w:b/>
                <w:sz w:val="24"/>
                <w:szCs w:val="24"/>
              </w:rPr>
            </w:pPr>
            <w:r>
              <w:rPr>
                <w:rFonts w:hint="cs"/>
                <w:b/>
                <w:sz w:val="24"/>
                <w:szCs w:val="24"/>
                <w:rtl/>
              </w:rPr>
              <w:t>44.60</w:t>
            </w:r>
          </w:p>
        </w:tc>
        <w:tc>
          <w:tcPr>
            <w:tcW w:w="1128" w:type="dxa"/>
            <w:tcBorders>
              <w:top w:val="nil"/>
              <w:bottom w:val="nil"/>
            </w:tcBorders>
          </w:tcPr>
          <w:p w:rsidR="00443EC1" w:rsidRDefault="00443EC1">
            <w:pPr>
              <w:spacing w:before="40" w:after="40"/>
              <w:jc w:val="both"/>
              <w:rPr>
                <w:rFonts w:hint="cs"/>
                <w:b/>
                <w:sz w:val="24"/>
                <w:szCs w:val="24"/>
                <w:rtl/>
              </w:rPr>
            </w:pPr>
          </w:p>
          <w:p w:rsidR="00443EC1" w:rsidRDefault="00443EC1">
            <w:pPr>
              <w:spacing w:before="40" w:after="40"/>
              <w:jc w:val="both"/>
              <w:rPr>
                <w:rFonts w:hint="cs"/>
                <w:b/>
                <w:sz w:val="24"/>
                <w:szCs w:val="24"/>
                <w:rtl/>
              </w:rPr>
            </w:pPr>
            <w:r>
              <w:rPr>
                <w:rFonts w:hint="cs"/>
                <w:b/>
                <w:sz w:val="24"/>
                <w:szCs w:val="24"/>
                <w:rtl/>
              </w:rPr>
              <w:t>21.01</w:t>
            </w:r>
          </w:p>
          <w:p w:rsidR="00443EC1" w:rsidRDefault="00443EC1">
            <w:pPr>
              <w:spacing w:before="40" w:after="40"/>
              <w:jc w:val="both"/>
              <w:rPr>
                <w:rFonts w:hint="cs"/>
                <w:b/>
                <w:sz w:val="24"/>
                <w:szCs w:val="24"/>
              </w:rPr>
            </w:pPr>
            <w:r>
              <w:rPr>
                <w:rFonts w:hint="cs"/>
                <w:b/>
                <w:sz w:val="24"/>
                <w:szCs w:val="24"/>
                <w:rtl/>
              </w:rPr>
              <w:t>101.64</w:t>
            </w:r>
          </w:p>
        </w:tc>
        <w:tc>
          <w:tcPr>
            <w:tcW w:w="1129" w:type="dxa"/>
            <w:tcBorders>
              <w:top w:val="nil"/>
              <w:bottom w:val="nil"/>
            </w:tcBorders>
          </w:tcPr>
          <w:p w:rsidR="00443EC1" w:rsidRDefault="00443EC1">
            <w:pPr>
              <w:spacing w:before="40" w:after="40"/>
              <w:jc w:val="both"/>
              <w:rPr>
                <w:rFonts w:hint="cs"/>
                <w:b/>
                <w:sz w:val="24"/>
                <w:szCs w:val="24"/>
                <w:rtl/>
              </w:rPr>
            </w:pPr>
          </w:p>
          <w:p w:rsidR="00443EC1" w:rsidRDefault="00443EC1">
            <w:pPr>
              <w:spacing w:before="40" w:after="40"/>
              <w:jc w:val="both"/>
              <w:rPr>
                <w:rFonts w:hint="cs"/>
                <w:b/>
                <w:sz w:val="24"/>
                <w:szCs w:val="24"/>
                <w:rtl/>
              </w:rPr>
            </w:pPr>
            <w:r>
              <w:rPr>
                <w:rFonts w:hint="cs"/>
                <w:b/>
                <w:sz w:val="24"/>
                <w:szCs w:val="24"/>
                <w:rtl/>
              </w:rPr>
              <w:t>24.82</w:t>
            </w:r>
          </w:p>
          <w:p w:rsidR="00443EC1" w:rsidRDefault="00443EC1">
            <w:pPr>
              <w:spacing w:before="40" w:after="40"/>
              <w:jc w:val="both"/>
              <w:rPr>
                <w:rFonts w:hint="cs"/>
                <w:b/>
                <w:sz w:val="24"/>
                <w:szCs w:val="24"/>
              </w:rPr>
            </w:pPr>
            <w:r>
              <w:rPr>
                <w:rFonts w:hint="cs"/>
                <w:b/>
                <w:sz w:val="24"/>
                <w:szCs w:val="24"/>
                <w:rtl/>
              </w:rPr>
              <w:t>187.41</w:t>
            </w:r>
          </w:p>
        </w:tc>
        <w:tc>
          <w:tcPr>
            <w:tcW w:w="1129" w:type="dxa"/>
            <w:tcBorders>
              <w:top w:val="nil"/>
              <w:bottom w:val="nil"/>
            </w:tcBorders>
          </w:tcPr>
          <w:p w:rsidR="00443EC1" w:rsidRDefault="00443EC1">
            <w:pPr>
              <w:spacing w:before="40" w:after="40"/>
              <w:jc w:val="both"/>
              <w:rPr>
                <w:rFonts w:hint="cs"/>
                <w:b/>
                <w:sz w:val="24"/>
                <w:szCs w:val="24"/>
                <w:rtl/>
              </w:rPr>
            </w:pPr>
          </w:p>
          <w:p w:rsidR="00443EC1" w:rsidRDefault="00443EC1">
            <w:pPr>
              <w:spacing w:before="40" w:after="40"/>
              <w:jc w:val="both"/>
              <w:rPr>
                <w:rFonts w:hint="cs"/>
                <w:b/>
                <w:sz w:val="24"/>
                <w:szCs w:val="24"/>
                <w:rtl/>
              </w:rPr>
            </w:pPr>
            <w:r>
              <w:rPr>
                <w:rFonts w:hint="cs"/>
                <w:b/>
                <w:sz w:val="24"/>
                <w:szCs w:val="24"/>
                <w:rtl/>
              </w:rPr>
              <w:t>25.37</w:t>
            </w:r>
          </w:p>
          <w:p w:rsidR="00443EC1" w:rsidRDefault="00443EC1">
            <w:pPr>
              <w:spacing w:before="40" w:after="40"/>
              <w:jc w:val="both"/>
              <w:rPr>
                <w:rFonts w:hint="cs"/>
                <w:b/>
                <w:sz w:val="24"/>
                <w:szCs w:val="24"/>
              </w:rPr>
            </w:pPr>
            <w:r>
              <w:rPr>
                <w:rFonts w:hint="cs"/>
                <w:b/>
                <w:sz w:val="24"/>
                <w:szCs w:val="24"/>
                <w:rtl/>
              </w:rPr>
              <w:t>196.12</w:t>
            </w:r>
          </w:p>
        </w:tc>
      </w:tr>
      <w:tr w:rsidR="00443EC1" w:rsidTr="00443EC1">
        <w:tblPrEx>
          <w:tblCellMar>
            <w:top w:w="0" w:type="dxa"/>
            <w:bottom w:w="0" w:type="dxa"/>
          </w:tblCellMar>
        </w:tblPrEx>
        <w:tc>
          <w:tcPr>
            <w:tcW w:w="3928" w:type="dxa"/>
            <w:tcBorders>
              <w:top w:val="nil"/>
            </w:tcBorders>
          </w:tcPr>
          <w:p w:rsidR="00443EC1" w:rsidRDefault="00443EC1">
            <w:pPr>
              <w:spacing w:before="40" w:after="40"/>
              <w:jc w:val="both"/>
              <w:rPr>
                <w:rFonts w:hint="cs"/>
                <w:b/>
                <w:sz w:val="24"/>
                <w:szCs w:val="24"/>
                <w:rtl/>
              </w:rPr>
            </w:pPr>
            <w:r>
              <w:rPr>
                <w:rFonts w:hint="cs"/>
                <w:b/>
                <w:sz w:val="24"/>
                <w:szCs w:val="24"/>
                <w:rtl/>
              </w:rPr>
              <w:t>مواد البناء</w:t>
            </w:r>
          </w:p>
          <w:p w:rsidR="00443EC1" w:rsidRDefault="00443EC1">
            <w:pPr>
              <w:spacing w:before="40" w:after="40"/>
              <w:jc w:val="both"/>
              <w:rPr>
                <w:rFonts w:hint="cs"/>
                <w:b/>
                <w:sz w:val="24"/>
                <w:szCs w:val="24"/>
                <w:rtl/>
              </w:rPr>
            </w:pPr>
            <w:r>
              <w:rPr>
                <w:b/>
                <w:sz w:val="24"/>
                <w:szCs w:val="24"/>
                <w:rtl/>
              </w:rPr>
              <w:tab/>
              <w:t>ا</w:t>
            </w:r>
            <w:r>
              <w:rPr>
                <w:rFonts w:hint="cs"/>
                <w:b/>
                <w:sz w:val="24"/>
                <w:szCs w:val="24"/>
                <w:rtl/>
              </w:rPr>
              <w:t>لإ</w:t>
            </w:r>
            <w:r>
              <w:rPr>
                <w:b/>
                <w:sz w:val="24"/>
                <w:szCs w:val="24"/>
                <w:rtl/>
              </w:rPr>
              <w:t xml:space="preserve">سمنت </w:t>
            </w:r>
            <w:r>
              <w:rPr>
                <w:rFonts w:hint="cs"/>
                <w:b/>
                <w:sz w:val="24"/>
                <w:szCs w:val="24"/>
                <w:rtl/>
              </w:rPr>
              <w:t>المسلح</w:t>
            </w:r>
          </w:p>
          <w:p w:rsidR="00443EC1" w:rsidRDefault="00443EC1">
            <w:pPr>
              <w:spacing w:before="40" w:after="40"/>
              <w:jc w:val="both"/>
              <w:rPr>
                <w:rFonts w:hint="cs"/>
                <w:b/>
                <w:sz w:val="24"/>
                <w:szCs w:val="24"/>
              </w:rPr>
            </w:pPr>
            <w:r>
              <w:rPr>
                <w:b/>
                <w:sz w:val="24"/>
                <w:szCs w:val="24"/>
                <w:rtl/>
              </w:rPr>
              <w:tab/>
              <w:t xml:space="preserve">القرميد </w:t>
            </w:r>
            <w:r>
              <w:rPr>
                <w:rFonts w:hint="cs"/>
                <w:b/>
                <w:sz w:val="24"/>
                <w:szCs w:val="24"/>
                <w:rtl/>
              </w:rPr>
              <w:t>والخشب</w:t>
            </w:r>
          </w:p>
        </w:tc>
        <w:tc>
          <w:tcPr>
            <w:tcW w:w="1128" w:type="dxa"/>
            <w:tcBorders>
              <w:top w:val="nil"/>
            </w:tcBorders>
          </w:tcPr>
          <w:p w:rsidR="00443EC1" w:rsidRDefault="00443EC1">
            <w:pPr>
              <w:spacing w:before="40" w:after="40"/>
              <w:jc w:val="both"/>
              <w:rPr>
                <w:rFonts w:hint="cs"/>
                <w:b/>
                <w:sz w:val="24"/>
                <w:szCs w:val="24"/>
                <w:rtl/>
              </w:rPr>
            </w:pPr>
          </w:p>
          <w:p w:rsidR="00443EC1" w:rsidRDefault="00443EC1">
            <w:pPr>
              <w:spacing w:before="40" w:after="40"/>
              <w:jc w:val="both"/>
              <w:rPr>
                <w:rFonts w:hint="cs"/>
                <w:b/>
                <w:sz w:val="24"/>
                <w:szCs w:val="24"/>
                <w:rtl/>
              </w:rPr>
            </w:pPr>
            <w:r>
              <w:rPr>
                <w:rFonts w:hint="cs"/>
                <w:b/>
                <w:sz w:val="24"/>
                <w:szCs w:val="24"/>
                <w:rtl/>
              </w:rPr>
              <w:t>0.31</w:t>
            </w:r>
          </w:p>
          <w:p w:rsidR="00443EC1" w:rsidRDefault="00443EC1">
            <w:pPr>
              <w:spacing w:before="40" w:after="40"/>
              <w:jc w:val="both"/>
              <w:rPr>
                <w:rFonts w:hint="cs"/>
                <w:b/>
                <w:sz w:val="24"/>
                <w:szCs w:val="24"/>
              </w:rPr>
            </w:pPr>
            <w:r>
              <w:rPr>
                <w:rFonts w:hint="cs"/>
                <w:b/>
                <w:sz w:val="24"/>
                <w:szCs w:val="24"/>
                <w:rtl/>
              </w:rPr>
              <w:t>7.47</w:t>
            </w:r>
          </w:p>
        </w:tc>
        <w:tc>
          <w:tcPr>
            <w:tcW w:w="1128" w:type="dxa"/>
            <w:tcBorders>
              <w:top w:val="nil"/>
            </w:tcBorders>
          </w:tcPr>
          <w:p w:rsidR="00443EC1" w:rsidRDefault="00443EC1">
            <w:pPr>
              <w:spacing w:before="40" w:after="40"/>
              <w:jc w:val="both"/>
              <w:rPr>
                <w:rFonts w:hint="cs"/>
                <w:b/>
                <w:sz w:val="24"/>
                <w:szCs w:val="24"/>
                <w:rtl/>
              </w:rPr>
            </w:pPr>
          </w:p>
          <w:p w:rsidR="00443EC1" w:rsidRDefault="00443EC1">
            <w:pPr>
              <w:spacing w:before="40" w:after="40"/>
              <w:jc w:val="both"/>
              <w:rPr>
                <w:rFonts w:hint="cs"/>
                <w:b/>
                <w:sz w:val="24"/>
                <w:szCs w:val="24"/>
                <w:rtl/>
              </w:rPr>
            </w:pPr>
            <w:r>
              <w:rPr>
                <w:rFonts w:hint="cs"/>
                <w:b/>
                <w:sz w:val="24"/>
                <w:szCs w:val="24"/>
                <w:rtl/>
              </w:rPr>
              <w:t>1.22</w:t>
            </w:r>
          </w:p>
          <w:p w:rsidR="00443EC1" w:rsidRDefault="00443EC1">
            <w:pPr>
              <w:spacing w:before="40" w:after="40"/>
              <w:jc w:val="both"/>
              <w:rPr>
                <w:rFonts w:hint="cs"/>
                <w:b/>
                <w:sz w:val="24"/>
                <w:szCs w:val="24"/>
              </w:rPr>
            </w:pPr>
            <w:r>
              <w:rPr>
                <w:rFonts w:hint="cs"/>
                <w:b/>
                <w:sz w:val="24"/>
                <w:szCs w:val="24"/>
                <w:rtl/>
              </w:rPr>
              <w:t>9.84</w:t>
            </w:r>
          </w:p>
        </w:tc>
        <w:tc>
          <w:tcPr>
            <w:tcW w:w="1128" w:type="dxa"/>
            <w:tcBorders>
              <w:top w:val="nil"/>
            </w:tcBorders>
          </w:tcPr>
          <w:p w:rsidR="00443EC1" w:rsidRDefault="00443EC1">
            <w:pPr>
              <w:spacing w:before="40" w:after="40"/>
              <w:jc w:val="both"/>
              <w:rPr>
                <w:rFonts w:hint="cs"/>
                <w:b/>
                <w:sz w:val="24"/>
                <w:szCs w:val="24"/>
                <w:rtl/>
              </w:rPr>
            </w:pPr>
          </w:p>
          <w:p w:rsidR="00443EC1" w:rsidRDefault="00443EC1">
            <w:pPr>
              <w:spacing w:before="40" w:after="40"/>
              <w:jc w:val="both"/>
              <w:rPr>
                <w:rFonts w:hint="cs"/>
                <w:b/>
                <w:sz w:val="24"/>
                <w:szCs w:val="24"/>
                <w:rtl/>
              </w:rPr>
            </w:pPr>
            <w:r>
              <w:rPr>
                <w:rFonts w:hint="cs"/>
                <w:b/>
                <w:sz w:val="24"/>
                <w:szCs w:val="24"/>
                <w:rtl/>
              </w:rPr>
              <w:t>3.10</w:t>
            </w:r>
          </w:p>
          <w:p w:rsidR="00443EC1" w:rsidRDefault="00443EC1">
            <w:pPr>
              <w:spacing w:before="40" w:after="40"/>
              <w:jc w:val="both"/>
              <w:rPr>
                <w:rFonts w:hint="cs"/>
                <w:b/>
                <w:sz w:val="24"/>
                <w:szCs w:val="24"/>
              </w:rPr>
            </w:pPr>
            <w:r>
              <w:rPr>
                <w:rFonts w:hint="cs"/>
                <w:b/>
                <w:sz w:val="24"/>
                <w:szCs w:val="24"/>
                <w:rtl/>
              </w:rPr>
              <w:t>11.91</w:t>
            </w:r>
          </w:p>
        </w:tc>
        <w:tc>
          <w:tcPr>
            <w:tcW w:w="1129" w:type="dxa"/>
            <w:tcBorders>
              <w:top w:val="nil"/>
            </w:tcBorders>
          </w:tcPr>
          <w:p w:rsidR="00443EC1" w:rsidRDefault="00443EC1">
            <w:pPr>
              <w:spacing w:before="40" w:after="40"/>
              <w:jc w:val="both"/>
              <w:rPr>
                <w:rFonts w:hint="cs"/>
                <w:b/>
                <w:sz w:val="24"/>
                <w:szCs w:val="24"/>
                <w:rtl/>
              </w:rPr>
            </w:pPr>
          </w:p>
          <w:p w:rsidR="00443EC1" w:rsidRDefault="00443EC1">
            <w:pPr>
              <w:spacing w:before="40" w:after="40"/>
              <w:jc w:val="both"/>
              <w:rPr>
                <w:rFonts w:hint="cs"/>
                <w:b/>
                <w:sz w:val="24"/>
                <w:szCs w:val="24"/>
                <w:rtl/>
              </w:rPr>
            </w:pPr>
            <w:r>
              <w:rPr>
                <w:rFonts w:hint="cs"/>
                <w:b/>
                <w:sz w:val="24"/>
                <w:szCs w:val="24"/>
                <w:rtl/>
              </w:rPr>
              <w:t>6.15</w:t>
            </w:r>
          </w:p>
          <w:p w:rsidR="00443EC1" w:rsidRDefault="00443EC1">
            <w:pPr>
              <w:spacing w:before="40" w:after="40"/>
              <w:jc w:val="both"/>
              <w:rPr>
                <w:rFonts w:hint="cs"/>
                <w:b/>
                <w:sz w:val="24"/>
                <w:szCs w:val="24"/>
              </w:rPr>
            </w:pPr>
            <w:r>
              <w:rPr>
                <w:rFonts w:hint="cs"/>
                <w:b/>
                <w:sz w:val="24"/>
                <w:szCs w:val="24"/>
                <w:rtl/>
              </w:rPr>
              <w:t>13.61</w:t>
            </w:r>
          </w:p>
        </w:tc>
        <w:tc>
          <w:tcPr>
            <w:tcW w:w="1129" w:type="dxa"/>
            <w:tcBorders>
              <w:top w:val="nil"/>
            </w:tcBorders>
          </w:tcPr>
          <w:p w:rsidR="00443EC1" w:rsidRDefault="00443EC1">
            <w:pPr>
              <w:spacing w:before="40" w:after="40"/>
              <w:jc w:val="both"/>
              <w:rPr>
                <w:rFonts w:hint="cs"/>
                <w:b/>
                <w:sz w:val="24"/>
                <w:szCs w:val="24"/>
                <w:rtl/>
              </w:rPr>
            </w:pPr>
          </w:p>
          <w:p w:rsidR="00443EC1" w:rsidRDefault="00443EC1">
            <w:pPr>
              <w:spacing w:before="40" w:after="40"/>
              <w:jc w:val="both"/>
              <w:rPr>
                <w:rFonts w:hint="cs"/>
                <w:b/>
                <w:sz w:val="24"/>
                <w:szCs w:val="24"/>
                <w:rtl/>
              </w:rPr>
            </w:pPr>
            <w:r>
              <w:rPr>
                <w:rFonts w:hint="cs"/>
                <w:b/>
                <w:sz w:val="24"/>
                <w:szCs w:val="24"/>
                <w:rtl/>
              </w:rPr>
              <w:t>6.94</w:t>
            </w:r>
          </w:p>
          <w:p w:rsidR="00443EC1" w:rsidRDefault="00443EC1">
            <w:pPr>
              <w:spacing w:before="40" w:after="40"/>
              <w:jc w:val="both"/>
              <w:rPr>
                <w:rFonts w:hint="cs"/>
                <w:b/>
                <w:sz w:val="24"/>
                <w:szCs w:val="24"/>
              </w:rPr>
            </w:pPr>
            <w:r>
              <w:rPr>
                <w:rFonts w:hint="cs"/>
                <w:b/>
                <w:sz w:val="24"/>
                <w:szCs w:val="24"/>
                <w:rtl/>
              </w:rPr>
              <w:t>13.82</w:t>
            </w:r>
          </w:p>
        </w:tc>
      </w:tr>
    </w:tbl>
    <w:p w:rsidR="00000000" w:rsidRDefault="00443EC1">
      <w:pPr>
        <w:tabs>
          <w:tab w:val="left" w:pos="894"/>
        </w:tabs>
        <w:spacing w:before="60" w:after="60"/>
        <w:jc w:val="both"/>
        <w:rPr>
          <w:rFonts w:hint="cs"/>
          <w:b/>
          <w:i/>
          <w:iCs/>
          <w:sz w:val="28"/>
          <w:szCs w:val="28"/>
          <w:rtl/>
        </w:rPr>
      </w:pPr>
      <w:r>
        <w:rPr>
          <w:rFonts w:hint="cs"/>
          <w:b/>
          <w:i/>
          <w:iCs/>
          <w:sz w:val="28"/>
          <w:szCs w:val="28"/>
          <w:rtl/>
        </w:rPr>
        <w:tab/>
        <w:t>المصدر:</w:t>
      </w:r>
      <w:r>
        <w:rPr>
          <w:rFonts w:hint="cs"/>
          <w:b/>
          <w:i/>
          <w:iCs/>
          <w:sz w:val="28"/>
          <w:szCs w:val="28"/>
          <w:rtl/>
        </w:rPr>
        <w:tab/>
        <w:t>الحولية الإحصائية الوطنية الصينية، 2002.</w:t>
      </w:r>
    </w:p>
    <w:p w:rsidR="00000000" w:rsidRDefault="00443EC1">
      <w:pPr>
        <w:tabs>
          <w:tab w:val="left" w:pos="894"/>
        </w:tabs>
        <w:spacing w:before="60" w:after="60"/>
        <w:jc w:val="both"/>
        <w:rPr>
          <w:rStyle w:val="FootnoteReference"/>
          <w:bCs w:val="0"/>
          <w:sz w:val="28"/>
          <w:vertAlign w:val="baseline"/>
          <w:rtl/>
        </w:rPr>
      </w:pPr>
      <w:r>
        <w:rPr>
          <w:rFonts w:hint="cs"/>
          <w:b/>
          <w:sz w:val="28"/>
          <w:szCs w:val="28"/>
          <w:rtl/>
        </w:rPr>
        <w:t>ملاحظة:</w:t>
      </w:r>
      <w:r>
        <w:rPr>
          <w:rFonts w:hint="cs"/>
          <w:b/>
          <w:sz w:val="28"/>
          <w:szCs w:val="28"/>
          <w:rtl/>
        </w:rPr>
        <w:tab/>
        <w:t>نُقل هذا الجدول عن بيانات</w:t>
      </w:r>
      <w:r>
        <w:rPr>
          <w:rFonts w:hint="cs"/>
          <w:b/>
          <w:sz w:val="28"/>
          <w:szCs w:val="28"/>
          <w:rtl/>
        </w:rPr>
        <w:t xml:space="preserve"> دراسة استقصائية لعينة من المجتمعات الريفية.</w:t>
      </w:r>
    </w:p>
    <w:p w:rsidR="00000000" w:rsidRDefault="00443EC1">
      <w:pPr>
        <w:spacing w:line="380" w:lineRule="exact"/>
        <w:jc w:val="both"/>
      </w:pPr>
    </w:p>
    <w:p w:rsidR="00000000" w:rsidRDefault="00443EC1">
      <w:pPr>
        <w:spacing w:line="360" w:lineRule="exact"/>
        <w:jc w:val="center"/>
        <w:rPr>
          <w:rFonts w:hint="cs"/>
          <w:b/>
          <w:bCs/>
          <w:rtl/>
        </w:rPr>
      </w:pPr>
      <w:r>
        <w:rPr>
          <w:rFonts w:hint="cs"/>
          <w:b/>
          <w:bCs/>
          <w:rtl/>
        </w:rPr>
        <w:t>الجدول 6</w:t>
      </w:r>
    </w:p>
    <w:p w:rsidR="00000000" w:rsidRDefault="00443EC1">
      <w:pPr>
        <w:spacing w:line="360" w:lineRule="exact"/>
        <w:jc w:val="center"/>
        <w:rPr>
          <w:rFonts w:hint="cs"/>
          <w:b/>
          <w:bCs/>
          <w:rtl/>
        </w:rPr>
      </w:pPr>
      <w:r>
        <w:rPr>
          <w:rFonts w:hint="cs"/>
          <w:b/>
          <w:bCs/>
          <w:rtl/>
        </w:rPr>
        <w:t>تغيرات المستوى المعيشي لسكان المدن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9"/>
        <w:gridCol w:w="1470"/>
        <w:gridCol w:w="1707"/>
        <w:gridCol w:w="2660"/>
        <w:gridCol w:w="2684"/>
      </w:tblGrid>
      <w:tr w:rsidR="00443EC1" w:rsidTr="00443EC1">
        <w:tblPrEx>
          <w:tblCellMar>
            <w:top w:w="0" w:type="dxa"/>
            <w:bottom w:w="0" w:type="dxa"/>
          </w:tblCellMar>
        </w:tblPrEx>
        <w:trPr>
          <w:jc w:val="center"/>
        </w:trPr>
        <w:tc>
          <w:tcPr>
            <w:tcW w:w="1049" w:type="dxa"/>
            <w:tcBorders>
              <w:bottom w:val="single" w:sz="4" w:space="0" w:color="auto"/>
            </w:tcBorders>
            <w:vAlign w:val="bottom"/>
          </w:tcPr>
          <w:p w:rsidR="00443EC1" w:rsidRDefault="00443EC1">
            <w:pPr>
              <w:spacing w:before="40" w:after="60" w:line="300" w:lineRule="exact"/>
              <w:jc w:val="center"/>
              <w:rPr>
                <w:rFonts w:hint="cs"/>
              </w:rPr>
            </w:pPr>
            <w:r>
              <w:rPr>
                <w:rFonts w:hint="cs"/>
                <w:rtl/>
              </w:rPr>
              <w:t>السنة</w:t>
            </w:r>
          </w:p>
        </w:tc>
        <w:tc>
          <w:tcPr>
            <w:tcW w:w="1470" w:type="dxa"/>
            <w:tcBorders>
              <w:bottom w:val="single" w:sz="4" w:space="0" w:color="auto"/>
            </w:tcBorders>
            <w:vAlign w:val="bottom"/>
          </w:tcPr>
          <w:p w:rsidR="00443EC1" w:rsidRDefault="00443EC1">
            <w:pPr>
              <w:spacing w:before="40" w:after="60" w:line="300" w:lineRule="exact"/>
              <w:jc w:val="center"/>
              <w:rPr>
                <w:rFonts w:hint="cs"/>
                <w:rtl/>
              </w:rPr>
            </w:pPr>
            <w:r>
              <w:rPr>
                <w:rFonts w:hint="cs"/>
                <w:rtl/>
              </w:rPr>
              <w:t>الدخل المتوافر</w:t>
            </w:r>
          </w:p>
          <w:p w:rsidR="00443EC1" w:rsidRDefault="00443EC1">
            <w:pPr>
              <w:spacing w:before="40" w:after="60" w:line="300" w:lineRule="exact"/>
              <w:jc w:val="center"/>
              <w:rPr>
                <w:rFonts w:hint="cs"/>
              </w:rPr>
            </w:pPr>
            <w:r>
              <w:rPr>
                <w:rFonts w:hint="cs"/>
                <w:rtl/>
              </w:rPr>
              <w:t>(يوان)</w:t>
            </w:r>
          </w:p>
        </w:tc>
        <w:tc>
          <w:tcPr>
            <w:tcW w:w="1707" w:type="dxa"/>
            <w:tcBorders>
              <w:bottom w:val="single" w:sz="4" w:space="0" w:color="auto"/>
            </w:tcBorders>
            <w:vAlign w:val="bottom"/>
          </w:tcPr>
          <w:p w:rsidR="00443EC1" w:rsidRDefault="00443EC1">
            <w:pPr>
              <w:spacing w:before="40" w:after="60" w:line="300" w:lineRule="exact"/>
              <w:jc w:val="center"/>
              <w:rPr>
                <w:rFonts w:hint="cs"/>
                <w:rtl/>
              </w:rPr>
            </w:pPr>
            <w:r>
              <w:rPr>
                <w:rFonts w:hint="cs"/>
                <w:rtl/>
              </w:rPr>
              <w:t>مُعامل إنغلس</w:t>
            </w:r>
          </w:p>
          <w:p w:rsidR="00443EC1" w:rsidRDefault="00443EC1">
            <w:pPr>
              <w:spacing w:before="40" w:after="60" w:line="300" w:lineRule="exact"/>
              <w:jc w:val="center"/>
              <w:rPr>
                <w:rFonts w:hint="cs"/>
              </w:rPr>
            </w:pPr>
            <w:r>
              <w:rPr>
                <w:rFonts w:hint="cs"/>
                <w:rtl/>
              </w:rPr>
              <w:t>(نسبة مئوية)</w:t>
            </w:r>
          </w:p>
        </w:tc>
        <w:tc>
          <w:tcPr>
            <w:tcW w:w="2660" w:type="dxa"/>
            <w:tcBorders>
              <w:bottom w:val="single" w:sz="4" w:space="0" w:color="auto"/>
            </w:tcBorders>
            <w:vAlign w:val="bottom"/>
          </w:tcPr>
          <w:p w:rsidR="00443EC1" w:rsidRDefault="00443EC1">
            <w:pPr>
              <w:spacing w:before="40" w:after="60" w:line="300" w:lineRule="exact"/>
              <w:jc w:val="center"/>
              <w:rPr>
                <w:rFonts w:hint="cs"/>
                <w:rtl/>
              </w:rPr>
            </w:pPr>
            <w:r>
              <w:rPr>
                <w:rFonts w:hint="cs"/>
                <w:rtl/>
              </w:rPr>
              <w:t>استهلاك الحبوب</w:t>
            </w:r>
          </w:p>
          <w:p w:rsidR="00443EC1" w:rsidRDefault="00443EC1">
            <w:pPr>
              <w:spacing w:before="40" w:after="60" w:line="300" w:lineRule="exact"/>
              <w:jc w:val="center"/>
              <w:rPr>
                <w:rFonts w:hint="cs"/>
              </w:rPr>
            </w:pPr>
            <w:r>
              <w:rPr>
                <w:rFonts w:hint="cs"/>
                <w:rtl/>
              </w:rPr>
              <w:t>(كيلوغرامات/للفرد الواحد)</w:t>
            </w:r>
          </w:p>
        </w:tc>
        <w:tc>
          <w:tcPr>
            <w:tcW w:w="2684" w:type="dxa"/>
            <w:tcBorders>
              <w:bottom w:val="single" w:sz="4" w:space="0" w:color="auto"/>
            </w:tcBorders>
            <w:vAlign w:val="bottom"/>
          </w:tcPr>
          <w:p w:rsidR="00443EC1" w:rsidRDefault="00443EC1">
            <w:pPr>
              <w:spacing w:before="40" w:after="60" w:line="300" w:lineRule="exact"/>
              <w:jc w:val="center"/>
              <w:rPr>
                <w:rFonts w:hint="cs"/>
                <w:rtl/>
              </w:rPr>
            </w:pPr>
            <w:r>
              <w:rPr>
                <w:rFonts w:hint="cs"/>
                <w:rtl/>
              </w:rPr>
              <w:t>استهلاك المنتجات الحيوانية</w:t>
            </w:r>
          </w:p>
          <w:p w:rsidR="00443EC1" w:rsidRDefault="00443EC1">
            <w:pPr>
              <w:spacing w:before="40" w:after="60" w:line="300" w:lineRule="exact"/>
              <w:jc w:val="center"/>
              <w:rPr>
                <w:rFonts w:hint="cs"/>
              </w:rPr>
            </w:pPr>
            <w:r>
              <w:rPr>
                <w:rFonts w:hint="cs"/>
                <w:rtl/>
              </w:rPr>
              <w:t>(كيلوغرامات/للفرد الواحد)</w:t>
            </w:r>
          </w:p>
        </w:tc>
      </w:tr>
      <w:tr w:rsidR="00443EC1" w:rsidTr="00443EC1">
        <w:tblPrEx>
          <w:tblCellMar>
            <w:top w:w="0" w:type="dxa"/>
            <w:bottom w:w="0" w:type="dxa"/>
          </w:tblCellMar>
        </w:tblPrEx>
        <w:trPr>
          <w:jc w:val="center"/>
        </w:trPr>
        <w:tc>
          <w:tcPr>
            <w:tcW w:w="1049" w:type="dxa"/>
            <w:tcBorders>
              <w:bottom w:val="nil"/>
            </w:tcBorders>
          </w:tcPr>
          <w:p w:rsidR="00443EC1" w:rsidRDefault="00443EC1">
            <w:pPr>
              <w:spacing w:before="40" w:after="60" w:line="300" w:lineRule="exact"/>
              <w:jc w:val="center"/>
              <w:rPr>
                <w:rFonts w:hint="cs"/>
              </w:rPr>
            </w:pPr>
            <w:r>
              <w:rPr>
                <w:rFonts w:hint="cs"/>
                <w:rtl/>
              </w:rPr>
              <w:t>1996</w:t>
            </w:r>
          </w:p>
        </w:tc>
        <w:tc>
          <w:tcPr>
            <w:tcW w:w="1470" w:type="dxa"/>
            <w:tcBorders>
              <w:bottom w:val="nil"/>
            </w:tcBorders>
          </w:tcPr>
          <w:p w:rsidR="00443EC1" w:rsidRDefault="00443EC1">
            <w:pPr>
              <w:spacing w:before="40" w:after="60" w:line="300" w:lineRule="exact"/>
              <w:jc w:val="center"/>
              <w:rPr>
                <w:rFonts w:hint="cs"/>
              </w:rPr>
            </w:pPr>
            <w:r>
              <w:rPr>
                <w:rFonts w:hint="cs"/>
                <w:rtl/>
              </w:rPr>
              <w:t>839 4</w:t>
            </w:r>
          </w:p>
        </w:tc>
        <w:tc>
          <w:tcPr>
            <w:tcW w:w="1707" w:type="dxa"/>
            <w:tcBorders>
              <w:bottom w:val="nil"/>
            </w:tcBorders>
          </w:tcPr>
          <w:p w:rsidR="00443EC1" w:rsidRDefault="00443EC1">
            <w:pPr>
              <w:spacing w:before="40" w:after="60" w:line="300" w:lineRule="exact"/>
              <w:jc w:val="center"/>
              <w:rPr>
                <w:rFonts w:hint="cs"/>
              </w:rPr>
            </w:pPr>
            <w:r>
              <w:rPr>
                <w:rFonts w:hint="cs"/>
                <w:rtl/>
              </w:rPr>
              <w:t>48.6</w:t>
            </w:r>
          </w:p>
        </w:tc>
        <w:tc>
          <w:tcPr>
            <w:tcW w:w="2660" w:type="dxa"/>
            <w:tcBorders>
              <w:bottom w:val="nil"/>
            </w:tcBorders>
          </w:tcPr>
          <w:p w:rsidR="00443EC1" w:rsidRDefault="00443EC1">
            <w:pPr>
              <w:spacing w:before="40" w:after="60" w:line="300" w:lineRule="exact"/>
              <w:jc w:val="center"/>
              <w:rPr>
                <w:rFonts w:hint="cs"/>
              </w:rPr>
            </w:pPr>
            <w:r>
              <w:rPr>
                <w:rFonts w:hint="cs"/>
                <w:rtl/>
              </w:rPr>
              <w:t>125</w:t>
            </w:r>
          </w:p>
        </w:tc>
        <w:tc>
          <w:tcPr>
            <w:tcW w:w="2684" w:type="dxa"/>
            <w:tcBorders>
              <w:bottom w:val="nil"/>
            </w:tcBorders>
          </w:tcPr>
          <w:p w:rsidR="00443EC1" w:rsidRDefault="00443EC1">
            <w:pPr>
              <w:spacing w:before="40" w:after="60" w:line="300" w:lineRule="exact"/>
              <w:jc w:val="center"/>
              <w:rPr>
                <w:rFonts w:hint="cs"/>
              </w:rPr>
            </w:pPr>
            <w:r>
              <w:rPr>
                <w:rFonts w:hint="cs"/>
                <w:rtl/>
              </w:rPr>
              <w:t>43.2</w:t>
            </w:r>
          </w:p>
        </w:tc>
      </w:tr>
      <w:tr w:rsidR="00443EC1" w:rsidTr="00443EC1">
        <w:tblPrEx>
          <w:tblCellMar>
            <w:top w:w="0" w:type="dxa"/>
            <w:bottom w:w="0" w:type="dxa"/>
          </w:tblCellMar>
        </w:tblPrEx>
        <w:trPr>
          <w:jc w:val="center"/>
        </w:trPr>
        <w:tc>
          <w:tcPr>
            <w:tcW w:w="1049" w:type="dxa"/>
            <w:tcBorders>
              <w:top w:val="nil"/>
              <w:bottom w:val="nil"/>
            </w:tcBorders>
          </w:tcPr>
          <w:p w:rsidR="00443EC1" w:rsidRDefault="00443EC1">
            <w:pPr>
              <w:spacing w:before="0" w:after="60" w:line="300" w:lineRule="exact"/>
              <w:jc w:val="center"/>
              <w:rPr>
                <w:rFonts w:hint="cs"/>
              </w:rPr>
            </w:pPr>
            <w:r>
              <w:rPr>
                <w:rFonts w:hint="cs"/>
                <w:rtl/>
              </w:rPr>
              <w:t>1997</w:t>
            </w:r>
          </w:p>
        </w:tc>
        <w:tc>
          <w:tcPr>
            <w:tcW w:w="1470" w:type="dxa"/>
            <w:tcBorders>
              <w:top w:val="nil"/>
              <w:bottom w:val="nil"/>
            </w:tcBorders>
          </w:tcPr>
          <w:p w:rsidR="00443EC1" w:rsidRDefault="00443EC1">
            <w:pPr>
              <w:spacing w:before="0" w:after="60" w:line="300" w:lineRule="exact"/>
              <w:jc w:val="center"/>
              <w:rPr>
                <w:rFonts w:hint="cs"/>
              </w:rPr>
            </w:pPr>
            <w:r>
              <w:rPr>
                <w:rFonts w:hint="cs"/>
                <w:rtl/>
              </w:rPr>
              <w:t>160 5</w:t>
            </w:r>
          </w:p>
        </w:tc>
        <w:tc>
          <w:tcPr>
            <w:tcW w:w="1707" w:type="dxa"/>
            <w:tcBorders>
              <w:top w:val="nil"/>
              <w:bottom w:val="nil"/>
            </w:tcBorders>
          </w:tcPr>
          <w:p w:rsidR="00443EC1" w:rsidRDefault="00443EC1">
            <w:pPr>
              <w:spacing w:before="0" w:after="60" w:line="300" w:lineRule="exact"/>
              <w:jc w:val="center"/>
              <w:rPr>
                <w:rFonts w:hint="cs"/>
              </w:rPr>
            </w:pPr>
            <w:r>
              <w:rPr>
                <w:rFonts w:hint="cs"/>
                <w:rtl/>
              </w:rPr>
              <w:t>46.4</w:t>
            </w:r>
          </w:p>
        </w:tc>
        <w:tc>
          <w:tcPr>
            <w:tcW w:w="2660" w:type="dxa"/>
            <w:tcBorders>
              <w:top w:val="nil"/>
              <w:bottom w:val="nil"/>
            </w:tcBorders>
          </w:tcPr>
          <w:p w:rsidR="00443EC1" w:rsidRDefault="00443EC1">
            <w:pPr>
              <w:spacing w:before="0" w:after="60" w:line="300" w:lineRule="exact"/>
              <w:jc w:val="center"/>
              <w:rPr>
                <w:rFonts w:hint="cs"/>
              </w:rPr>
            </w:pPr>
            <w:r>
              <w:rPr>
                <w:rFonts w:hint="cs"/>
                <w:rtl/>
              </w:rPr>
              <w:t>117</w:t>
            </w:r>
          </w:p>
        </w:tc>
        <w:tc>
          <w:tcPr>
            <w:tcW w:w="2684" w:type="dxa"/>
            <w:tcBorders>
              <w:top w:val="nil"/>
              <w:bottom w:val="nil"/>
            </w:tcBorders>
          </w:tcPr>
          <w:p w:rsidR="00443EC1" w:rsidRDefault="00443EC1">
            <w:pPr>
              <w:spacing w:before="0" w:after="60" w:line="300" w:lineRule="exact"/>
              <w:jc w:val="center"/>
              <w:rPr>
                <w:rFonts w:hint="cs"/>
              </w:rPr>
            </w:pPr>
            <w:r>
              <w:rPr>
                <w:rFonts w:hint="cs"/>
                <w:rtl/>
              </w:rPr>
              <w:t>44.4</w:t>
            </w:r>
          </w:p>
        </w:tc>
      </w:tr>
      <w:tr w:rsidR="00443EC1" w:rsidTr="00443EC1">
        <w:tblPrEx>
          <w:tblCellMar>
            <w:top w:w="0" w:type="dxa"/>
            <w:bottom w:w="0" w:type="dxa"/>
          </w:tblCellMar>
        </w:tblPrEx>
        <w:trPr>
          <w:jc w:val="center"/>
        </w:trPr>
        <w:tc>
          <w:tcPr>
            <w:tcW w:w="1049" w:type="dxa"/>
            <w:tcBorders>
              <w:top w:val="nil"/>
              <w:bottom w:val="nil"/>
            </w:tcBorders>
          </w:tcPr>
          <w:p w:rsidR="00443EC1" w:rsidRDefault="00443EC1">
            <w:pPr>
              <w:spacing w:before="0" w:after="60" w:line="300" w:lineRule="exact"/>
              <w:jc w:val="center"/>
              <w:rPr>
                <w:rFonts w:hint="cs"/>
                <w:rtl/>
              </w:rPr>
            </w:pPr>
            <w:r>
              <w:rPr>
                <w:rFonts w:hint="cs"/>
                <w:rtl/>
              </w:rPr>
              <w:t>1998</w:t>
            </w:r>
          </w:p>
        </w:tc>
        <w:tc>
          <w:tcPr>
            <w:tcW w:w="1470" w:type="dxa"/>
            <w:tcBorders>
              <w:top w:val="nil"/>
              <w:bottom w:val="nil"/>
            </w:tcBorders>
          </w:tcPr>
          <w:p w:rsidR="00443EC1" w:rsidRDefault="00443EC1">
            <w:pPr>
              <w:spacing w:before="0" w:after="60" w:line="300" w:lineRule="exact"/>
              <w:jc w:val="center"/>
              <w:rPr>
                <w:rFonts w:hint="cs"/>
                <w:rtl/>
              </w:rPr>
            </w:pPr>
            <w:r>
              <w:rPr>
                <w:rFonts w:hint="cs"/>
                <w:rtl/>
              </w:rPr>
              <w:t>425 5</w:t>
            </w:r>
          </w:p>
        </w:tc>
        <w:tc>
          <w:tcPr>
            <w:tcW w:w="1707" w:type="dxa"/>
            <w:tcBorders>
              <w:top w:val="nil"/>
              <w:bottom w:val="nil"/>
            </w:tcBorders>
          </w:tcPr>
          <w:p w:rsidR="00443EC1" w:rsidRDefault="00443EC1">
            <w:pPr>
              <w:spacing w:before="0" w:after="60" w:line="300" w:lineRule="exact"/>
              <w:jc w:val="center"/>
              <w:rPr>
                <w:rFonts w:hint="cs"/>
                <w:rtl/>
              </w:rPr>
            </w:pPr>
            <w:r>
              <w:rPr>
                <w:rFonts w:hint="cs"/>
                <w:rtl/>
              </w:rPr>
              <w:t>44.5</w:t>
            </w:r>
          </w:p>
        </w:tc>
        <w:tc>
          <w:tcPr>
            <w:tcW w:w="2660" w:type="dxa"/>
            <w:tcBorders>
              <w:top w:val="nil"/>
              <w:bottom w:val="nil"/>
            </w:tcBorders>
          </w:tcPr>
          <w:p w:rsidR="00443EC1" w:rsidRDefault="00443EC1">
            <w:pPr>
              <w:spacing w:before="0" w:after="60" w:line="300" w:lineRule="exact"/>
              <w:jc w:val="center"/>
              <w:rPr>
                <w:rFonts w:hint="cs"/>
                <w:rtl/>
              </w:rPr>
            </w:pPr>
            <w:r>
              <w:rPr>
                <w:rFonts w:hint="cs"/>
                <w:rtl/>
              </w:rPr>
              <w:t>114</w:t>
            </w:r>
          </w:p>
        </w:tc>
        <w:tc>
          <w:tcPr>
            <w:tcW w:w="2684" w:type="dxa"/>
            <w:tcBorders>
              <w:top w:val="nil"/>
              <w:bottom w:val="nil"/>
            </w:tcBorders>
          </w:tcPr>
          <w:p w:rsidR="00443EC1" w:rsidRDefault="00443EC1">
            <w:pPr>
              <w:spacing w:before="0" w:after="60" w:line="300" w:lineRule="exact"/>
              <w:jc w:val="center"/>
              <w:rPr>
                <w:rFonts w:hint="cs"/>
                <w:rtl/>
              </w:rPr>
            </w:pPr>
            <w:r>
              <w:rPr>
                <w:rFonts w:hint="cs"/>
                <w:rtl/>
              </w:rPr>
              <w:t>44.5</w:t>
            </w:r>
          </w:p>
        </w:tc>
      </w:tr>
      <w:tr w:rsidR="00443EC1" w:rsidTr="00443EC1">
        <w:tblPrEx>
          <w:tblCellMar>
            <w:top w:w="0" w:type="dxa"/>
            <w:bottom w:w="0" w:type="dxa"/>
          </w:tblCellMar>
        </w:tblPrEx>
        <w:trPr>
          <w:jc w:val="center"/>
        </w:trPr>
        <w:tc>
          <w:tcPr>
            <w:tcW w:w="1049" w:type="dxa"/>
            <w:tcBorders>
              <w:top w:val="nil"/>
              <w:bottom w:val="nil"/>
            </w:tcBorders>
          </w:tcPr>
          <w:p w:rsidR="00443EC1" w:rsidRDefault="00443EC1">
            <w:pPr>
              <w:spacing w:before="0" w:after="60" w:line="300" w:lineRule="exact"/>
              <w:jc w:val="center"/>
              <w:rPr>
                <w:rFonts w:hint="cs"/>
                <w:rtl/>
              </w:rPr>
            </w:pPr>
            <w:r>
              <w:rPr>
                <w:rFonts w:hint="cs"/>
                <w:rtl/>
              </w:rPr>
              <w:t>1999</w:t>
            </w:r>
          </w:p>
        </w:tc>
        <w:tc>
          <w:tcPr>
            <w:tcW w:w="1470" w:type="dxa"/>
            <w:tcBorders>
              <w:top w:val="nil"/>
              <w:bottom w:val="nil"/>
            </w:tcBorders>
          </w:tcPr>
          <w:p w:rsidR="00443EC1" w:rsidRDefault="00443EC1">
            <w:pPr>
              <w:spacing w:before="0" w:after="60" w:line="300" w:lineRule="exact"/>
              <w:jc w:val="center"/>
              <w:rPr>
                <w:rFonts w:hint="cs"/>
                <w:rtl/>
              </w:rPr>
            </w:pPr>
            <w:r>
              <w:rPr>
                <w:rFonts w:hint="cs"/>
                <w:rtl/>
              </w:rPr>
              <w:t>854 5</w:t>
            </w:r>
          </w:p>
        </w:tc>
        <w:tc>
          <w:tcPr>
            <w:tcW w:w="1707" w:type="dxa"/>
            <w:tcBorders>
              <w:top w:val="nil"/>
              <w:bottom w:val="nil"/>
            </w:tcBorders>
          </w:tcPr>
          <w:p w:rsidR="00443EC1" w:rsidRDefault="00443EC1">
            <w:pPr>
              <w:spacing w:before="0" w:after="60" w:line="300" w:lineRule="exact"/>
              <w:jc w:val="center"/>
              <w:rPr>
                <w:rFonts w:hint="cs"/>
                <w:rtl/>
              </w:rPr>
            </w:pPr>
            <w:r>
              <w:rPr>
                <w:rFonts w:hint="cs"/>
                <w:rtl/>
              </w:rPr>
              <w:t>41.9</w:t>
            </w:r>
          </w:p>
        </w:tc>
        <w:tc>
          <w:tcPr>
            <w:tcW w:w="2660" w:type="dxa"/>
            <w:tcBorders>
              <w:top w:val="nil"/>
              <w:bottom w:val="nil"/>
            </w:tcBorders>
          </w:tcPr>
          <w:p w:rsidR="00443EC1" w:rsidRDefault="00443EC1">
            <w:pPr>
              <w:spacing w:before="0" w:after="60" w:line="300" w:lineRule="exact"/>
              <w:jc w:val="center"/>
              <w:rPr>
                <w:rFonts w:hint="cs"/>
                <w:rtl/>
              </w:rPr>
            </w:pPr>
            <w:r>
              <w:rPr>
                <w:rFonts w:hint="cs"/>
                <w:rtl/>
              </w:rPr>
              <w:t>112</w:t>
            </w:r>
          </w:p>
        </w:tc>
        <w:tc>
          <w:tcPr>
            <w:tcW w:w="2684" w:type="dxa"/>
            <w:tcBorders>
              <w:top w:val="nil"/>
              <w:bottom w:val="nil"/>
            </w:tcBorders>
          </w:tcPr>
          <w:p w:rsidR="00443EC1" w:rsidRDefault="00443EC1">
            <w:pPr>
              <w:spacing w:before="0" w:after="60" w:line="300" w:lineRule="exact"/>
              <w:jc w:val="center"/>
              <w:rPr>
                <w:rFonts w:hint="cs"/>
                <w:rtl/>
              </w:rPr>
            </w:pPr>
            <w:r>
              <w:rPr>
                <w:rFonts w:hint="cs"/>
                <w:rtl/>
              </w:rPr>
              <w:t>46.8</w:t>
            </w:r>
          </w:p>
        </w:tc>
      </w:tr>
      <w:tr w:rsidR="00443EC1" w:rsidTr="00443EC1">
        <w:tblPrEx>
          <w:tblCellMar>
            <w:top w:w="0" w:type="dxa"/>
            <w:bottom w:w="0" w:type="dxa"/>
          </w:tblCellMar>
        </w:tblPrEx>
        <w:trPr>
          <w:jc w:val="center"/>
        </w:trPr>
        <w:tc>
          <w:tcPr>
            <w:tcW w:w="1049" w:type="dxa"/>
            <w:tcBorders>
              <w:top w:val="nil"/>
            </w:tcBorders>
          </w:tcPr>
          <w:p w:rsidR="00443EC1" w:rsidRDefault="00443EC1">
            <w:pPr>
              <w:spacing w:before="0" w:after="60" w:line="300" w:lineRule="exact"/>
              <w:jc w:val="center"/>
              <w:rPr>
                <w:rFonts w:hint="cs"/>
                <w:rtl/>
              </w:rPr>
            </w:pPr>
            <w:r>
              <w:rPr>
                <w:rFonts w:hint="cs"/>
                <w:rtl/>
              </w:rPr>
              <w:t>2000</w:t>
            </w:r>
          </w:p>
        </w:tc>
        <w:tc>
          <w:tcPr>
            <w:tcW w:w="1470" w:type="dxa"/>
            <w:tcBorders>
              <w:top w:val="nil"/>
            </w:tcBorders>
          </w:tcPr>
          <w:p w:rsidR="00443EC1" w:rsidRDefault="00443EC1">
            <w:pPr>
              <w:spacing w:before="0" w:after="60" w:line="300" w:lineRule="exact"/>
              <w:jc w:val="center"/>
              <w:rPr>
                <w:rFonts w:hint="cs"/>
                <w:rtl/>
              </w:rPr>
            </w:pPr>
            <w:r>
              <w:rPr>
                <w:rFonts w:hint="cs"/>
                <w:rtl/>
              </w:rPr>
              <w:t>280 6</w:t>
            </w:r>
          </w:p>
        </w:tc>
        <w:tc>
          <w:tcPr>
            <w:tcW w:w="1707" w:type="dxa"/>
            <w:tcBorders>
              <w:top w:val="nil"/>
            </w:tcBorders>
          </w:tcPr>
          <w:p w:rsidR="00443EC1" w:rsidRDefault="00443EC1">
            <w:pPr>
              <w:spacing w:before="0" w:after="60" w:line="300" w:lineRule="exact"/>
              <w:jc w:val="center"/>
              <w:rPr>
                <w:rFonts w:hint="cs"/>
                <w:rtl/>
              </w:rPr>
            </w:pPr>
            <w:r>
              <w:rPr>
                <w:rFonts w:hint="cs"/>
                <w:rtl/>
              </w:rPr>
              <w:t>39.2</w:t>
            </w:r>
          </w:p>
        </w:tc>
        <w:tc>
          <w:tcPr>
            <w:tcW w:w="2660" w:type="dxa"/>
            <w:tcBorders>
              <w:top w:val="nil"/>
            </w:tcBorders>
          </w:tcPr>
          <w:p w:rsidR="00443EC1" w:rsidRDefault="00443EC1">
            <w:pPr>
              <w:spacing w:before="0" w:after="60" w:line="300" w:lineRule="exact"/>
              <w:jc w:val="center"/>
              <w:rPr>
                <w:rFonts w:hint="cs"/>
                <w:rtl/>
              </w:rPr>
            </w:pPr>
            <w:r>
              <w:rPr>
                <w:rFonts w:hint="cs"/>
                <w:rtl/>
              </w:rPr>
              <w:t>108</w:t>
            </w:r>
          </w:p>
        </w:tc>
        <w:tc>
          <w:tcPr>
            <w:tcW w:w="2684" w:type="dxa"/>
            <w:tcBorders>
              <w:top w:val="nil"/>
            </w:tcBorders>
          </w:tcPr>
          <w:p w:rsidR="00443EC1" w:rsidRDefault="00443EC1">
            <w:pPr>
              <w:spacing w:before="0" w:after="60" w:line="300" w:lineRule="exact"/>
              <w:jc w:val="center"/>
              <w:rPr>
                <w:rFonts w:hint="cs"/>
                <w:rtl/>
              </w:rPr>
            </w:pPr>
            <w:r>
              <w:rPr>
                <w:rFonts w:hint="cs"/>
                <w:rtl/>
              </w:rPr>
              <w:t>46.6</w:t>
            </w:r>
          </w:p>
        </w:tc>
      </w:tr>
    </w:tbl>
    <w:p w:rsidR="00000000" w:rsidRDefault="00443EC1">
      <w:pPr>
        <w:spacing w:line="360" w:lineRule="exact"/>
        <w:jc w:val="both"/>
        <w:rPr>
          <w:rFonts w:hint="cs"/>
          <w:rtl/>
        </w:rPr>
      </w:pPr>
      <w:r>
        <w:rPr>
          <w:rFonts w:hint="cs"/>
          <w:b/>
          <w:i/>
          <w:iCs/>
          <w:rtl/>
        </w:rPr>
        <w:tab/>
        <w:t>المصدر:</w:t>
      </w:r>
      <w:r>
        <w:rPr>
          <w:rFonts w:hint="cs"/>
          <w:b/>
          <w:i/>
          <w:iCs/>
          <w:rtl/>
        </w:rPr>
        <w:tab/>
        <w:t>الحولية الإحصائية الوطنية الصينية</w:t>
      </w:r>
      <w:r>
        <w:rPr>
          <w:rFonts w:hint="cs"/>
          <w:b/>
          <w:rtl/>
        </w:rPr>
        <w:t>، 1996-2001.</w:t>
      </w:r>
    </w:p>
    <w:p w:rsidR="00000000" w:rsidRDefault="00443EC1">
      <w:pPr>
        <w:spacing w:line="360" w:lineRule="exact"/>
        <w:jc w:val="center"/>
        <w:rPr>
          <w:rFonts w:hint="cs"/>
          <w:b/>
          <w:bCs/>
          <w:rtl/>
        </w:rPr>
      </w:pPr>
      <w:r>
        <w:rPr>
          <w:rFonts w:hint="cs"/>
          <w:b/>
          <w:bCs/>
          <w:rtl/>
        </w:rPr>
        <w:t>الجدول 7</w:t>
      </w:r>
    </w:p>
    <w:p w:rsidR="00000000" w:rsidRDefault="00443EC1">
      <w:pPr>
        <w:spacing w:line="360" w:lineRule="exact"/>
        <w:jc w:val="center"/>
        <w:rPr>
          <w:rFonts w:hint="cs"/>
          <w:b/>
          <w:bCs/>
          <w:rtl/>
        </w:rPr>
      </w:pPr>
      <w:r>
        <w:rPr>
          <w:rFonts w:hint="cs"/>
          <w:b/>
          <w:bCs/>
          <w:rtl/>
        </w:rPr>
        <w:t>الدخل والاستهلاك الغذائي في الأرياف، 1995-2000</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17"/>
        <w:gridCol w:w="1517"/>
        <w:gridCol w:w="1367"/>
        <w:gridCol w:w="1367"/>
        <w:gridCol w:w="1367"/>
        <w:gridCol w:w="1367"/>
        <w:gridCol w:w="1368"/>
      </w:tblGrid>
      <w:tr w:rsidR="00443EC1" w:rsidTr="00443EC1">
        <w:tblPrEx>
          <w:tblCellMar>
            <w:top w:w="0" w:type="dxa"/>
            <w:bottom w:w="0" w:type="dxa"/>
          </w:tblCellMar>
        </w:tblPrEx>
        <w:trPr>
          <w:cantSplit/>
          <w:jc w:val="center"/>
        </w:trPr>
        <w:tc>
          <w:tcPr>
            <w:tcW w:w="1217" w:type="dxa"/>
            <w:vMerge w:val="restart"/>
            <w:vAlign w:val="bottom"/>
          </w:tcPr>
          <w:p w:rsidR="00443EC1" w:rsidRDefault="00443EC1">
            <w:pPr>
              <w:spacing w:before="40" w:after="60" w:line="300" w:lineRule="exact"/>
              <w:jc w:val="center"/>
              <w:rPr>
                <w:rFonts w:hint="cs"/>
                <w:b/>
              </w:rPr>
            </w:pPr>
            <w:r>
              <w:rPr>
                <w:rFonts w:hint="cs"/>
                <w:b/>
                <w:rtl/>
              </w:rPr>
              <w:t>السنة</w:t>
            </w:r>
          </w:p>
        </w:tc>
        <w:tc>
          <w:tcPr>
            <w:tcW w:w="1517" w:type="dxa"/>
            <w:vMerge w:val="restart"/>
            <w:vAlign w:val="bottom"/>
          </w:tcPr>
          <w:p w:rsidR="00443EC1" w:rsidRDefault="00443EC1">
            <w:pPr>
              <w:spacing w:before="40" w:after="60" w:line="300" w:lineRule="exact"/>
              <w:jc w:val="center"/>
              <w:rPr>
                <w:rFonts w:hint="cs"/>
                <w:b/>
                <w:spacing w:val="0"/>
                <w:sz w:val="30"/>
                <w:rtl/>
              </w:rPr>
            </w:pPr>
            <w:r>
              <w:rPr>
                <w:rFonts w:hint="cs"/>
                <w:b/>
                <w:spacing w:val="0"/>
                <w:sz w:val="30"/>
                <w:rtl/>
              </w:rPr>
              <w:t>صافي دخل الفرد</w:t>
            </w:r>
          </w:p>
          <w:p w:rsidR="00443EC1" w:rsidRDefault="00443EC1">
            <w:pPr>
              <w:spacing w:before="40" w:after="60" w:line="300" w:lineRule="exact"/>
              <w:jc w:val="center"/>
              <w:rPr>
                <w:rFonts w:hint="cs"/>
                <w:b/>
                <w:szCs w:val="24"/>
              </w:rPr>
            </w:pPr>
            <w:r>
              <w:rPr>
                <w:rFonts w:hint="cs"/>
                <w:b/>
                <w:sz w:val="30"/>
                <w:rtl/>
              </w:rPr>
              <w:t>(يوان)</w:t>
            </w:r>
          </w:p>
        </w:tc>
        <w:tc>
          <w:tcPr>
            <w:tcW w:w="6836" w:type="dxa"/>
            <w:gridSpan w:val="5"/>
            <w:vAlign w:val="bottom"/>
          </w:tcPr>
          <w:p w:rsidR="00443EC1" w:rsidRDefault="00443EC1">
            <w:pPr>
              <w:spacing w:before="40" w:after="60" w:line="300" w:lineRule="exact"/>
              <w:jc w:val="center"/>
              <w:rPr>
                <w:rFonts w:hint="cs"/>
                <w:b/>
              </w:rPr>
            </w:pPr>
            <w:r>
              <w:rPr>
                <w:rFonts w:hint="cs"/>
                <w:b/>
                <w:rtl/>
              </w:rPr>
              <w:t>استهلاك المواد الغذائية (بالكيلوغرامات للفرد الواحد)</w:t>
            </w:r>
          </w:p>
        </w:tc>
      </w:tr>
      <w:tr w:rsidR="00443EC1" w:rsidTr="00443EC1">
        <w:tblPrEx>
          <w:tblCellMar>
            <w:top w:w="0" w:type="dxa"/>
            <w:bottom w:w="0" w:type="dxa"/>
          </w:tblCellMar>
        </w:tblPrEx>
        <w:trPr>
          <w:cantSplit/>
          <w:jc w:val="center"/>
        </w:trPr>
        <w:tc>
          <w:tcPr>
            <w:tcW w:w="1217" w:type="dxa"/>
            <w:vMerge/>
            <w:tcBorders>
              <w:bottom w:val="single" w:sz="4" w:space="0" w:color="auto"/>
            </w:tcBorders>
            <w:vAlign w:val="bottom"/>
          </w:tcPr>
          <w:p w:rsidR="00443EC1" w:rsidRDefault="00443EC1">
            <w:pPr>
              <w:spacing w:before="40" w:after="60" w:line="300" w:lineRule="exact"/>
              <w:jc w:val="center"/>
              <w:rPr>
                <w:rFonts w:hint="cs"/>
                <w:b/>
              </w:rPr>
            </w:pPr>
          </w:p>
        </w:tc>
        <w:tc>
          <w:tcPr>
            <w:tcW w:w="1517" w:type="dxa"/>
            <w:vMerge/>
            <w:tcBorders>
              <w:bottom w:val="single" w:sz="4" w:space="0" w:color="auto"/>
            </w:tcBorders>
            <w:vAlign w:val="bottom"/>
          </w:tcPr>
          <w:p w:rsidR="00443EC1" w:rsidRDefault="00443EC1">
            <w:pPr>
              <w:spacing w:before="40" w:after="60" w:line="300" w:lineRule="exact"/>
              <w:jc w:val="center"/>
              <w:rPr>
                <w:rFonts w:hint="cs"/>
                <w:b/>
              </w:rPr>
            </w:pPr>
          </w:p>
        </w:tc>
        <w:tc>
          <w:tcPr>
            <w:tcW w:w="1367" w:type="dxa"/>
            <w:tcBorders>
              <w:bottom w:val="single" w:sz="4" w:space="0" w:color="auto"/>
            </w:tcBorders>
            <w:vAlign w:val="bottom"/>
          </w:tcPr>
          <w:p w:rsidR="00443EC1" w:rsidRDefault="00443EC1">
            <w:pPr>
              <w:spacing w:before="40" w:after="60" w:line="300" w:lineRule="exact"/>
              <w:jc w:val="center"/>
              <w:rPr>
                <w:rFonts w:hint="cs"/>
                <w:b/>
              </w:rPr>
            </w:pPr>
            <w:r>
              <w:rPr>
                <w:rFonts w:hint="cs"/>
                <w:b/>
                <w:rtl/>
              </w:rPr>
              <w:t>الحبوب</w:t>
            </w:r>
          </w:p>
        </w:tc>
        <w:tc>
          <w:tcPr>
            <w:tcW w:w="1367" w:type="dxa"/>
            <w:tcBorders>
              <w:bottom w:val="single" w:sz="4" w:space="0" w:color="auto"/>
            </w:tcBorders>
            <w:vAlign w:val="bottom"/>
          </w:tcPr>
          <w:p w:rsidR="00443EC1" w:rsidRDefault="00443EC1">
            <w:pPr>
              <w:spacing w:before="40" w:after="60" w:line="300" w:lineRule="exact"/>
              <w:jc w:val="center"/>
              <w:rPr>
                <w:rFonts w:hint="cs"/>
                <w:b/>
              </w:rPr>
            </w:pPr>
            <w:r>
              <w:rPr>
                <w:rFonts w:hint="cs"/>
                <w:b/>
                <w:rtl/>
              </w:rPr>
              <w:t>الزيت</w:t>
            </w:r>
          </w:p>
        </w:tc>
        <w:tc>
          <w:tcPr>
            <w:tcW w:w="1367" w:type="dxa"/>
            <w:tcBorders>
              <w:bottom w:val="single" w:sz="4" w:space="0" w:color="auto"/>
            </w:tcBorders>
            <w:vAlign w:val="bottom"/>
          </w:tcPr>
          <w:p w:rsidR="00443EC1" w:rsidRDefault="00443EC1">
            <w:pPr>
              <w:spacing w:before="40" w:after="60" w:line="300" w:lineRule="exact"/>
              <w:jc w:val="center"/>
              <w:rPr>
                <w:rFonts w:hint="cs"/>
                <w:b/>
              </w:rPr>
            </w:pPr>
            <w:r>
              <w:rPr>
                <w:rFonts w:hint="cs"/>
                <w:b/>
                <w:rtl/>
              </w:rPr>
              <w:t>الخضار</w:t>
            </w:r>
          </w:p>
        </w:tc>
        <w:tc>
          <w:tcPr>
            <w:tcW w:w="1367" w:type="dxa"/>
            <w:tcBorders>
              <w:bottom w:val="single" w:sz="4" w:space="0" w:color="auto"/>
            </w:tcBorders>
            <w:vAlign w:val="bottom"/>
          </w:tcPr>
          <w:p w:rsidR="00443EC1" w:rsidRDefault="00443EC1">
            <w:pPr>
              <w:spacing w:before="40" w:after="60" w:line="300" w:lineRule="exact"/>
              <w:jc w:val="center"/>
              <w:rPr>
                <w:rFonts w:hint="cs"/>
                <w:b/>
              </w:rPr>
            </w:pPr>
            <w:r>
              <w:rPr>
                <w:rFonts w:hint="cs"/>
                <w:b/>
                <w:rtl/>
              </w:rPr>
              <w:t>اللحوم</w:t>
            </w:r>
          </w:p>
        </w:tc>
        <w:tc>
          <w:tcPr>
            <w:tcW w:w="1368" w:type="dxa"/>
            <w:tcBorders>
              <w:bottom w:val="single" w:sz="4" w:space="0" w:color="auto"/>
            </w:tcBorders>
            <w:vAlign w:val="bottom"/>
          </w:tcPr>
          <w:p w:rsidR="00443EC1" w:rsidRDefault="00443EC1">
            <w:pPr>
              <w:spacing w:before="40" w:after="60" w:line="300" w:lineRule="exact"/>
              <w:jc w:val="center"/>
              <w:rPr>
                <w:rFonts w:hint="cs"/>
                <w:b/>
              </w:rPr>
            </w:pPr>
            <w:r>
              <w:rPr>
                <w:rFonts w:hint="cs"/>
                <w:b/>
                <w:rtl/>
              </w:rPr>
              <w:t>البيض</w:t>
            </w:r>
          </w:p>
        </w:tc>
      </w:tr>
      <w:tr w:rsidR="00443EC1" w:rsidTr="00443EC1">
        <w:tblPrEx>
          <w:tblCellMar>
            <w:top w:w="0" w:type="dxa"/>
            <w:bottom w:w="0" w:type="dxa"/>
          </w:tblCellMar>
        </w:tblPrEx>
        <w:trPr>
          <w:jc w:val="center"/>
        </w:trPr>
        <w:tc>
          <w:tcPr>
            <w:tcW w:w="1217" w:type="dxa"/>
            <w:tcBorders>
              <w:bottom w:val="nil"/>
            </w:tcBorders>
          </w:tcPr>
          <w:p w:rsidR="00443EC1" w:rsidRDefault="00443EC1">
            <w:pPr>
              <w:spacing w:before="40" w:after="60" w:line="300" w:lineRule="exact"/>
              <w:jc w:val="center"/>
              <w:rPr>
                <w:rFonts w:hint="cs"/>
                <w:b/>
              </w:rPr>
            </w:pPr>
            <w:r>
              <w:rPr>
                <w:rFonts w:hint="cs"/>
                <w:b/>
                <w:rtl/>
              </w:rPr>
              <w:t>1995</w:t>
            </w:r>
          </w:p>
        </w:tc>
        <w:tc>
          <w:tcPr>
            <w:tcW w:w="1517" w:type="dxa"/>
            <w:tcBorders>
              <w:bottom w:val="nil"/>
            </w:tcBorders>
          </w:tcPr>
          <w:p w:rsidR="00443EC1" w:rsidRDefault="00443EC1">
            <w:pPr>
              <w:tabs>
                <w:tab w:val="decimal" w:pos="410"/>
              </w:tabs>
              <w:spacing w:before="40" w:after="60" w:line="300" w:lineRule="exact"/>
              <w:jc w:val="both"/>
              <w:rPr>
                <w:rFonts w:hint="cs"/>
                <w:b/>
              </w:rPr>
            </w:pPr>
            <w:r>
              <w:rPr>
                <w:rFonts w:hint="cs"/>
                <w:b/>
                <w:rtl/>
              </w:rPr>
              <w:t>577.74 1</w:t>
            </w:r>
          </w:p>
        </w:tc>
        <w:tc>
          <w:tcPr>
            <w:tcW w:w="1367" w:type="dxa"/>
            <w:tcBorders>
              <w:bottom w:val="nil"/>
            </w:tcBorders>
          </w:tcPr>
          <w:p w:rsidR="00443EC1" w:rsidRDefault="00443EC1">
            <w:pPr>
              <w:tabs>
                <w:tab w:val="decimal" w:pos="573"/>
              </w:tabs>
              <w:spacing w:before="40" w:after="60" w:line="300" w:lineRule="exact"/>
              <w:jc w:val="both"/>
              <w:rPr>
                <w:rFonts w:hint="cs"/>
                <w:b/>
              </w:rPr>
            </w:pPr>
            <w:r>
              <w:rPr>
                <w:rFonts w:hint="cs"/>
                <w:b/>
                <w:rtl/>
              </w:rPr>
              <w:t>258.92</w:t>
            </w:r>
          </w:p>
        </w:tc>
        <w:tc>
          <w:tcPr>
            <w:tcW w:w="1367" w:type="dxa"/>
            <w:tcBorders>
              <w:bottom w:val="nil"/>
            </w:tcBorders>
          </w:tcPr>
          <w:p w:rsidR="00443EC1" w:rsidRDefault="00443EC1">
            <w:pPr>
              <w:tabs>
                <w:tab w:val="decimal" w:pos="647"/>
              </w:tabs>
              <w:spacing w:before="40" w:after="60" w:line="300" w:lineRule="exact"/>
              <w:jc w:val="both"/>
              <w:rPr>
                <w:rFonts w:hint="cs"/>
                <w:b/>
              </w:rPr>
            </w:pPr>
            <w:r>
              <w:rPr>
                <w:rFonts w:hint="cs"/>
                <w:b/>
                <w:rtl/>
              </w:rPr>
              <w:t>5.80</w:t>
            </w:r>
          </w:p>
        </w:tc>
        <w:tc>
          <w:tcPr>
            <w:tcW w:w="1367" w:type="dxa"/>
            <w:tcBorders>
              <w:bottom w:val="nil"/>
            </w:tcBorders>
          </w:tcPr>
          <w:p w:rsidR="00443EC1" w:rsidRDefault="00443EC1">
            <w:pPr>
              <w:tabs>
                <w:tab w:val="decimal" w:pos="540"/>
              </w:tabs>
              <w:spacing w:before="40" w:after="60" w:line="300" w:lineRule="exact"/>
              <w:jc w:val="both"/>
              <w:rPr>
                <w:rFonts w:hint="cs"/>
                <w:b/>
              </w:rPr>
            </w:pPr>
            <w:r>
              <w:rPr>
                <w:rFonts w:hint="cs"/>
                <w:b/>
                <w:rtl/>
              </w:rPr>
              <w:t>104.62</w:t>
            </w:r>
          </w:p>
        </w:tc>
        <w:tc>
          <w:tcPr>
            <w:tcW w:w="1367" w:type="dxa"/>
            <w:tcBorders>
              <w:bottom w:val="nil"/>
            </w:tcBorders>
          </w:tcPr>
          <w:p w:rsidR="00443EC1" w:rsidRDefault="00443EC1">
            <w:pPr>
              <w:tabs>
                <w:tab w:val="decimal" w:pos="629"/>
              </w:tabs>
              <w:spacing w:before="40" w:after="60" w:line="300" w:lineRule="exact"/>
              <w:jc w:val="both"/>
              <w:rPr>
                <w:rFonts w:hint="cs"/>
                <w:b/>
              </w:rPr>
            </w:pPr>
            <w:r>
              <w:rPr>
                <w:rFonts w:hint="cs"/>
                <w:b/>
                <w:rtl/>
              </w:rPr>
              <w:t>13.12</w:t>
            </w:r>
          </w:p>
        </w:tc>
        <w:tc>
          <w:tcPr>
            <w:tcW w:w="1368" w:type="dxa"/>
            <w:tcBorders>
              <w:bottom w:val="nil"/>
            </w:tcBorders>
          </w:tcPr>
          <w:p w:rsidR="00443EC1" w:rsidRDefault="00443EC1">
            <w:pPr>
              <w:tabs>
                <w:tab w:val="decimal" w:pos="648"/>
              </w:tabs>
              <w:spacing w:before="40" w:after="60" w:line="300" w:lineRule="exact"/>
              <w:jc w:val="both"/>
              <w:rPr>
                <w:rFonts w:hint="cs"/>
                <w:b/>
              </w:rPr>
            </w:pPr>
            <w:r>
              <w:rPr>
                <w:rFonts w:hint="cs"/>
                <w:b/>
                <w:rtl/>
              </w:rPr>
              <w:t>3.22</w:t>
            </w:r>
          </w:p>
        </w:tc>
      </w:tr>
      <w:tr w:rsidR="00443EC1" w:rsidTr="00443EC1">
        <w:tblPrEx>
          <w:tblCellMar>
            <w:top w:w="0" w:type="dxa"/>
            <w:bottom w:w="0" w:type="dxa"/>
          </w:tblCellMar>
        </w:tblPrEx>
        <w:trPr>
          <w:jc w:val="center"/>
        </w:trPr>
        <w:tc>
          <w:tcPr>
            <w:tcW w:w="1217" w:type="dxa"/>
            <w:tcBorders>
              <w:top w:val="nil"/>
              <w:bottom w:val="nil"/>
            </w:tcBorders>
          </w:tcPr>
          <w:p w:rsidR="00443EC1" w:rsidRDefault="00443EC1">
            <w:pPr>
              <w:spacing w:before="0" w:after="60" w:line="300" w:lineRule="exact"/>
              <w:jc w:val="center"/>
              <w:rPr>
                <w:rFonts w:hint="cs"/>
                <w:b/>
              </w:rPr>
            </w:pPr>
            <w:r>
              <w:rPr>
                <w:rFonts w:hint="cs"/>
                <w:b/>
                <w:rtl/>
              </w:rPr>
              <w:t>1996</w:t>
            </w:r>
          </w:p>
        </w:tc>
        <w:tc>
          <w:tcPr>
            <w:tcW w:w="1517" w:type="dxa"/>
            <w:tcBorders>
              <w:top w:val="nil"/>
              <w:bottom w:val="nil"/>
            </w:tcBorders>
          </w:tcPr>
          <w:p w:rsidR="00443EC1" w:rsidRDefault="00443EC1">
            <w:pPr>
              <w:tabs>
                <w:tab w:val="decimal" w:pos="410"/>
              </w:tabs>
              <w:spacing w:before="0" w:after="60" w:line="300" w:lineRule="exact"/>
              <w:jc w:val="both"/>
              <w:rPr>
                <w:rFonts w:hint="cs"/>
                <w:b/>
              </w:rPr>
            </w:pPr>
            <w:r>
              <w:rPr>
                <w:rFonts w:hint="cs"/>
                <w:b/>
                <w:rtl/>
              </w:rPr>
              <w:t>926.1 1</w:t>
            </w:r>
          </w:p>
        </w:tc>
        <w:tc>
          <w:tcPr>
            <w:tcW w:w="1367" w:type="dxa"/>
            <w:tcBorders>
              <w:top w:val="nil"/>
              <w:bottom w:val="nil"/>
            </w:tcBorders>
          </w:tcPr>
          <w:p w:rsidR="00443EC1" w:rsidRDefault="00443EC1">
            <w:pPr>
              <w:tabs>
                <w:tab w:val="decimal" w:pos="573"/>
              </w:tabs>
              <w:spacing w:before="0" w:after="60" w:line="300" w:lineRule="exact"/>
              <w:jc w:val="both"/>
              <w:rPr>
                <w:rFonts w:hint="cs"/>
                <w:b/>
              </w:rPr>
            </w:pPr>
            <w:r>
              <w:rPr>
                <w:rFonts w:hint="cs"/>
                <w:b/>
                <w:rtl/>
              </w:rPr>
              <w:t>256.19</w:t>
            </w:r>
          </w:p>
        </w:tc>
        <w:tc>
          <w:tcPr>
            <w:tcW w:w="1367" w:type="dxa"/>
            <w:tcBorders>
              <w:top w:val="nil"/>
              <w:bottom w:val="nil"/>
            </w:tcBorders>
          </w:tcPr>
          <w:p w:rsidR="00443EC1" w:rsidRDefault="00443EC1">
            <w:pPr>
              <w:tabs>
                <w:tab w:val="decimal" w:pos="647"/>
              </w:tabs>
              <w:spacing w:before="0" w:after="60" w:line="300" w:lineRule="exact"/>
              <w:jc w:val="both"/>
              <w:rPr>
                <w:rFonts w:hint="cs"/>
                <w:b/>
              </w:rPr>
            </w:pPr>
            <w:r>
              <w:rPr>
                <w:rFonts w:hint="cs"/>
                <w:b/>
                <w:rtl/>
              </w:rPr>
              <w:t>6.07</w:t>
            </w:r>
          </w:p>
        </w:tc>
        <w:tc>
          <w:tcPr>
            <w:tcW w:w="1367" w:type="dxa"/>
            <w:tcBorders>
              <w:top w:val="nil"/>
              <w:bottom w:val="nil"/>
            </w:tcBorders>
          </w:tcPr>
          <w:p w:rsidR="00443EC1" w:rsidRDefault="00443EC1">
            <w:pPr>
              <w:tabs>
                <w:tab w:val="decimal" w:pos="540"/>
              </w:tabs>
              <w:spacing w:before="0" w:after="60" w:line="300" w:lineRule="exact"/>
              <w:jc w:val="both"/>
              <w:rPr>
                <w:rFonts w:hint="cs"/>
                <w:b/>
              </w:rPr>
            </w:pPr>
            <w:r>
              <w:rPr>
                <w:rFonts w:hint="cs"/>
                <w:b/>
                <w:rtl/>
              </w:rPr>
              <w:t>106.26</w:t>
            </w:r>
          </w:p>
        </w:tc>
        <w:tc>
          <w:tcPr>
            <w:tcW w:w="1367" w:type="dxa"/>
            <w:tcBorders>
              <w:top w:val="nil"/>
              <w:bottom w:val="nil"/>
            </w:tcBorders>
          </w:tcPr>
          <w:p w:rsidR="00443EC1" w:rsidRDefault="00443EC1">
            <w:pPr>
              <w:tabs>
                <w:tab w:val="decimal" w:pos="629"/>
              </w:tabs>
              <w:spacing w:before="0" w:after="60" w:line="300" w:lineRule="exact"/>
              <w:jc w:val="both"/>
              <w:rPr>
                <w:rFonts w:hint="cs"/>
                <w:b/>
              </w:rPr>
            </w:pPr>
            <w:r>
              <w:rPr>
                <w:rFonts w:hint="cs"/>
                <w:b/>
                <w:rtl/>
              </w:rPr>
              <w:t>14.83</w:t>
            </w:r>
          </w:p>
        </w:tc>
        <w:tc>
          <w:tcPr>
            <w:tcW w:w="1368" w:type="dxa"/>
            <w:tcBorders>
              <w:top w:val="nil"/>
              <w:bottom w:val="nil"/>
            </w:tcBorders>
          </w:tcPr>
          <w:p w:rsidR="00443EC1" w:rsidRDefault="00443EC1">
            <w:pPr>
              <w:tabs>
                <w:tab w:val="decimal" w:pos="648"/>
              </w:tabs>
              <w:spacing w:before="0" w:after="60" w:line="300" w:lineRule="exact"/>
              <w:jc w:val="both"/>
              <w:rPr>
                <w:rFonts w:hint="cs"/>
                <w:b/>
              </w:rPr>
            </w:pPr>
            <w:r>
              <w:rPr>
                <w:rFonts w:hint="cs"/>
                <w:b/>
                <w:rtl/>
              </w:rPr>
              <w:t>3.35</w:t>
            </w:r>
          </w:p>
        </w:tc>
      </w:tr>
      <w:tr w:rsidR="00443EC1" w:rsidTr="00443EC1">
        <w:tblPrEx>
          <w:tblCellMar>
            <w:top w:w="0" w:type="dxa"/>
            <w:bottom w:w="0" w:type="dxa"/>
          </w:tblCellMar>
        </w:tblPrEx>
        <w:trPr>
          <w:jc w:val="center"/>
        </w:trPr>
        <w:tc>
          <w:tcPr>
            <w:tcW w:w="1217" w:type="dxa"/>
            <w:tcBorders>
              <w:top w:val="nil"/>
              <w:bottom w:val="nil"/>
            </w:tcBorders>
          </w:tcPr>
          <w:p w:rsidR="00443EC1" w:rsidRDefault="00443EC1">
            <w:pPr>
              <w:spacing w:before="0" w:after="60" w:line="300" w:lineRule="exact"/>
              <w:jc w:val="center"/>
              <w:rPr>
                <w:rFonts w:hint="cs"/>
                <w:b/>
              </w:rPr>
            </w:pPr>
            <w:r>
              <w:rPr>
                <w:rFonts w:hint="cs"/>
                <w:b/>
                <w:rtl/>
              </w:rPr>
              <w:t>1997</w:t>
            </w:r>
          </w:p>
        </w:tc>
        <w:tc>
          <w:tcPr>
            <w:tcW w:w="1517" w:type="dxa"/>
            <w:tcBorders>
              <w:top w:val="nil"/>
              <w:bottom w:val="nil"/>
            </w:tcBorders>
          </w:tcPr>
          <w:p w:rsidR="00443EC1" w:rsidRDefault="00443EC1">
            <w:pPr>
              <w:tabs>
                <w:tab w:val="decimal" w:pos="410"/>
              </w:tabs>
              <w:spacing w:before="0" w:after="60" w:line="300" w:lineRule="exact"/>
              <w:jc w:val="both"/>
              <w:rPr>
                <w:rFonts w:hint="cs"/>
                <w:b/>
              </w:rPr>
            </w:pPr>
            <w:r>
              <w:rPr>
                <w:rFonts w:hint="cs"/>
                <w:b/>
                <w:rtl/>
              </w:rPr>
              <w:t>090.1 2</w:t>
            </w:r>
          </w:p>
        </w:tc>
        <w:tc>
          <w:tcPr>
            <w:tcW w:w="1367" w:type="dxa"/>
            <w:tcBorders>
              <w:top w:val="nil"/>
              <w:bottom w:val="nil"/>
            </w:tcBorders>
          </w:tcPr>
          <w:p w:rsidR="00443EC1" w:rsidRDefault="00443EC1">
            <w:pPr>
              <w:tabs>
                <w:tab w:val="decimal" w:pos="573"/>
              </w:tabs>
              <w:spacing w:before="0" w:after="60" w:line="300" w:lineRule="exact"/>
              <w:jc w:val="both"/>
              <w:rPr>
                <w:rFonts w:hint="cs"/>
                <w:b/>
              </w:rPr>
            </w:pPr>
            <w:r>
              <w:rPr>
                <w:rFonts w:hint="cs"/>
                <w:b/>
                <w:rtl/>
              </w:rPr>
              <w:t>250.67</w:t>
            </w:r>
          </w:p>
        </w:tc>
        <w:tc>
          <w:tcPr>
            <w:tcW w:w="1367" w:type="dxa"/>
            <w:tcBorders>
              <w:top w:val="nil"/>
              <w:bottom w:val="nil"/>
            </w:tcBorders>
          </w:tcPr>
          <w:p w:rsidR="00443EC1" w:rsidRDefault="00443EC1">
            <w:pPr>
              <w:tabs>
                <w:tab w:val="decimal" w:pos="647"/>
              </w:tabs>
              <w:spacing w:before="0" w:after="60" w:line="300" w:lineRule="exact"/>
              <w:jc w:val="both"/>
              <w:rPr>
                <w:rFonts w:hint="cs"/>
                <w:b/>
              </w:rPr>
            </w:pPr>
            <w:r>
              <w:rPr>
                <w:rFonts w:hint="cs"/>
                <w:b/>
                <w:rtl/>
              </w:rPr>
              <w:t>6.16</w:t>
            </w:r>
          </w:p>
        </w:tc>
        <w:tc>
          <w:tcPr>
            <w:tcW w:w="1367" w:type="dxa"/>
            <w:tcBorders>
              <w:top w:val="nil"/>
              <w:bottom w:val="nil"/>
            </w:tcBorders>
          </w:tcPr>
          <w:p w:rsidR="00443EC1" w:rsidRDefault="00443EC1">
            <w:pPr>
              <w:tabs>
                <w:tab w:val="decimal" w:pos="540"/>
              </w:tabs>
              <w:spacing w:before="0" w:after="60" w:line="300" w:lineRule="exact"/>
              <w:jc w:val="both"/>
              <w:rPr>
                <w:rFonts w:hint="cs"/>
                <w:b/>
              </w:rPr>
            </w:pPr>
            <w:r>
              <w:rPr>
                <w:rFonts w:hint="cs"/>
                <w:b/>
                <w:rtl/>
              </w:rPr>
              <w:t>107.21</w:t>
            </w:r>
          </w:p>
        </w:tc>
        <w:tc>
          <w:tcPr>
            <w:tcW w:w="1367" w:type="dxa"/>
            <w:tcBorders>
              <w:top w:val="nil"/>
              <w:bottom w:val="nil"/>
            </w:tcBorders>
          </w:tcPr>
          <w:p w:rsidR="00443EC1" w:rsidRDefault="00443EC1">
            <w:pPr>
              <w:tabs>
                <w:tab w:val="decimal" w:pos="629"/>
              </w:tabs>
              <w:spacing w:before="0" w:after="60" w:line="300" w:lineRule="exact"/>
              <w:jc w:val="both"/>
              <w:rPr>
                <w:rFonts w:hint="cs"/>
                <w:b/>
              </w:rPr>
            </w:pPr>
            <w:r>
              <w:rPr>
                <w:rFonts w:hint="cs"/>
                <w:b/>
                <w:rtl/>
              </w:rPr>
              <w:t>15.08</w:t>
            </w:r>
          </w:p>
        </w:tc>
        <w:tc>
          <w:tcPr>
            <w:tcW w:w="1368" w:type="dxa"/>
            <w:tcBorders>
              <w:top w:val="nil"/>
              <w:bottom w:val="nil"/>
            </w:tcBorders>
          </w:tcPr>
          <w:p w:rsidR="00443EC1" w:rsidRDefault="00443EC1">
            <w:pPr>
              <w:tabs>
                <w:tab w:val="decimal" w:pos="648"/>
              </w:tabs>
              <w:spacing w:before="0" w:after="60" w:line="300" w:lineRule="exact"/>
              <w:jc w:val="both"/>
              <w:rPr>
                <w:rFonts w:hint="cs"/>
                <w:b/>
              </w:rPr>
            </w:pPr>
            <w:r>
              <w:rPr>
                <w:rFonts w:hint="cs"/>
                <w:b/>
                <w:rtl/>
              </w:rPr>
              <w:t>4.08</w:t>
            </w:r>
          </w:p>
        </w:tc>
      </w:tr>
      <w:tr w:rsidR="00443EC1" w:rsidTr="00443EC1">
        <w:tblPrEx>
          <w:tblCellMar>
            <w:top w:w="0" w:type="dxa"/>
            <w:bottom w:w="0" w:type="dxa"/>
          </w:tblCellMar>
        </w:tblPrEx>
        <w:trPr>
          <w:jc w:val="center"/>
        </w:trPr>
        <w:tc>
          <w:tcPr>
            <w:tcW w:w="1217" w:type="dxa"/>
            <w:tcBorders>
              <w:top w:val="nil"/>
              <w:bottom w:val="nil"/>
            </w:tcBorders>
          </w:tcPr>
          <w:p w:rsidR="00443EC1" w:rsidRDefault="00443EC1">
            <w:pPr>
              <w:spacing w:before="0" w:after="60" w:line="300" w:lineRule="exact"/>
              <w:jc w:val="center"/>
              <w:rPr>
                <w:rFonts w:hint="cs"/>
                <w:b/>
              </w:rPr>
            </w:pPr>
            <w:r>
              <w:rPr>
                <w:rFonts w:hint="cs"/>
                <w:b/>
                <w:rtl/>
              </w:rPr>
              <w:t>1998</w:t>
            </w:r>
          </w:p>
        </w:tc>
        <w:tc>
          <w:tcPr>
            <w:tcW w:w="1517" w:type="dxa"/>
            <w:tcBorders>
              <w:top w:val="nil"/>
              <w:bottom w:val="nil"/>
            </w:tcBorders>
          </w:tcPr>
          <w:p w:rsidR="00443EC1" w:rsidRDefault="00443EC1">
            <w:pPr>
              <w:tabs>
                <w:tab w:val="decimal" w:pos="410"/>
              </w:tabs>
              <w:spacing w:before="0" w:after="60" w:line="300" w:lineRule="exact"/>
              <w:jc w:val="both"/>
              <w:rPr>
                <w:rFonts w:hint="cs"/>
                <w:b/>
              </w:rPr>
            </w:pPr>
            <w:r>
              <w:rPr>
                <w:rFonts w:hint="cs"/>
                <w:b/>
                <w:rtl/>
              </w:rPr>
              <w:t>162.0 2</w:t>
            </w:r>
          </w:p>
        </w:tc>
        <w:tc>
          <w:tcPr>
            <w:tcW w:w="1367" w:type="dxa"/>
            <w:tcBorders>
              <w:top w:val="nil"/>
              <w:bottom w:val="nil"/>
            </w:tcBorders>
          </w:tcPr>
          <w:p w:rsidR="00443EC1" w:rsidRDefault="00443EC1">
            <w:pPr>
              <w:tabs>
                <w:tab w:val="decimal" w:pos="573"/>
              </w:tabs>
              <w:spacing w:before="0" w:after="60" w:line="300" w:lineRule="exact"/>
              <w:jc w:val="both"/>
              <w:rPr>
                <w:rFonts w:hint="cs"/>
                <w:b/>
              </w:rPr>
            </w:pPr>
            <w:r>
              <w:rPr>
                <w:rFonts w:hint="cs"/>
                <w:b/>
                <w:rtl/>
              </w:rPr>
              <w:t>249.3</w:t>
            </w:r>
          </w:p>
        </w:tc>
        <w:tc>
          <w:tcPr>
            <w:tcW w:w="1367" w:type="dxa"/>
            <w:tcBorders>
              <w:top w:val="nil"/>
              <w:bottom w:val="nil"/>
            </w:tcBorders>
          </w:tcPr>
          <w:p w:rsidR="00443EC1" w:rsidRDefault="00443EC1">
            <w:pPr>
              <w:tabs>
                <w:tab w:val="decimal" w:pos="647"/>
              </w:tabs>
              <w:spacing w:before="0" w:after="60" w:line="300" w:lineRule="exact"/>
              <w:jc w:val="both"/>
              <w:rPr>
                <w:rFonts w:hint="cs"/>
                <w:b/>
              </w:rPr>
            </w:pPr>
            <w:r>
              <w:rPr>
                <w:rFonts w:hint="cs"/>
                <w:b/>
                <w:rtl/>
              </w:rPr>
              <w:t>6.13</w:t>
            </w:r>
          </w:p>
        </w:tc>
        <w:tc>
          <w:tcPr>
            <w:tcW w:w="1367" w:type="dxa"/>
            <w:tcBorders>
              <w:top w:val="nil"/>
              <w:bottom w:val="nil"/>
            </w:tcBorders>
          </w:tcPr>
          <w:p w:rsidR="00443EC1" w:rsidRDefault="00443EC1">
            <w:pPr>
              <w:tabs>
                <w:tab w:val="decimal" w:pos="540"/>
              </w:tabs>
              <w:spacing w:before="0" w:after="60" w:line="300" w:lineRule="exact"/>
              <w:jc w:val="both"/>
              <w:rPr>
                <w:rFonts w:hint="cs"/>
                <w:b/>
              </w:rPr>
            </w:pPr>
            <w:r>
              <w:rPr>
                <w:rFonts w:hint="cs"/>
                <w:b/>
                <w:rtl/>
              </w:rPr>
              <w:t>108.96</w:t>
            </w:r>
          </w:p>
        </w:tc>
        <w:tc>
          <w:tcPr>
            <w:tcW w:w="1367" w:type="dxa"/>
            <w:tcBorders>
              <w:top w:val="nil"/>
              <w:bottom w:val="nil"/>
            </w:tcBorders>
          </w:tcPr>
          <w:p w:rsidR="00443EC1" w:rsidRDefault="00443EC1">
            <w:pPr>
              <w:tabs>
                <w:tab w:val="decimal" w:pos="629"/>
              </w:tabs>
              <w:spacing w:before="0" w:after="60" w:line="300" w:lineRule="exact"/>
              <w:jc w:val="both"/>
              <w:rPr>
                <w:rFonts w:hint="cs"/>
                <w:b/>
              </w:rPr>
            </w:pPr>
            <w:r>
              <w:rPr>
                <w:rFonts w:hint="cs"/>
                <w:b/>
                <w:rtl/>
              </w:rPr>
              <w:t>15.53</w:t>
            </w:r>
          </w:p>
        </w:tc>
        <w:tc>
          <w:tcPr>
            <w:tcW w:w="1368" w:type="dxa"/>
            <w:tcBorders>
              <w:top w:val="nil"/>
              <w:bottom w:val="nil"/>
            </w:tcBorders>
          </w:tcPr>
          <w:p w:rsidR="00443EC1" w:rsidRDefault="00443EC1">
            <w:pPr>
              <w:tabs>
                <w:tab w:val="decimal" w:pos="648"/>
              </w:tabs>
              <w:spacing w:before="0" w:after="60" w:line="300" w:lineRule="exact"/>
              <w:jc w:val="both"/>
              <w:rPr>
                <w:rFonts w:hint="cs"/>
                <w:b/>
              </w:rPr>
            </w:pPr>
            <w:r>
              <w:rPr>
                <w:rFonts w:hint="cs"/>
                <w:b/>
                <w:rtl/>
              </w:rPr>
              <w:t>4.11</w:t>
            </w:r>
          </w:p>
        </w:tc>
      </w:tr>
      <w:tr w:rsidR="00443EC1" w:rsidTr="00443EC1">
        <w:tblPrEx>
          <w:tblCellMar>
            <w:top w:w="0" w:type="dxa"/>
            <w:bottom w:w="0" w:type="dxa"/>
          </w:tblCellMar>
        </w:tblPrEx>
        <w:trPr>
          <w:jc w:val="center"/>
        </w:trPr>
        <w:tc>
          <w:tcPr>
            <w:tcW w:w="1217" w:type="dxa"/>
            <w:tcBorders>
              <w:top w:val="nil"/>
              <w:bottom w:val="nil"/>
            </w:tcBorders>
          </w:tcPr>
          <w:p w:rsidR="00443EC1" w:rsidRDefault="00443EC1">
            <w:pPr>
              <w:spacing w:before="0" w:after="60" w:line="300" w:lineRule="exact"/>
              <w:jc w:val="center"/>
              <w:rPr>
                <w:rFonts w:hint="cs"/>
                <w:b/>
              </w:rPr>
            </w:pPr>
            <w:r>
              <w:rPr>
                <w:rFonts w:hint="cs"/>
                <w:b/>
                <w:rtl/>
              </w:rPr>
              <w:t>1999</w:t>
            </w:r>
          </w:p>
        </w:tc>
        <w:tc>
          <w:tcPr>
            <w:tcW w:w="1517" w:type="dxa"/>
            <w:tcBorders>
              <w:top w:val="nil"/>
              <w:bottom w:val="nil"/>
            </w:tcBorders>
          </w:tcPr>
          <w:p w:rsidR="00443EC1" w:rsidRDefault="00443EC1">
            <w:pPr>
              <w:tabs>
                <w:tab w:val="decimal" w:pos="410"/>
              </w:tabs>
              <w:spacing w:before="0" w:after="60" w:line="300" w:lineRule="exact"/>
              <w:jc w:val="both"/>
              <w:rPr>
                <w:rFonts w:hint="cs"/>
                <w:b/>
              </w:rPr>
            </w:pPr>
            <w:r>
              <w:rPr>
                <w:rFonts w:hint="cs"/>
                <w:b/>
                <w:rtl/>
              </w:rPr>
              <w:t>210.3 2</w:t>
            </w:r>
          </w:p>
        </w:tc>
        <w:tc>
          <w:tcPr>
            <w:tcW w:w="1367" w:type="dxa"/>
            <w:tcBorders>
              <w:top w:val="nil"/>
              <w:bottom w:val="nil"/>
            </w:tcBorders>
          </w:tcPr>
          <w:p w:rsidR="00443EC1" w:rsidRDefault="00443EC1">
            <w:pPr>
              <w:tabs>
                <w:tab w:val="decimal" w:pos="573"/>
              </w:tabs>
              <w:spacing w:before="0" w:after="60" w:line="300" w:lineRule="exact"/>
              <w:jc w:val="both"/>
              <w:rPr>
                <w:rFonts w:hint="cs"/>
                <w:b/>
              </w:rPr>
            </w:pPr>
            <w:r>
              <w:rPr>
                <w:rFonts w:hint="cs"/>
                <w:b/>
                <w:rtl/>
              </w:rPr>
              <w:t>247.45</w:t>
            </w:r>
          </w:p>
        </w:tc>
        <w:tc>
          <w:tcPr>
            <w:tcW w:w="1367" w:type="dxa"/>
            <w:tcBorders>
              <w:top w:val="nil"/>
              <w:bottom w:val="nil"/>
            </w:tcBorders>
          </w:tcPr>
          <w:p w:rsidR="00443EC1" w:rsidRDefault="00443EC1">
            <w:pPr>
              <w:tabs>
                <w:tab w:val="decimal" w:pos="647"/>
              </w:tabs>
              <w:spacing w:before="0" w:after="60" w:line="300" w:lineRule="exact"/>
              <w:jc w:val="both"/>
              <w:rPr>
                <w:rFonts w:hint="cs"/>
                <w:b/>
              </w:rPr>
            </w:pPr>
            <w:r>
              <w:rPr>
                <w:rFonts w:hint="cs"/>
                <w:b/>
                <w:rtl/>
              </w:rPr>
              <w:t>6.17</w:t>
            </w:r>
          </w:p>
        </w:tc>
        <w:tc>
          <w:tcPr>
            <w:tcW w:w="1367" w:type="dxa"/>
            <w:tcBorders>
              <w:top w:val="nil"/>
              <w:bottom w:val="nil"/>
            </w:tcBorders>
          </w:tcPr>
          <w:p w:rsidR="00443EC1" w:rsidRDefault="00443EC1">
            <w:pPr>
              <w:tabs>
                <w:tab w:val="decimal" w:pos="540"/>
              </w:tabs>
              <w:spacing w:before="0" w:after="60" w:line="300" w:lineRule="exact"/>
              <w:jc w:val="both"/>
              <w:rPr>
                <w:rFonts w:hint="cs"/>
                <w:b/>
              </w:rPr>
            </w:pPr>
            <w:r>
              <w:rPr>
                <w:rFonts w:hint="cs"/>
                <w:b/>
                <w:rtl/>
              </w:rPr>
              <w:t>108.89</w:t>
            </w:r>
          </w:p>
        </w:tc>
        <w:tc>
          <w:tcPr>
            <w:tcW w:w="1367" w:type="dxa"/>
            <w:tcBorders>
              <w:top w:val="nil"/>
              <w:bottom w:val="nil"/>
            </w:tcBorders>
          </w:tcPr>
          <w:p w:rsidR="00443EC1" w:rsidRDefault="00443EC1">
            <w:pPr>
              <w:tabs>
                <w:tab w:val="decimal" w:pos="629"/>
              </w:tabs>
              <w:spacing w:before="0" w:after="60" w:line="300" w:lineRule="exact"/>
              <w:jc w:val="both"/>
              <w:rPr>
                <w:rFonts w:hint="cs"/>
                <w:b/>
              </w:rPr>
            </w:pPr>
            <w:r>
              <w:rPr>
                <w:rFonts w:hint="cs"/>
                <w:b/>
                <w:rtl/>
              </w:rPr>
              <w:t>16.35</w:t>
            </w:r>
          </w:p>
        </w:tc>
        <w:tc>
          <w:tcPr>
            <w:tcW w:w="1368" w:type="dxa"/>
            <w:tcBorders>
              <w:top w:val="nil"/>
              <w:bottom w:val="nil"/>
            </w:tcBorders>
          </w:tcPr>
          <w:p w:rsidR="00443EC1" w:rsidRDefault="00443EC1">
            <w:pPr>
              <w:tabs>
                <w:tab w:val="decimal" w:pos="648"/>
              </w:tabs>
              <w:spacing w:before="0" w:after="60" w:line="300" w:lineRule="exact"/>
              <w:jc w:val="both"/>
              <w:rPr>
                <w:rFonts w:hint="cs"/>
                <w:b/>
              </w:rPr>
            </w:pPr>
            <w:r>
              <w:rPr>
                <w:rFonts w:hint="cs"/>
                <w:b/>
                <w:rtl/>
              </w:rPr>
              <w:t>4.28</w:t>
            </w:r>
          </w:p>
        </w:tc>
      </w:tr>
      <w:tr w:rsidR="00443EC1" w:rsidTr="00443EC1">
        <w:tblPrEx>
          <w:tblCellMar>
            <w:top w:w="0" w:type="dxa"/>
            <w:bottom w:w="0" w:type="dxa"/>
          </w:tblCellMar>
        </w:tblPrEx>
        <w:trPr>
          <w:jc w:val="center"/>
        </w:trPr>
        <w:tc>
          <w:tcPr>
            <w:tcW w:w="1217" w:type="dxa"/>
            <w:tcBorders>
              <w:top w:val="nil"/>
            </w:tcBorders>
          </w:tcPr>
          <w:p w:rsidR="00443EC1" w:rsidRDefault="00443EC1">
            <w:pPr>
              <w:spacing w:before="0" w:after="60" w:line="300" w:lineRule="exact"/>
              <w:jc w:val="center"/>
              <w:rPr>
                <w:rFonts w:hint="cs"/>
                <w:b/>
              </w:rPr>
            </w:pPr>
            <w:r>
              <w:rPr>
                <w:rFonts w:hint="cs"/>
                <w:b/>
                <w:rtl/>
              </w:rPr>
              <w:t>2000</w:t>
            </w:r>
          </w:p>
        </w:tc>
        <w:tc>
          <w:tcPr>
            <w:tcW w:w="1517" w:type="dxa"/>
            <w:tcBorders>
              <w:top w:val="nil"/>
            </w:tcBorders>
          </w:tcPr>
          <w:p w:rsidR="00443EC1" w:rsidRDefault="00443EC1">
            <w:pPr>
              <w:tabs>
                <w:tab w:val="decimal" w:pos="410"/>
              </w:tabs>
              <w:spacing w:before="0" w:after="60" w:line="300" w:lineRule="exact"/>
              <w:jc w:val="both"/>
              <w:rPr>
                <w:rFonts w:hint="cs"/>
                <w:b/>
              </w:rPr>
            </w:pPr>
            <w:r>
              <w:rPr>
                <w:rFonts w:hint="cs"/>
                <w:b/>
                <w:rtl/>
              </w:rPr>
              <w:t>253.4 2</w:t>
            </w:r>
          </w:p>
        </w:tc>
        <w:tc>
          <w:tcPr>
            <w:tcW w:w="1367" w:type="dxa"/>
            <w:tcBorders>
              <w:top w:val="nil"/>
            </w:tcBorders>
          </w:tcPr>
          <w:p w:rsidR="00443EC1" w:rsidRDefault="00443EC1">
            <w:pPr>
              <w:tabs>
                <w:tab w:val="decimal" w:pos="573"/>
              </w:tabs>
              <w:spacing w:before="0" w:after="60" w:line="300" w:lineRule="exact"/>
              <w:jc w:val="both"/>
              <w:rPr>
                <w:rFonts w:hint="cs"/>
                <w:b/>
              </w:rPr>
            </w:pPr>
            <w:r>
              <w:rPr>
                <w:rFonts w:hint="cs"/>
                <w:b/>
                <w:rtl/>
              </w:rPr>
              <w:t>249.5</w:t>
            </w:r>
          </w:p>
        </w:tc>
        <w:tc>
          <w:tcPr>
            <w:tcW w:w="1367" w:type="dxa"/>
            <w:tcBorders>
              <w:top w:val="nil"/>
            </w:tcBorders>
          </w:tcPr>
          <w:p w:rsidR="00443EC1" w:rsidRDefault="00443EC1">
            <w:pPr>
              <w:tabs>
                <w:tab w:val="decimal" w:pos="647"/>
              </w:tabs>
              <w:spacing w:before="0" w:after="60" w:line="300" w:lineRule="exact"/>
              <w:jc w:val="both"/>
              <w:rPr>
                <w:rFonts w:hint="cs"/>
                <w:b/>
              </w:rPr>
            </w:pPr>
            <w:r>
              <w:rPr>
                <w:rFonts w:hint="cs"/>
                <w:b/>
                <w:rtl/>
              </w:rPr>
              <w:t>7.06</w:t>
            </w:r>
          </w:p>
        </w:tc>
        <w:tc>
          <w:tcPr>
            <w:tcW w:w="1367" w:type="dxa"/>
            <w:tcBorders>
              <w:top w:val="nil"/>
            </w:tcBorders>
          </w:tcPr>
          <w:p w:rsidR="00443EC1" w:rsidRDefault="00443EC1">
            <w:pPr>
              <w:tabs>
                <w:tab w:val="decimal" w:pos="540"/>
              </w:tabs>
              <w:spacing w:before="0" w:after="60" w:line="300" w:lineRule="exact"/>
              <w:jc w:val="both"/>
              <w:rPr>
                <w:rFonts w:hint="cs"/>
                <w:b/>
              </w:rPr>
            </w:pPr>
            <w:r>
              <w:rPr>
                <w:rFonts w:hint="cs"/>
                <w:b/>
                <w:rtl/>
              </w:rPr>
              <w:t>106.7</w:t>
            </w:r>
          </w:p>
        </w:tc>
        <w:tc>
          <w:tcPr>
            <w:tcW w:w="1367" w:type="dxa"/>
            <w:tcBorders>
              <w:top w:val="nil"/>
            </w:tcBorders>
          </w:tcPr>
          <w:p w:rsidR="00443EC1" w:rsidRDefault="00443EC1">
            <w:pPr>
              <w:tabs>
                <w:tab w:val="decimal" w:pos="629"/>
              </w:tabs>
              <w:spacing w:before="0" w:after="60" w:line="300" w:lineRule="exact"/>
              <w:jc w:val="both"/>
              <w:rPr>
                <w:rFonts w:hint="cs"/>
                <w:b/>
              </w:rPr>
            </w:pPr>
            <w:r>
              <w:rPr>
                <w:rFonts w:hint="cs"/>
                <w:b/>
                <w:rtl/>
              </w:rPr>
              <w:t>17.48</w:t>
            </w:r>
          </w:p>
        </w:tc>
        <w:tc>
          <w:tcPr>
            <w:tcW w:w="1368" w:type="dxa"/>
            <w:tcBorders>
              <w:top w:val="nil"/>
            </w:tcBorders>
          </w:tcPr>
          <w:p w:rsidR="00443EC1" w:rsidRDefault="00443EC1">
            <w:pPr>
              <w:tabs>
                <w:tab w:val="decimal" w:pos="648"/>
              </w:tabs>
              <w:spacing w:before="0" w:after="60" w:line="300" w:lineRule="exact"/>
              <w:jc w:val="both"/>
              <w:rPr>
                <w:rFonts w:hint="cs"/>
                <w:b/>
              </w:rPr>
            </w:pPr>
            <w:r>
              <w:rPr>
                <w:rFonts w:hint="cs"/>
                <w:b/>
                <w:rtl/>
              </w:rPr>
              <w:t>5.0</w:t>
            </w:r>
          </w:p>
        </w:tc>
      </w:tr>
    </w:tbl>
    <w:p w:rsidR="00000000" w:rsidRDefault="00443EC1">
      <w:pPr>
        <w:spacing w:line="360" w:lineRule="exact"/>
        <w:jc w:val="both"/>
        <w:rPr>
          <w:rFonts w:hint="cs"/>
          <w:b/>
          <w:rtl/>
        </w:rPr>
      </w:pPr>
      <w:r>
        <w:rPr>
          <w:rFonts w:hint="cs"/>
          <w:b/>
          <w:i/>
          <w:iCs/>
          <w:rtl/>
        </w:rPr>
        <w:tab/>
        <w:t>المصدر:</w:t>
      </w:r>
      <w:r>
        <w:rPr>
          <w:rFonts w:hint="cs"/>
          <w:b/>
          <w:i/>
          <w:iCs/>
          <w:rtl/>
        </w:rPr>
        <w:tab/>
        <w:t>الحولية الإحصائية الوطنية الصينية</w:t>
      </w:r>
      <w:r>
        <w:rPr>
          <w:rFonts w:hint="cs"/>
          <w:b/>
          <w:rtl/>
        </w:rPr>
        <w:t>، 1996-2001.</w:t>
      </w:r>
    </w:p>
    <w:p w:rsidR="00000000" w:rsidRDefault="00443EC1">
      <w:pPr>
        <w:spacing w:line="360" w:lineRule="exact"/>
        <w:jc w:val="center"/>
        <w:rPr>
          <w:rFonts w:hint="cs"/>
          <w:b/>
          <w:bCs/>
          <w:rtl/>
        </w:rPr>
      </w:pPr>
      <w:r>
        <w:rPr>
          <w:b/>
          <w:bCs/>
          <w:rtl/>
        </w:rPr>
        <w:br w:type="page"/>
      </w:r>
      <w:r>
        <w:rPr>
          <w:rFonts w:hint="cs"/>
          <w:b/>
          <w:bCs/>
          <w:rtl/>
        </w:rPr>
        <w:t>الجدول 8</w:t>
      </w:r>
    </w:p>
    <w:p w:rsidR="00000000" w:rsidRDefault="00443EC1">
      <w:pPr>
        <w:spacing w:line="360" w:lineRule="exact"/>
        <w:jc w:val="center"/>
        <w:rPr>
          <w:rFonts w:hint="cs"/>
          <w:b/>
          <w:bCs/>
          <w:rtl/>
        </w:rPr>
      </w:pPr>
      <w:r>
        <w:rPr>
          <w:rFonts w:hint="cs"/>
          <w:b/>
          <w:bCs/>
          <w:rtl/>
        </w:rPr>
        <w:t>الحد من نسبة الفقراء في الأرياف، 1995-2000</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19"/>
        <w:gridCol w:w="1063"/>
        <w:gridCol w:w="1106"/>
        <w:gridCol w:w="1050"/>
        <w:gridCol w:w="1044"/>
        <w:gridCol w:w="1028"/>
        <w:gridCol w:w="1060"/>
      </w:tblGrid>
      <w:tr w:rsidR="00443EC1" w:rsidTr="00443EC1">
        <w:tblPrEx>
          <w:tblCellMar>
            <w:top w:w="0" w:type="dxa"/>
            <w:bottom w:w="0" w:type="dxa"/>
          </w:tblCellMar>
        </w:tblPrEx>
        <w:trPr>
          <w:jc w:val="center"/>
        </w:trPr>
        <w:tc>
          <w:tcPr>
            <w:tcW w:w="3219" w:type="dxa"/>
            <w:tcBorders>
              <w:bottom w:val="single" w:sz="4" w:space="0" w:color="auto"/>
            </w:tcBorders>
          </w:tcPr>
          <w:p w:rsidR="00443EC1" w:rsidRDefault="00443EC1">
            <w:pPr>
              <w:spacing w:before="40" w:after="60" w:line="300" w:lineRule="exact"/>
              <w:jc w:val="center"/>
              <w:rPr>
                <w:rStyle w:val="FootnoteReference"/>
                <w:rFonts w:hint="cs"/>
                <w:bCs w:val="0"/>
                <w:vertAlign w:val="baseline"/>
              </w:rPr>
            </w:pPr>
            <w:r>
              <w:rPr>
                <w:rFonts w:hint="cs"/>
                <w:rtl/>
              </w:rPr>
              <w:t>السنة</w:t>
            </w:r>
          </w:p>
        </w:tc>
        <w:tc>
          <w:tcPr>
            <w:tcW w:w="1063" w:type="dxa"/>
            <w:tcBorders>
              <w:bottom w:val="single" w:sz="4" w:space="0" w:color="auto"/>
            </w:tcBorders>
          </w:tcPr>
          <w:p w:rsidR="00443EC1" w:rsidRDefault="00443EC1">
            <w:pPr>
              <w:spacing w:before="40" w:after="60" w:line="300" w:lineRule="exact"/>
              <w:jc w:val="center"/>
              <w:rPr>
                <w:rStyle w:val="FootnoteReference"/>
                <w:rFonts w:hint="cs"/>
                <w:bCs w:val="0"/>
                <w:vertAlign w:val="baseline"/>
              </w:rPr>
            </w:pPr>
            <w:r>
              <w:rPr>
                <w:rFonts w:hint="cs"/>
                <w:rtl/>
              </w:rPr>
              <w:t>1995</w:t>
            </w:r>
          </w:p>
        </w:tc>
        <w:tc>
          <w:tcPr>
            <w:tcW w:w="1106" w:type="dxa"/>
            <w:tcBorders>
              <w:bottom w:val="single" w:sz="4" w:space="0" w:color="auto"/>
            </w:tcBorders>
          </w:tcPr>
          <w:p w:rsidR="00443EC1" w:rsidRDefault="00443EC1">
            <w:pPr>
              <w:spacing w:before="40" w:after="60" w:line="300" w:lineRule="exact"/>
              <w:jc w:val="center"/>
              <w:rPr>
                <w:rStyle w:val="FootnoteReference"/>
                <w:rFonts w:hint="cs"/>
                <w:bCs w:val="0"/>
                <w:vertAlign w:val="baseline"/>
              </w:rPr>
            </w:pPr>
            <w:r>
              <w:rPr>
                <w:rFonts w:hint="cs"/>
                <w:rtl/>
              </w:rPr>
              <w:t>1996</w:t>
            </w:r>
          </w:p>
        </w:tc>
        <w:tc>
          <w:tcPr>
            <w:tcW w:w="1050" w:type="dxa"/>
            <w:tcBorders>
              <w:bottom w:val="single" w:sz="4" w:space="0" w:color="auto"/>
            </w:tcBorders>
          </w:tcPr>
          <w:p w:rsidR="00443EC1" w:rsidRDefault="00443EC1">
            <w:pPr>
              <w:spacing w:before="40" w:after="60" w:line="300" w:lineRule="exact"/>
              <w:jc w:val="center"/>
              <w:rPr>
                <w:rStyle w:val="FootnoteReference"/>
                <w:rFonts w:hint="cs"/>
                <w:bCs w:val="0"/>
                <w:vertAlign w:val="baseline"/>
              </w:rPr>
            </w:pPr>
            <w:r>
              <w:rPr>
                <w:rFonts w:hint="cs"/>
                <w:rtl/>
              </w:rPr>
              <w:t>1997</w:t>
            </w:r>
          </w:p>
        </w:tc>
        <w:tc>
          <w:tcPr>
            <w:tcW w:w="1044" w:type="dxa"/>
            <w:tcBorders>
              <w:bottom w:val="single" w:sz="4" w:space="0" w:color="auto"/>
            </w:tcBorders>
          </w:tcPr>
          <w:p w:rsidR="00443EC1" w:rsidRDefault="00443EC1">
            <w:pPr>
              <w:spacing w:before="40" w:after="60" w:line="300" w:lineRule="exact"/>
              <w:jc w:val="center"/>
              <w:rPr>
                <w:rStyle w:val="FootnoteReference"/>
                <w:rFonts w:hint="cs"/>
                <w:bCs w:val="0"/>
                <w:vertAlign w:val="baseline"/>
              </w:rPr>
            </w:pPr>
            <w:r>
              <w:rPr>
                <w:rFonts w:hint="cs"/>
                <w:rtl/>
              </w:rPr>
              <w:t>1998</w:t>
            </w:r>
          </w:p>
        </w:tc>
        <w:tc>
          <w:tcPr>
            <w:tcW w:w="1028" w:type="dxa"/>
            <w:tcBorders>
              <w:bottom w:val="single" w:sz="4" w:space="0" w:color="auto"/>
            </w:tcBorders>
          </w:tcPr>
          <w:p w:rsidR="00443EC1" w:rsidRDefault="00443EC1">
            <w:pPr>
              <w:spacing w:before="40" w:after="60" w:line="300" w:lineRule="exact"/>
              <w:jc w:val="center"/>
              <w:rPr>
                <w:rStyle w:val="FootnoteReference"/>
                <w:rFonts w:hint="cs"/>
                <w:bCs w:val="0"/>
                <w:vertAlign w:val="baseline"/>
              </w:rPr>
            </w:pPr>
            <w:r>
              <w:rPr>
                <w:rFonts w:hint="cs"/>
                <w:rtl/>
              </w:rPr>
              <w:t>1999</w:t>
            </w:r>
          </w:p>
        </w:tc>
        <w:tc>
          <w:tcPr>
            <w:tcW w:w="1060" w:type="dxa"/>
            <w:tcBorders>
              <w:bottom w:val="single" w:sz="4" w:space="0" w:color="auto"/>
            </w:tcBorders>
          </w:tcPr>
          <w:p w:rsidR="00443EC1" w:rsidRDefault="00443EC1">
            <w:pPr>
              <w:spacing w:before="40" w:after="60" w:line="300" w:lineRule="exact"/>
              <w:jc w:val="center"/>
              <w:rPr>
                <w:rStyle w:val="FootnoteReference"/>
                <w:rFonts w:hint="cs"/>
                <w:bCs w:val="0"/>
                <w:vertAlign w:val="baseline"/>
              </w:rPr>
            </w:pPr>
            <w:r>
              <w:rPr>
                <w:rFonts w:hint="cs"/>
                <w:rtl/>
              </w:rPr>
              <w:t>2000</w:t>
            </w:r>
          </w:p>
        </w:tc>
      </w:tr>
      <w:tr w:rsidR="00443EC1" w:rsidTr="00443EC1">
        <w:tblPrEx>
          <w:tblCellMar>
            <w:top w:w="0" w:type="dxa"/>
            <w:bottom w:w="0" w:type="dxa"/>
          </w:tblCellMar>
        </w:tblPrEx>
        <w:trPr>
          <w:jc w:val="center"/>
        </w:trPr>
        <w:tc>
          <w:tcPr>
            <w:tcW w:w="3219" w:type="dxa"/>
            <w:tcBorders>
              <w:bottom w:val="nil"/>
            </w:tcBorders>
          </w:tcPr>
          <w:p w:rsidR="00443EC1" w:rsidRDefault="00443EC1">
            <w:pPr>
              <w:spacing w:before="40" w:after="60" w:line="300" w:lineRule="exact"/>
              <w:jc w:val="both"/>
              <w:rPr>
                <w:rStyle w:val="FootnoteReference"/>
                <w:rFonts w:hint="cs"/>
                <w:bCs w:val="0"/>
                <w:spacing w:val="0"/>
                <w:vertAlign w:val="baseline"/>
              </w:rPr>
            </w:pPr>
            <w:r>
              <w:rPr>
                <w:rFonts w:hint="cs"/>
                <w:spacing w:val="0"/>
                <w:rtl/>
              </w:rPr>
              <w:t>نسبة السكان الفقراء (نسبة مئوية)</w:t>
            </w:r>
          </w:p>
        </w:tc>
        <w:tc>
          <w:tcPr>
            <w:tcW w:w="1063" w:type="dxa"/>
            <w:tcBorders>
              <w:bottom w:val="nil"/>
            </w:tcBorders>
          </w:tcPr>
          <w:p w:rsidR="00443EC1" w:rsidRDefault="00443EC1">
            <w:pPr>
              <w:spacing w:before="40" w:after="60" w:line="300" w:lineRule="exact"/>
              <w:jc w:val="center"/>
              <w:rPr>
                <w:rStyle w:val="FootnoteReference"/>
                <w:rFonts w:hint="cs"/>
                <w:bCs w:val="0"/>
                <w:vertAlign w:val="baseline"/>
              </w:rPr>
            </w:pPr>
            <w:r>
              <w:rPr>
                <w:rFonts w:hint="cs"/>
                <w:rtl/>
              </w:rPr>
              <w:t>6.3</w:t>
            </w:r>
          </w:p>
        </w:tc>
        <w:tc>
          <w:tcPr>
            <w:tcW w:w="1106" w:type="dxa"/>
            <w:tcBorders>
              <w:bottom w:val="nil"/>
            </w:tcBorders>
          </w:tcPr>
          <w:p w:rsidR="00443EC1" w:rsidRDefault="00443EC1">
            <w:pPr>
              <w:spacing w:before="40" w:after="60" w:line="300" w:lineRule="exact"/>
              <w:jc w:val="center"/>
              <w:rPr>
                <w:rStyle w:val="FootnoteReference"/>
                <w:rFonts w:hint="cs"/>
                <w:bCs w:val="0"/>
                <w:vertAlign w:val="baseline"/>
              </w:rPr>
            </w:pPr>
            <w:r>
              <w:rPr>
                <w:rFonts w:hint="cs"/>
                <w:rtl/>
              </w:rPr>
              <w:t>5.44</w:t>
            </w:r>
          </w:p>
        </w:tc>
        <w:tc>
          <w:tcPr>
            <w:tcW w:w="1050" w:type="dxa"/>
            <w:tcBorders>
              <w:bottom w:val="nil"/>
            </w:tcBorders>
          </w:tcPr>
          <w:p w:rsidR="00443EC1" w:rsidRDefault="00443EC1">
            <w:pPr>
              <w:spacing w:before="40" w:after="60" w:line="300" w:lineRule="exact"/>
              <w:jc w:val="center"/>
              <w:rPr>
                <w:rStyle w:val="FootnoteReference"/>
                <w:rFonts w:hint="cs"/>
                <w:bCs w:val="0"/>
                <w:vertAlign w:val="baseline"/>
              </w:rPr>
            </w:pPr>
            <w:r>
              <w:rPr>
                <w:rFonts w:hint="cs"/>
                <w:rtl/>
              </w:rPr>
              <w:t>5.40</w:t>
            </w:r>
          </w:p>
        </w:tc>
        <w:tc>
          <w:tcPr>
            <w:tcW w:w="1044" w:type="dxa"/>
            <w:tcBorders>
              <w:bottom w:val="nil"/>
            </w:tcBorders>
          </w:tcPr>
          <w:p w:rsidR="00443EC1" w:rsidRDefault="00443EC1">
            <w:pPr>
              <w:spacing w:before="40" w:after="60" w:line="300" w:lineRule="exact"/>
              <w:jc w:val="center"/>
              <w:rPr>
                <w:rStyle w:val="FootnoteReference"/>
                <w:rFonts w:hint="cs"/>
                <w:bCs w:val="0"/>
                <w:vertAlign w:val="baseline"/>
              </w:rPr>
            </w:pPr>
            <w:r>
              <w:rPr>
                <w:rFonts w:hint="cs"/>
                <w:rtl/>
              </w:rPr>
              <w:t>4.6</w:t>
            </w:r>
          </w:p>
        </w:tc>
        <w:tc>
          <w:tcPr>
            <w:tcW w:w="1028" w:type="dxa"/>
            <w:tcBorders>
              <w:bottom w:val="nil"/>
            </w:tcBorders>
          </w:tcPr>
          <w:p w:rsidR="00443EC1" w:rsidRDefault="00443EC1">
            <w:pPr>
              <w:spacing w:before="40" w:after="60" w:line="300" w:lineRule="exact"/>
              <w:jc w:val="center"/>
              <w:rPr>
                <w:rStyle w:val="FootnoteReference"/>
                <w:rFonts w:hint="cs"/>
                <w:bCs w:val="0"/>
                <w:vertAlign w:val="baseline"/>
              </w:rPr>
            </w:pPr>
            <w:r>
              <w:rPr>
                <w:rFonts w:hint="cs"/>
                <w:rtl/>
              </w:rPr>
              <w:t>3.5</w:t>
            </w:r>
          </w:p>
        </w:tc>
        <w:tc>
          <w:tcPr>
            <w:tcW w:w="1060" w:type="dxa"/>
            <w:tcBorders>
              <w:bottom w:val="nil"/>
            </w:tcBorders>
          </w:tcPr>
          <w:p w:rsidR="00443EC1" w:rsidRDefault="00443EC1">
            <w:pPr>
              <w:spacing w:before="40" w:after="60" w:line="300" w:lineRule="exact"/>
              <w:jc w:val="center"/>
              <w:rPr>
                <w:rStyle w:val="FootnoteReference"/>
                <w:rFonts w:hint="cs"/>
                <w:bCs w:val="0"/>
                <w:vertAlign w:val="baseline"/>
              </w:rPr>
            </w:pPr>
            <w:r>
              <w:rPr>
                <w:rFonts w:hint="cs"/>
                <w:rtl/>
              </w:rPr>
              <w:t>2.5</w:t>
            </w:r>
          </w:p>
        </w:tc>
      </w:tr>
      <w:tr w:rsidR="00443EC1" w:rsidTr="00443EC1">
        <w:tblPrEx>
          <w:tblCellMar>
            <w:top w:w="0" w:type="dxa"/>
            <w:bottom w:w="0" w:type="dxa"/>
          </w:tblCellMar>
        </w:tblPrEx>
        <w:trPr>
          <w:jc w:val="center"/>
        </w:trPr>
        <w:tc>
          <w:tcPr>
            <w:tcW w:w="3219" w:type="dxa"/>
            <w:tcBorders>
              <w:top w:val="nil"/>
            </w:tcBorders>
          </w:tcPr>
          <w:p w:rsidR="00443EC1" w:rsidRDefault="00443EC1">
            <w:pPr>
              <w:spacing w:before="0" w:after="60" w:line="300" w:lineRule="exact"/>
              <w:jc w:val="both"/>
              <w:rPr>
                <w:rStyle w:val="FootnoteReference"/>
                <w:rFonts w:hint="cs"/>
                <w:bCs w:val="0"/>
                <w:spacing w:val="0"/>
                <w:vertAlign w:val="baseline"/>
              </w:rPr>
            </w:pPr>
            <w:r>
              <w:rPr>
                <w:rFonts w:hint="cs"/>
                <w:spacing w:val="0"/>
                <w:rtl/>
              </w:rPr>
              <w:t>عدد الأشخاص الفقراء (بالآلاف)</w:t>
            </w:r>
          </w:p>
        </w:tc>
        <w:tc>
          <w:tcPr>
            <w:tcW w:w="1063" w:type="dxa"/>
            <w:tcBorders>
              <w:top w:val="nil"/>
            </w:tcBorders>
          </w:tcPr>
          <w:p w:rsidR="00443EC1" w:rsidRDefault="00443EC1">
            <w:pPr>
              <w:spacing w:before="0" w:after="60" w:line="300" w:lineRule="exact"/>
              <w:jc w:val="center"/>
              <w:rPr>
                <w:rStyle w:val="FootnoteReference"/>
                <w:rFonts w:hint="cs"/>
                <w:bCs w:val="0"/>
                <w:vertAlign w:val="baseline"/>
              </w:rPr>
            </w:pPr>
            <w:r>
              <w:rPr>
                <w:rFonts w:hint="cs"/>
                <w:rtl/>
              </w:rPr>
              <w:t>000 65</w:t>
            </w:r>
          </w:p>
        </w:tc>
        <w:tc>
          <w:tcPr>
            <w:tcW w:w="1106" w:type="dxa"/>
            <w:tcBorders>
              <w:top w:val="nil"/>
            </w:tcBorders>
          </w:tcPr>
          <w:p w:rsidR="00443EC1" w:rsidRDefault="00443EC1">
            <w:pPr>
              <w:spacing w:before="0" w:after="60" w:line="300" w:lineRule="exact"/>
              <w:jc w:val="center"/>
              <w:rPr>
                <w:rStyle w:val="FootnoteReference"/>
                <w:rFonts w:hint="cs"/>
                <w:bCs w:val="0"/>
                <w:vertAlign w:val="baseline"/>
              </w:rPr>
            </w:pPr>
            <w:r>
              <w:rPr>
                <w:rFonts w:hint="cs"/>
                <w:rtl/>
              </w:rPr>
              <w:t>000 58</w:t>
            </w:r>
          </w:p>
        </w:tc>
        <w:tc>
          <w:tcPr>
            <w:tcW w:w="1050" w:type="dxa"/>
            <w:tcBorders>
              <w:top w:val="nil"/>
            </w:tcBorders>
          </w:tcPr>
          <w:p w:rsidR="00443EC1" w:rsidRDefault="00443EC1">
            <w:pPr>
              <w:spacing w:before="0" w:after="60" w:line="300" w:lineRule="exact"/>
              <w:jc w:val="center"/>
              <w:rPr>
                <w:rStyle w:val="FootnoteReference"/>
                <w:rFonts w:hint="cs"/>
                <w:bCs w:val="0"/>
                <w:vertAlign w:val="baseline"/>
              </w:rPr>
            </w:pPr>
            <w:r>
              <w:rPr>
                <w:rFonts w:hint="cs"/>
                <w:rtl/>
              </w:rPr>
              <w:t>000 50</w:t>
            </w:r>
          </w:p>
        </w:tc>
        <w:tc>
          <w:tcPr>
            <w:tcW w:w="1044" w:type="dxa"/>
            <w:tcBorders>
              <w:top w:val="nil"/>
            </w:tcBorders>
          </w:tcPr>
          <w:p w:rsidR="00443EC1" w:rsidRDefault="00443EC1">
            <w:pPr>
              <w:spacing w:before="0" w:after="60" w:line="300" w:lineRule="exact"/>
              <w:jc w:val="center"/>
              <w:rPr>
                <w:rStyle w:val="FootnoteReference"/>
                <w:rFonts w:hint="cs"/>
                <w:bCs w:val="0"/>
                <w:vertAlign w:val="baseline"/>
              </w:rPr>
            </w:pPr>
            <w:r>
              <w:rPr>
                <w:rFonts w:hint="cs"/>
                <w:rtl/>
              </w:rPr>
              <w:t>000 42</w:t>
            </w:r>
          </w:p>
        </w:tc>
        <w:tc>
          <w:tcPr>
            <w:tcW w:w="1028" w:type="dxa"/>
            <w:tcBorders>
              <w:top w:val="nil"/>
            </w:tcBorders>
          </w:tcPr>
          <w:p w:rsidR="00443EC1" w:rsidRDefault="00443EC1">
            <w:pPr>
              <w:spacing w:before="0" w:after="60" w:line="300" w:lineRule="exact"/>
              <w:jc w:val="center"/>
              <w:rPr>
                <w:rStyle w:val="FootnoteReference"/>
                <w:rFonts w:hint="cs"/>
                <w:bCs w:val="0"/>
                <w:vertAlign w:val="baseline"/>
              </w:rPr>
            </w:pPr>
            <w:r>
              <w:rPr>
                <w:rFonts w:hint="cs"/>
                <w:rtl/>
              </w:rPr>
              <w:t>000 34</w:t>
            </w:r>
          </w:p>
        </w:tc>
        <w:tc>
          <w:tcPr>
            <w:tcW w:w="1060" w:type="dxa"/>
            <w:tcBorders>
              <w:top w:val="nil"/>
            </w:tcBorders>
          </w:tcPr>
          <w:p w:rsidR="00443EC1" w:rsidRDefault="00443EC1">
            <w:pPr>
              <w:spacing w:before="0" w:after="60" w:line="300" w:lineRule="exact"/>
              <w:jc w:val="center"/>
              <w:rPr>
                <w:rStyle w:val="FootnoteReference"/>
                <w:rFonts w:hint="cs"/>
                <w:bCs w:val="0"/>
                <w:vertAlign w:val="baseline"/>
              </w:rPr>
            </w:pPr>
            <w:r>
              <w:rPr>
                <w:rFonts w:hint="cs"/>
                <w:rtl/>
              </w:rPr>
              <w:t>000 30</w:t>
            </w:r>
          </w:p>
        </w:tc>
      </w:tr>
    </w:tbl>
    <w:p w:rsidR="00000000" w:rsidRDefault="00443EC1">
      <w:pPr>
        <w:spacing w:before="180" w:after="180" w:line="360" w:lineRule="exact"/>
        <w:jc w:val="both"/>
        <w:rPr>
          <w:rFonts w:hint="cs"/>
          <w:rtl/>
        </w:rPr>
      </w:pPr>
      <w:r>
        <w:rPr>
          <w:rFonts w:hint="cs"/>
          <w:i/>
          <w:iCs/>
          <w:rtl/>
        </w:rPr>
        <w:tab/>
        <w:t>المصدر</w:t>
      </w:r>
      <w:r>
        <w:rPr>
          <w:rFonts w:hint="cs"/>
          <w:rtl/>
        </w:rPr>
        <w:t>:</w:t>
      </w:r>
      <w:r>
        <w:rPr>
          <w:rFonts w:hint="cs"/>
          <w:rtl/>
        </w:rPr>
        <w:tab/>
        <w:t xml:space="preserve">مكتب الإحصاء الوطني، </w:t>
      </w:r>
      <w:r>
        <w:rPr>
          <w:rFonts w:hint="cs"/>
          <w:i/>
          <w:iCs/>
          <w:rtl/>
        </w:rPr>
        <w:t>تقرير عن الفقر في الأرياف في الصين</w:t>
      </w:r>
      <w:r>
        <w:rPr>
          <w:rFonts w:hint="cs"/>
          <w:rtl/>
        </w:rPr>
        <w:t>.</w:t>
      </w:r>
    </w:p>
    <w:p w:rsidR="00000000" w:rsidRDefault="00443EC1">
      <w:pPr>
        <w:spacing w:line="360" w:lineRule="exact"/>
        <w:jc w:val="center"/>
        <w:rPr>
          <w:rFonts w:hint="cs"/>
          <w:b/>
          <w:bCs/>
          <w:rtl/>
        </w:rPr>
      </w:pPr>
      <w:r>
        <w:rPr>
          <w:rFonts w:hint="cs"/>
          <w:b/>
          <w:bCs/>
          <w:rtl/>
        </w:rPr>
        <w:t>الجدول 9</w:t>
      </w:r>
    </w:p>
    <w:p w:rsidR="00000000" w:rsidRDefault="00443EC1">
      <w:pPr>
        <w:spacing w:line="360" w:lineRule="exact"/>
        <w:jc w:val="center"/>
        <w:rPr>
          <w:rStyle w:val="FootnoteReference"/>
          <w:rFonts w:hint="cs"/>
          <w:b/>
          <w:vertAlign w:val="baseline"/>
          <w:rtl/>
        </w:rPr>
      </w:pPr>
      <w:r>
        <w:rPr>
          <w:rFonts w:hint="cs"/>
          <w:b/>
          <w:bCs/>
          <w:rtl/>
        </w:rPr>
        <w:t>الاتجاهات المسجلة من حيث عدد الإصابات بالأمراض المعدية</w:t>
      </w:r>
      <w:r>
        <w:rPr>
          <w:b/>
          <w:bCs/>
          <w:rtl/>
        </w:rPr>
        <w:br/>
      </w:r>
      <w:r>
        <w:rPr>
          <w:rFonts w:hint="cs"/>
          <w:b/>
          <w:bCs/>
          <w:rtl/>
        </w:rPr>
        <w:t xml:space="preserve">(لكل 000 100 </w:t>
      </w:r>
      <w:r>
        <w:rPr>
          <w:rFonts w:hint="cs"/>
          <w:b/>
          <w:bCs/>
          <w:rtl/>
        </w:rPr>
        <w:t>نسمة)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07"/>
        <w:gridCol w:w="1777"/>
        <w:gridCol w:w="1834"/>
        <w:gridCol w:w="1820"/>
        <w:gridCol w:w="1732"/>
      </w:tblGrid>
      <w:tr w:rsidR="00443EC1" w:rsidTr="00443EC1">
        <w:tblPrEx>
          <w:tblCellMar>
            <w:top w:w="0" w:type="dxa"/>
            <w:bottom w:w="0" w:type="dxa"/>
          </w:tblCellMar>
        </w:tblPrEx>
        <w:trPr>
          <w:jc w:val="center"/>
        </w:trPr>
        <w:tc>
          <w:tcPr>
            <w:tcW w:w="2407" w:type="dxa"/>
            <w:tcBorders>
              <w:bottom w:val="single" w:sz="4" w:space="0" w:color="auto"/>
            </w:tcBorders>
            <w:vAlign w:val="bottom"/>
          </w:tcPr>
          <w:p w:rsidR="00443EC1" w:rsidRDefault="00443EC1">
            <w:pPr>
              <w:spacing w:before="40" w:after="60" w:line="280" w:lineRule="exact"/>
              <w:jc w:val="center"/>
              <w:rPr>
                <w:rStyle w:val="FootnoteReference"/>
                <w:rFonts w:hint="cs"/>
                <w:bCs w:val="0"/>
                <w:vertAlign w:val="baseline"/>
              </w:rPr>
            </w:pPr>
            <w:r>
              <w:rPr>
                <w:rFonts w:hint="cs"/>
                <w:rtl/>
              </w:rPr>
              <w:t>المرض</w:t>
            </w:r>
          </w:p>
        </w:tc>
        <w:tc>
          <w:tcPr>
            <w:tcW w:w="1777" w:type="dxa"/>
            <w:tcBorders>
              <w:bottom w:val="single" w:sz="4" w:space="0" w:color="auto"/>
            </w:tcBorders>
            <w:vAlign w:val="bottom"/>
          </w:tcPr>
          <w:p w:rsidR="00443EC1" w:rsidRDefault="00443EC1">
            <w:pPr>
              <w:spacing w:before="40" w:after="60" w:line="280" w:lineRule="exact"/>
              <w:jc w:val="center"/>
              <w:rPr>
                <w:rStyle w:val="FootnoteReference"/>
                <w:rFonts w:hint="cs"/>
                <w:bCs w:val="0"/>
                <w:vertAlign w:val="baseline"/>
              </w:rPr>
            </w:pPr>
            <w:r>
              <w:rPr>
                <w:rFonts w:hint="cs"/>
                <w:rtl/>
              </w:rPr>
              <w:t>1980</w:t>
            </w:r>
          </w:p>
        </w:tc>
        <w:tc>
          <w:tcPr>
            <w:tcW w:w="1834" w:type="dxa"/>
            <w:tcBorders>
              <w:bottom w:val="single" w:sz="4" w:space="0" w:color="auto"/>
            </w:tcBorders>
            <w:vAlign w:val="bottom"/>
          </w:tcPr>
          <w:p w:rsidR="00443EC1" w:rsidRDefault="00443EC1">
            <w:pPr>
              <w:spacing w:before="40" w:after="60" w:line="280" w:lineRule="exact"/>
              <w:jc w:val="center"/>
              <w:rPr>
                <w:rStyle w:val="FootnoteReference"/>
                <w:rFonts w:hint="cs"/>
                <w:bCs w:val="0"/>
                <w:vertAlign w:val="baseline"/>
              </w:rPr>
            </w:pPr>
            <w:r>
              <w:rPr>
                <w:rFonts w:hint="cs"/>
                <w:rtl/>
              </w:rPr>
              <w:t>1990</w:t>
            </w:r>
          </w:p>
        </w:tc>
        <w:tc>
          <w:tcPr>
            <w:tcW w:w="1820" w:type="dxa"/>
            <w:tcBorders>
              <w:bottom w:val="single" w:sz="4" w:space="0" w:color="auto"/>
            </w:tcBorders>
            <w:vAlign w:val="bottom"/>
          </w:tcPr>
          <w:p w:rsidR="00443EC1" w:rsidRDefault="00443EC1">
            <w:pPr>
              <w:spacing w:before="40" w:after="60" w:line="280" w:lineRule="exact"/>
              <w:jc w:val="center"/>
              <w:rPr>
                <w:rStyle w:val="FootnoteReference"/>
                <w:rFonts w:hint="cs"/>
                <w:bCs w:val="0"/>
                <w:vertAlign w:val="baseline"/>
              </w:rPr>
            </w:pPr>
            <w:r>
              <w:rPr>
                <w:rFonts w:hint="cs"/>
                <w:rtl/>
              </w:rPr>
              <w:t>2000</w:t>
            </w:r>
          </w:p>
        </w:tc>
        <w:tc>
          <w:tcPr>
            <w:tcW w:w="1732" w:type="dxa"/>
            <w:tcBorders>
              <w:bottom w:val="single" w:sz="4" w:space="0" w:color="auto"/>
            </w:tcBorders>
            <w:vAlign w:val="bottom"/>
          </w:tcPr>
          <w:p w:rsidR="00443EC1" w:rsidRDefault="00443EC1">
            <w:pPr>
              <w:spacing w:before="40" w:after="60" w:line="280" w:lineRule="exact"/>
              <w:jc w:val="center"/>
              <w:rPr>
                <w:rFonts w:hint="cs"/>
                <w:rtl/>
              </w:rPr>
            </w:pPr>
            <w:r>
              <w:rPr>
                <w:rFonts w:hint="cs"/>
                <w:rtl/>
              </w:rPr>
              <w:t>تغير النسبة المئوية</w:t>
            </w:r>
          </w:p>
          <w:p w:rsidR="00443EC1" w:rsidRDefault="00443EC1">
            <w:pPr>
              <w:spacing w:before="40" w:after="60" w:line="280" w:lineRule="exact"/>
              <w:jc w:val="center"/>
              <w:rPr>
                <w:rStyle w:val="FootnoteReference"/>
                <w:rFonts w:hint="cs"/>
                <w:bCs w:val="0"/>
                <w:vertAlign w:val="baseline"/>
              </w:rPr>
            </w:pPr>
            <w:r>
              <w:rPr>
                <w:rFonts w:hint="cs"/>
                <w:rtl/>
              </w:rPr>
              <w:t>1980-2000</w:t>
            </w:r>
          </w:p>
        </w:tc>
      </w:tr>
      <w:tr w:rsidR="00443EC1" w:rsidTr="00443EC1">
        <w:tblPrEx>
          <w:tblCellMar>
            <w:top w:w="0" w:type="dxa"/>
            <w:bottom w:w="0" w:type="dxa"/>
          </w:tblCellMar>
        </w:tblPrEx>
        <w:trPr>
          <w:jc w:val="center"/>
        </w:trPr>
        <w:tc>
          <w:tcPr>
            <w:tcW w:w="2407" w:type="dxa"/>
            <w:tcBorders>
              <w:bottom w:val="nil"/>
            </w:tcBorders>
          </w:tcPr>
          <w:p w:rsidR="00443EC1" w:rsidRDefault="00443EC1">
            <w:pPr>
              <w:spacing w:before="40" w:after="60" w:line="280" w:lineRule="exact"/>
              <w:jc w:val="center"/>
              <w:rPr>
                <w:rStyle w:val="FootnoteReference"/>
                <w:rFonts w:hint="cs"/>
                <w:bCs w:val="0"/>
                <w:vertAlign w:val="baseline"/>
              </w:rPr>
            </w:pPr>
            <w:r>
              <w:rPr>
                <w:rFonts w:hint="cs"/>
                <w:rtl/>
              </w:rPr>
              <w:t>المجاميع</w:t>
            </w:r>
          </w:p>
        </w:tc>
        <w:tc>
          <w:tcPr>
            <w:tcW w:w="1777" w:type="dxa"/>
            <w:tcBorders>
              <w:bottom w:val="nil"/>
            </w:tcBorders>
          </w:tcPr>
          <w:p w:rsidR="00443EC1" w:rsidRDefault="00443EC1">
            <w:pPr>
              <w:tabs>
                <w:tab w:val="decimal" w:pos="648"/>
              </w:tabs>
              <w:spacing w:before="40" w:after="60" w:line="280" w:lineRule="exact"/>
              <w:jc w:val="both"/>
              <w:rPr>
                <w:rStyle w:val="FootnoteReference"/>
                <w:rFonts w:hint="cs"/>
                <w:bCs w:val="0"/>
                <w:vertAlign w:val="baseline"/>
              </w:rPr>
            </w:pPr>
            <w:r>
              <w:rPr>
                <w:rFonts w:hint="cs"/>
                <w:rtl/>
              </w:rPr>
              <w:t>079.79 2</w:t>
            </w:r>
          </w:p>
        </w:tc>
        <w:tc>
          <w:tcPr>
            <w:tcW w:w="1834" w:type="dxa"/>
            <w:tcBorders>
              <w:bottom w:val="nil"/>
            </w:tcBorders>
          </w:tcPr>
          <w:p w:rsidR="00443EC1" w:rsidRDefault="00443EC1">
            <w:pPr>
              <w:tabs>
                <w:tab w:val="decimal" w:pos="802"/>
              </w:tabs>
              <w:spacing w:before="40" w:after="60" w:line="280" w:lineRule="exact"/>
              <w:jc w:val="both"/>
              <w:rPr>
                <w:rStyle w:val="FootnoteReference"/>
                <w:rFonts w:hint="cs"/>
                <w:bCs w:val="0"/>
                <w:vertAlign w:val="baseline"/>
              </w:rPr>
            </w:pPr>
            <w:r>
              <w:rPr>
                <w:rFonts w:hint="cs"/>
                <w:rtl/>
              </w:rPr>
              <w:t>292.21</w:t>
            </w:r>
          </w:p>
        </w:tc>
        <w:tc>
          <w:tcPr>
            <w:tcW w:w="1820" w:type="dxa"/>
            <w:tcBorders>
              <w:bottom w:val="nil"/>
            </w:tcBorders>
          </w:tcPr>
          <w:p w:rsidR="00443EC1" w:rsidRDefault="00443EC1">
            <w:pPr>
              <w:tabs>
                <w:tab w:val="decimal" w:pos="788"/>
              </w:tabs>
              <w:spacing w:before="40" w:after="60" w:line="280" w:lineRule="exact"/>
              <w:jc w:val="both"/>
              <w:rPr>
                <w:rStyle w:val="FootnoteReference"/>
                <w:rFonts w:hint="cs"/>
                <w:bCs w:val="0"/>
                <w:vertAlign w:val="baseline"/>
              </w:rPr>
            </w:pPr>
            <w:r>
              <w:rPr>
                <w:rFonts w:hint="cs"/>
                <w:rtl/>
              </w:rPr>
              <w:t>185.98</w:t>
            </w:r>
          </w:p>
        </w:tc>
        <w:tc>
          <w:tcPr>
            <w:tcW w:w="1732" w:type="dxa"/>
            <w:tcBorders>
              <w:bottom w:val="nil"/>
            </w:tcBorders>
          </w:tcPr>
          <w:p w:rsidR="00443EC1" w:rsidRDefault="00443EC1">
            <w:pPr>
              <w:tabs>
                <w:tab w:val="decimal" w:pos="648"/>
              </w:tabs>
              <w:spacing w:before="40" w:after="60" w:line="280" w:lineRule="exact"/>
              <w:jc w:val="both"/>
              <w:rPr>
                <w:rStyle w:val="FootnoteReference"/>
                <w:rFonts w:hint="cs"/>
                <w:bCs w:val="0"/>
                <w:vertAlign w:val="baseline"/>
              </w:rPr>
            </w:pPr>
            <w:r>
              <w:rPr>
                <w:rFonts w:hint="cs"/>
                <w:rtl/>
              </w:rPr>
              <w:t>-91.06</w:t>
            </w:r>
          </w:p>
        </w:tc>
      </w:tr>
      <w:tr w:rsidR="00443EC1" w:rsidTr="00443EC1">
        <w:tblPrEx>
          <w:tblCellMar>
            <w:top w:w="0" w:type="dxa"/>
            <w:bottom w:w="0" w:type="dxa"/>
          </w:tblCellMar>
        </w:tblPrEx>
        <w:trPr>
          <w:jc w:val="center"/>
        </w:trPr>
        <w:tc>
          <w:tcPr>
            <w:tcW w:w="2407" w:type="dxa"/>
            <w:tcBorders>
              <w:top w:val="nil"/>
              <w:bottom w:val="nil"/>
            </w:tcBorders>
          </w:tcPr>
          <w:p w:rsidR="00443EC1" w:rsidRDefault="00443EC1">
            <w:pPr>
              <w:spacing w:before="0" w:after="60" w:line="280" w:lineRule="exact"/>
              <w:jc w:val="both"/>
              <w:rPr>
                <w:rStyle w:val="FootnoteReference"/>
                <w:rFonts w:hint="cs"/>
                <w:bCs w:val="0"/>
                <w:vertAlign w:val="baseline"/>
              </w:rPr>
            </w:pPr>
            <w:r>
              <w:rPr>
                <w:rFonts w:hint="cs"/>
                <w:rtl/>
              </w:rPr>
              <w:t>الهيضة (الكوليرا)</w:t>
            </w:r>
          </w:p>
        </w:tc>
        <w:tc>
          <w:tcPr>
            <w:tcW w:w="1777" w:type="dxa"/>
            <w:tcBorders>
              <w:top w:val="nil"/>
              <w:bottom w:val="nil"/>
            </w:tcBorders>
          </w:tcPr>
          <w:p w:rsidR="00443EC1" w:rsidRDefault="00443EC1">
            <w:pPr>
              <w:tabs>
                <w:tab w:val="decimal" w:pos="648"/>
              </w:tabs>
              <w:spacing w:before="0" w:after="60" w:line="280" w:lineRule="exact"/>
              <w:jc w:val="both"/>
              <w:rPr>
                <w:rStyle w:val="FootnoteReference"/>
                <w:rFonts w:hint="cs"/>
                <w:bCs w:val="0"/>
                <w:vertAlign w:val="baseline"/>
              </w:rPr>
            </w:pPr>
            <w:r>
              <w:rPr>
                <w:rFonts w:hint="cs"/>
                <w:rtl/>
              </w:rPr>
              <w:t>4.16</w:t>
            </w:r>
          </w:p>
        </w:tc>
        <w:tc>
          <w:tcPr>
            <w:tcW w:w="1834" w:type="dxa"/>
            <w:tcBorders>
              <w:top w:val="nil"/>
              <w:bottom w:val="nil"/>
            </w:tcBorders>
          </w:tcPr>
          <w:p w:rsidR="00443EC1" w:rsidRDefault="00443EC1">
            <w:pPr>
              <w:tabs>
                <w:tab w:val="decimal" w:pos="802"/>
              </w:tabs>
              <w:spacing w:before="0" w:after="60" w:line="280" w:lineRule="exact"/>
              <w:jc w:val="both"/>
              <w:rPr>
                <w:rStyle w:val="FootnoteReference"/>
                <w:rFonts w:hint="cs"/>
                <w:bCs w:val="0"/>
                <w:vertAlign w:val="baseline"/>
              </w:rPr>
            </w:pPr>
            <w:r>
              <w:rPr>
                <w:rFonts w:hint="cs"/>
                <w:rtl/>
              </w:rPr>
              <w:t>0.06</w:t>
            </w:r>
          </w:p>
        </w:tc>
        <w:tc>
          <w:tcPr>
            <w:tcW w:w="1820" w:type="dxa"/>
            <w:tcBorders>
              <w:top w:val="nil"/>
              <w:bottom w:val="nil"/>
            </w:tcBorders>
          </w:tcPr>
          <w:p w:rsidR="00443EC1" w:rsidRDefault="00443EC1">
            <w:pPr>
              <w:tabs>
                <w:tab w:val="decimal" w:pos="788"/>
              </w:tabs>
              <w:spacing w:before="0" w:after="60" w:line="280" w:lineRule="exact"/>
              <w:jc w:val="both"/>
              <w:rPr>
                <w:rStyle w:val="FootnoteReference"/>
                <w:rFonts w:hint="cs"/>
                <w:bCs w:val="0"/>
                <w:vertAlign w:val="baseline"/>
              </w:rPr>
            </w:pPr>
            <w:r>
              <w:rPr>
                <w:rFonts w:hint="cs"/>
                <w:rtl/>
              </w:rPr>
              <w:t>0.15</w:t>
            </w:r>
          </w:p>
        </w:tc>
        <w:tc>
          <w:tcPr>
            <w:tcW w:w="1732" w:type="dxa"/>
            <w:tcBorders>
              <w:top w:val="nil"/>
              <w:bottom w:val="nil"/>
            </w:tcBorders>
          </w:tcPr>
          <w:p w:rsidR="00443EC1" w:rsidRDefault="00443EC1">
            <w:pPr>
              <w:tabs>
                <w:tab w:val="decimal" w:pos="648"/>
              </w:tabs>
              <w:spacing w:before="0" w:after="60" w:line="280" w:lineRule="exact"/>
              <w:jc w:val="both"/>
              <w:rPr>
                <w:rStyle w:val="FootnoteReference"/>
                <w:rFonts w:hint="cs"/>
                <w:bCs w:val="0"/>
                <w:vertAlign w:val="baseline"/>
              </w:rPr>
            </w:pPr>
            <w:r>
              <w:rPr>
                <w:rFonts w:hint="cs"/>
                <w:rtl/>
              </w:rPr>
              <w:t>-96.39</w:t>
            </w:r>
          </w:p>
        </w:tc>
      </w:tr>
      <w:tr w:rsidR="00443EC1" w:rsidTr="00443EC1">
        <w:tblPrEx>
          <w:tblCellMar>
            <w:top w:w="0" w:type="dxa"/>
            <w:bottom w:w="0" w:type="dxa"/>
          </w:tblCellMar>
        </w:tblPrEx>
        <w:trPr>
          <w:jc w:val="center"/>
        </w:trPr>
        <w:tc>
          <w:tcPr>
            <w:tcW w:w="2407" w:type="dxa"/>
            <w:tcBorders>
              <w:top w:val="nil"/>
              <w:bottom w:val="nil"/>
            </w:tcBorders>
          </w:tcPr>
          <w:p w:rsidR="00443EC1" w:rsidRDefault="00443EC1">
            <w:pPr>
              <w:spacing w:before="0" w:after="60" w:line="280" w:lineRule="exact"/>
              <w:jc w:val="both"/>
              <w:rPr>
                <w:rStyle w:val="FootnoteReference"/>
                <w:rFonts w:hint="cs"/>
                <w:bCs w:val="0"/>
                <w:vertAlign w:val="baseline"/>
              </w:rPr>
            </w:pPr>
            <w:r>
              <w:rPr>
                <w:rFonts w:hint="cs"/>
                <w:rtl/>
              </w:rPr>
              <w:t>الخناق</w:t>
            </w:r>
          </w:p>
        </w:tc>
        <w:tc>
          <w:tcPr>
            <w:tcW w:w="1777" w:type="dxa"/>
            <w:tcBorders>
              <w:top w:val="nil"/>
              <w:bottom w:val="nil"/>
            </w:tcBorders>
          </w:tcPr>
          <w:p w:rsidR="00443EC1" w:rsidRDefault="00443EC1">
            <w:pPr>
              <w:tabs>
                <w:tab w:val="decimal" w:pos="648"/>
              </w:tabs>
              <w:spacing w:before="0" w:after="60" w:line="280" w:lineRule="exact"/>
              <w:jc w:val="both"/>
              <w:rPr>
                <w:rStyle w:val="FootnoteReference"/>
                <w:rFonts w:hint="cs"/>
                <w:bCs w:val="0"/>
                <w:vertAlign w:val="baseline"/>
              </w:rPr>
            </w:pPr>
            <w:r>
              <w:rPr>
                <w:rFonts w:hint="cs"/>
                <w:rtl/>
              </w:rPr>
              <w:t>1</w:t>
            </w:r>
          </w:p>
        </w:tc>
        <w:tc>
          <w:tcPr>
            <w:tcW w:w="1834" w:type="dxa"/>
            <w:tcBorders>
              <w:top w:val="nil"/>
              <w:bottom w:val="nil"/>
            </w:tcBorders>
          </w:tcPr>
          <w:p w:rsidR="00443EC1" w:rsidRDefault="00443EC1">
            <w:pPr>
              <w:tabs>
                <w:tab w:val="decimal" w:pos="802"/>
              </w:tabs>
              <w:spacing w:before="0" w:after="60" w:line="280" w:lineRule="exact"/>
              <w:jc w:val="both"/>
              <w:rPr>
                <w:rStyle w:val="FootnoteReference"/>
                <w:rFonts w:hint="cs"/>
                <w:bCs w:val="0"/>
                <w:vertAlign w:val="baseline"/>
              </w:rPr>
            </w:pPr>
            <w:r>
              <w:rPr>
                <w:rFonts w:hint="cs"/>
                <w:rtl/>
              </w:rPr>
              <w:t>0.04</w:t>
            </w:r>
          </w:p>
        </w:tc>
        <w:tc>
          <w:tcPr>
            <w:tcW w:w="1820" w:type="dxa"/>
            <w:tcBorders>
              <w:top w:val="nil"/>
              <w:bottom w:val="nil"/>
            </w:tcBorders>
          </w:tcPr>
          <w:p w:rsidR="00443EC1" w:rsidRDefault="00443EC1">
            <w:pPr>
              <w:tabs>
                <w:tab w:val="decimal" w:pos="788"/>
              </w:tabs>
              <w:spacing w:before="0" w:after="60" w:line="280" w:lineRule="exact"/>
              <w:jc w:val="both"/>
              <w:rPr>
                <w:rStyle w:val="FootnoteReference"/>
                <w:rFonts w:hint="cs"/>
                <w:bCs w:val="0"/>
                <w:vertAlign w:val="baseline"/>
              </w:rPr>
            </w:pPr>
            <w:r>
              <w:rPr>
                <w:rFonts w:hint="cs"/>
                <w:rtl/>
              </w:rPr>
              <w:t>صفر</w:t>
            </w:r>
          </w:p>
        </w:tc>
        <w:tc>
          <w:tcPr>
            <w:tcW w:w="1732" w:type="dxa"/>
            <w:tcBorders>
              <w:top w:val="nil"/>
              <w:bottom w:val="nil"/>
            </w:tcBorders>
          </w:tcPr>
          <w:p w:rsidR="00443EC1" w:rsidRDefault="00443EC1">
            <w:pPr>
              <w:tabs>
                <w:tab w:val="decimal" w:pos="648"/>
              </w:tabs>
              <w:spacing w:before="0" w:after="60" w:line="280" w:lineRule="exact"/>
              <w:jc w:val="both"/>
              <w:rPr>
                <w:rStyle w:val="FootnoteReference"/>
                <w:rFonts w:hint="cs"/>
                <w:bCs w:val="0"/>
                <w:vertAlign w:val="baseline"/>
              </w:rPr>
            </w:pPr>
            <w:r>
              <w:rPr>
                <w:rFonts w:hint="cs"/>
                <w:rtl/>
              </w:rPr>
              <w:t>-100.00</w:t>
            </w:r>
          </w:p>
        </w:tc>
      </w:tr>
      <w:tr w:rsidR="00443EC1" w:rsidTr="00443EC1">
        <w:tblPrEx>
          <w:tblCellMar>
            <w:top w:w="0" w:type="dxa"/>
            <w:bottom w:w="0" w:type="dxa"/>
          </w:tblCellMar>
        </w:tblPrEx>
        <w:trPr>
          <w:jc w:val="center"/>
        </w:trPr>
        <w:tc>
          <w:tcPr>
            <w:tcW w:w="2407" w:type="dxa"/>
            <w:tcBorders>
              <w:top w:val="nil"/>
              <w:bottom w:val="nil"/>
            </w:tcBorders>
          </w:tcPr>
          <w:p w:rsidR="00443EC1" w:rsidRDefault="00443EC1">
            <w:pPr>
              <w:spacing w:before="0" w:after="60" w:line="280" w:lineRule="exact"/>
              <w:jc w:val="both"/>
              <w:rPr>
                <w:rStyle w:val="FootnoteReference"/>
                <w:rFonts w:hint="cs"/>
                <w:bCs w:val="0"/>
                <w:vertAlign w:val="baseline"/>
              </w:rPr>
            </w:pPr>
            <w:r>
              <w:rPr>
                <w:rFonts w:hint="cs"/>
                <w:rtl/>
              </w:rPr>
              <w:t>التهاب السحايا</w:t>
            </w:r>
          </w:p>
        </w:tc>
        <w:tc>
          <w:tcPr>
            <w:tcW w:w="1777" w:type="dxa"/>
            <w:tcBorders>
              <w:top w:val="nil"/>
              <w:bottom w:val="nil"/>
            </w:tcBorders>
          </w:tcPr>
          <w:p w:rsidR="00443EC1" w:rsidRDefault="00443EC1">
            <w:pPr>
              <w:tabs>
                <w:tab w:val="decimal" w:pos="648"/>
              </w:tabs>
              <w:spacing w:before="0" w:after="60" w:line="280" w:lineRule="exact"/>
              <w:jc w:val="both"/>
              <w:rPr>
                <w:rStyle w:val="FootnoteReference"/>
                <w:rFonts w:hint="cs"/>
                <w:bCs w:val="0"/>
                <w:vertAlign w:val="baseline"/>
              </w:rPr>
            </w:pPr>
            <w:r>
              <w:rPr>
                <w:rFonts w:hint="cs"/>
                <w:rtl/>
              </w:rPr>
              <w:t>23.44</w:t>
            </w:r>
          </w:p>
        </w:tc>
        <w:tc>
          <w:tcPr>
            <w:tcW w:w="1834" w:type="dxa"/>
            <w:tcBorders>
              <w:top w:val="nil"/>
              <w:bottom w:val="nil"/>
            </w:tcBorders>
          </w:tcPr>
          <w:p w:rsidR="00443EC1" w:rsidRDefault="00443EC1">
            <w:pPr>
              <w:tabs>
                <w:tab w:val="decimal" w:pos="802"/>
              </w:tabs>
              <w:spacing w:before="0" w:after="60" w:line="280" w:lineRule="exact"/>
              <w:jc w:val="both"/>
              <w:rPr>
                <w:rStyle w:val="FootnoteReference"/>
                <w:rFonts w:hint="cs"/>
                <w:bCs w:val="0"/>
                <w:vertAlign w:val="baseline"/>
              </w:rPr>
            </w:pPr>
            <w:r>
              <w:rPr>
                <w:rFonts w:hint="cs"/>
                <w:rtl/>
              </w:rPr>
              <w:t>0.87</w:t>
            </w:r>
          </w:p>
        </w:tc>
        <w:tc>
          <w:tcPr>
            <w:tcW w:w="1820" w:type="dxa"/>
            <w:tcBorders>
              <w:top w:val="nil"/>
              <w:bottom w:val="nil"/>
            </w:tcBorders>
          </w:tcPr>
          <w:p w:rsidR="00443EC1" w:rsidRDefault="00443EC1">
            <w:pPr>
              <w:tabs>
                <w:tab w:val="decimal" w:pos="788"/>
              </w:tabs>
              <w:spacing w:before="0" w:after="60" w:line="280" w:lineRule="exact"/>
              <w:jc w:val="both"/>
              <w:rPr>
                <w:rStyle w:val="FootnoteReference"/>
                <w:rFonts w:hint="cs"/>
                <w:bCs w:val="0"/>
                <w:vertAlign w:val="baseline"/>
              </w:rPr>
            </w:pPr>
            <w:r>
              <w:rPr>
                <w:rFonts w:hint="cs"/>
                <w:rtl/>
              </w:rPr>
              <w:t>0.19</w:t>
            </w:r>
          </w:p>
        </w:tc>
        <w:tc>
          <w:tcPr>
            <w:tcW w:w="1732" w:type="dxa"/>
            <w:tcBorders>
              <w:top w:val="nil"/>
              <w:bottom w:val="nil"/>
            </w:tcBorders>
          </w:tcPr>
          <w:p w:rsidR="00443EC1" w:rsidRDefault="00443EC1">
            <w:pPr>
              <w:tabs>
                <w:tab w:val="decimal" w:pos="648"/>
              </w:tabs>
              <w:spacing w:before="0" w:after="60" w:line="280" w:lineRule="exact"/>
              <w:jc w:val="both"/>
              <w:rPr>
                <w:rStyle w:val="FootnoteReference"/>
                <w:rFonts w:hint="cs"/>
                <w:bCs w:val="0"/>
                <w:vertAlign w:val="baseline"/>
              </w:rPr>
            </w:pPr>
            <w:r>
              <w:rPr>
                <w:rFonts w:hint="cs"/>
                <w:rtl/>
              </w:rPr>
              <w:t>-99.19</w:t>
            </w:r>
          </w:p>
        </w:tc>
      </w:tr>
      <w:tr w:rsidR="00443EC1" w:rsidTr="00443EC1">
        <w:tblPrEx>
          <w:tblCellMar>
            <w:top w:w="0" w:type="dxa"/>
            <w:bottom w:w="0" w:type="dxa"/>
          </w:tblCellMar>
        </w:tblPrEx>
        <w:trPr>
          <w:jc w:val="center"/>
        </w:trPr>
        <w:tc>
          <w:tcPr>
            <w:tcW w:w="2407" w:type="dxa"/>
            <w:tcBorders>
              <w:top w:val="nil"/>
              <w:bottom w:val="nil"/>
            </w:tcBorders>
          </w:tcPr>
          <w:p w:rsidR="00443EC1" w:rsidRDefault="00443EC1">
            <w:pPr>
              <w:spacing w:before="0" w:after="60" w:line="280" w:lineRule="exact"/>
              <w:jc w:val="both"/>
              <w:rPr>
                <w:rStyle w:val="FootnoteReference"/>
                <w:rFonts w:hint="cs"/>
                <w:bCs w:val="0"/>
                <w:vertAlign w:val="baseline"/>
              </w:rPr>
            </w:pPr>
            <w:r>
              <w:rPr>
                <w:rFonts w:hint="cs"/>
                <w:rtl/>
              </w:rPr>
              <w:t>الشهاق</w:t>
            </w:r>
          </w:p>
        </w:tc>
        <w:tc>
          <w:tcPr>
            <w:tcW w:w="1777" w:type="dxa"/>
            <w:tcBorders>
              <w:top w:val="nil"/>
              <w:bottom w:val="nil"/>
            </w:tcBorders>
          </w:tcPr>
          <w:p w:rsidR="00443EC1" w:rsidRDefault="00443EC1">
            <w:pPr>
              <w:tabs>
                <w:tab w:val="decimal" w:pos="648"/>
              </w:tabs>
              <w:spacing w:before="0" w:after="60" w:line="280" w:lineRule="exact"/>
              <w:jc w:val="both"/>
              <w:rPr>
                <w:rStyle w:val="FootnoteReference"/>
                <w:rFonts w:hint="cs"/>
                <w:bCs w:val="0"/>
                <w:vertAlign w:val="baseline"/>
              </w:rPr>
            </w:pPr>
            <w:r>
              <w:rPr>
                <w:rFonts w:hint="cs"/>
                <w:rtl/>
              </w:rPr>
              <w:t>62.82</w:t>
            </w:r>
          </w:p>
        </w:tc>
        <w:tc>
          <w:tcPr>
            <w:tcW w:w="1834" w:type="dxa"/>
            <w:tcBorders>
              <w:top w:val="nil"/>
              <w:bottom w:val="nil"/>
            </w:tcBorders>
          </w:tcPr>
          <w:p w:rsidR="00443EC1" w:rsidRDefault="00443EC1">
            <w:pPr>
              <w:tabs>
                <w:tab w:val="decimal" w:pos="802"/>
              </w:tabs>
              <w:spacing w:before="0" w:after="60" w:line="280" w:lineRule="exact"/>
              <w:jc w:val="both"/>
              <w:rPr>
                <w:rStyle w:val="FootnoteReference"/>
                <w:rFonts w:hint="cs"/>
                <w:bCs w:val="0"/>
                <w:vertAlign w:val="baseline"/>
              </w:rPr>
            </w:pPr>
            <w:r>
              <w:rPr>
                <w:rFonts w:hint="cs"/>
                <w:rtl/>
              </w:rPr>
              <w:t>1.76</w:t>
            </w:r>
          </w:p>
        </w:tc>
        <w:tc>
          <w:tcPr>
            <w:tcW w:w="1820" w:type="dxa"/>
            <w:tcBorders>
              <w:top w:val="nil"/>
              <w:bottom w:val="nil"/>
            </w:tcBorders>
          </w:tcPr>
          <w:p w:rsidR="00443EC1" w:rsidRDefault="00443EC1">
            <w:pPr>
              <w:tabs>
                <w:tab w:val="decimal" w:pos="788"/>
              </w:tabs>
              <w:spacing w:before="0" w:after="60" w:line="280" w:lineRule="exact"/>
              <w:jc w:val="both"/>
              <w:rPr>
                <w:rStyle w:val="FootnoteReference"/>
                <w:rFonts w:hint="cs"/>
                <w:bCs w:val="0"/>
                <w:vertAlign w:val="baseline"/>
              </w:rPr>
            </w:pPr>
            <w:r>
              <w:rPr>
                <w:rFonts w:hint="cs"/>
                <w:rtl/>
              </w:rPr>
              <w:t>0.45</w:t>
            </w:r>
          </w:p>
        </w:tc>
        <w:tc>
          <w:tcPr>
            <w:tcW w:w="1732" w:type="dxa"/>
            <w:tcBorders>
              <w:top w:val="nil"/>
              <w:bottom w:val="nil"/>
            </w:tcBorders>
          </w:tcPr>
          <w:p w:rsidR="00443EC1" w:rsidRDefault="00443EC1">
            <w:pPr>
              <w:tabs>
                <w:tab w:val="decimal" w:pos="648"/>
              </w:tabs>
              <w:spacing w:before="0" w:after="60" w:line="280" w:lineRule="exact"/>
              <w:jc w:val="both"/>
              <w:rPr>
                <w:rStyle w:val="FootnoteReference"/>
                <w:rFonts w:hint="cs"/>
                <w:bCs w:val="0"/>
                <w:vertAlign w:val="baseline"/>
              </w:rPr>
            </w:pPr>
            <w:r>
              <w:rPr>
                <w:rFonts w:hint="cs"/>
                <w:rtl/>
              </w:rPr>
              <w:t>-99.28</w:t>
            </w:r>
          </w:p>
        </w:tc>
      </w:tr>
      <w:tr w:rsidR="00443EC1" w:rsidTr="00443EC1">
        <w:tblPrEx>
          <w:tblCellMar>
            <w:top w:w="0" w:type="dxa"/>
            <w:bottom w:w="0" w:type="dxa"/>
          </w:tblCellMar>
        </w:tblPrEx>
        <w:trPr>
          <w:jc w:val="center"/>
        </w:trPr>
        <w:tc>
          <w:tcPr>
            <w:tcW w:w="2407" w:type="dxa"/>
            <w:tcBorders>
              <w:top w:val="nil"/>
              <w:bottom w:val="nil"/>
            </w:tcBorders>
          </w:tcPr>
          <w:p w:rsidR="00443EC1" w:rsidRDefault="00443EC1">
            <w:pPr>
              <w:spacing w:before="0" w:after="60" w:line="280" w:lineRule="exact"/>
              <w:jc w:val="both"/>
              <w:rPr>
                <w:rStyle w:val="FootnoteReference"/>
                <w:rFonts w:hint="cs"/>
                <w:bCs w:val="0"/>
                <w:vertAlign w:val="baseline"/>
              </w:rPr>
            </w:pPr>
            <w:r>
              <w:rPr>
                <w:rFonts w:hint="cs"/>
                <w:rtl/>
              </w:rPr>
              <w:t>الحمى القرمزية</w:t>
            </w:r>
          </w:p>
        </w:tc>
        <w:tc>
          <w:tcPr>
            <w:tcW w:w="1777" w:type="dxa"/>
            <w:tcBorders>
              <w:top w:val="nil"/>
              <w:bottom w:val="nil"/>
            </w:tcBorders>
          </w:tcPr>
          <w:p w:rsidR="00443EC1" w:rsidRDefault="00443EC1">
            <w:pPr>
              <w:tabs>
                <w:tab w:val="decimal" w:pos="648"/>
              </w:tabs>
              <w:spacing w:before="0" w:after="60" w:line="280" w:lineRule="exact"/>
              <w:jc w:val="both"/>
              <w:rPr>
                <w:rStyle w:val="FootnoteReference"/>
                <w:rFonts w:hint="cs"/>
                <w:bCs w:val="0"/>
                <w:vertAlign w:val="baseline"/>
              </w:rPr>
            </w:pPr>
            <w:r>
              <w:rPr>
                <w:rFonts w:hint="cs"/>
                <w:rtl/>
              </w:rPr>
              <w:t>10.95</w:t>
            </w:r>
          </w:p>
        </w:tc>
        <w:tc>
          <w:tcPr>
            <w:tcW w:w="1834" w:type="dxa"/>
            <w:tcBorders>
              <w:top w:val="nil"/>
              <w:bottom w:val="nil"/>
            </w:tcBorders>
          </w:tcPr>
          <w:p w:rsidR="00443EC1" w:rsidRDefault="00443EC1">
            <w:pPr>
              <w:tabs>
                <w:tab w:val="decimal" w:pos="802"/>
              </w:tabs>
              <w:spacing w:before="0" w:after="60" w:line="280" w:lineRule="exact"/>
              <w:jc w:val="both"/>
              <w:rPr>
                <w:rStyle w:val="FootnoteReference"/>
                <w:rFonts w:hint="cs"/>
                <w:bCs w:val="0"/>
                <w:vertAlign w:val="baseline"/>
              </w:rPr>
            </w:pPr>
            <w:r>
              <w:rPr>
                <w:rFonts w:hint="cs"/>
                <w:rtl/>
              </w:rPr>
              <w:t>2.66</w:t>
            </w:r>
          </w:p>
        </w:tc>
        <w:tc>
          <w:tcPr>
            <w:tcW w:w="1820" w:type="dxa"/>
            <w:tcBorders>
              <w:top w:val="nil"/>
              <w:bottom w:val="nil"/>
            </w:tcBorders>
          </w:tcPr>
          <w:p w:rsidR="00443EC1" w:rsidRDefault="00443EC1">
            <w:pPr>
              <w:tabs>
                <w:tab w:val="decimal" w:pos="788"/>
              </w:tabs>
              <w:spacing w:before="0" w:after="60" w:line="280" w:lineRule="exact"/>
              <w:jc w:val="both"/>
              <w:rPr>
                <w:rStyle w:val="FootnoteReference"/>
                <w:rFonts w:hint="cs"/>
                <w:bCs w:val="0"/>
                <w:vertAlign w:val="baseline"/>
              </w:rPr>
            </w:pPr>
            <w:r>
              <w:rPr>
                <w:rFonts w:hint="cs"/>
                <w:rtl/>
              </w:rPr>
              <w:t>1.03</w:t>
            </w:r>
          </w:p>
        </w:tc>
        <w:tc>
          <w:tcPr>
            <w:tcW w:w="1732" w:type="dxa"/>
            <w:tcBorders>
              <w:top w:val="nil"/>
              <w:bottom w:val="nil"/>
            </w:tcBorders>
          </w:tcPr>
          <w:p w:rsidR="00443EC1" w:rsidRDefault="00443EC1">
            <w:pPr>
              <w:tabs>
                <w:tab w:val="decimal" w:pos="648"/>
              </w:tabs>
              <w:spacing w:before="0" w:after="60" w:line="280" w:lineRule="exact"/>
              <w:jc w:val="both"/>
              <w:rPr>
                <w:rStyle w:val="FootnoteReference"/>
                <w:rFonts w:hint="cs"/>
                <w:bCs w:val="0"/>
                <w:vertAlign w:val="baseline"/>
              </w:rPr>
            </w:pPr>
            <w:r>
              <w:rPr>
                <w:rFonts w:hint="cs"/>
                <w:rtl/>
              </w:rPr>
              <w:t>-90.59</w:t>
            </w:r>
          </w:p>
        </w:tc>
      </w:tr>
      <w:tr w:rsidR="00443EC1" w:rsidTr="00443EC1">
        <w:tblPrEx>
          <w:tblCellMar>
            <w:top w:w="0" w:type="dxa"/>
            <w:bottom w:w="0" w:type="dxa"/>
          </w:tblCellMar>
        </w:tblPrEx>
        <w:trPr>
          <w:jc w:val="center"/>
        </w:trPr>
        <w:tc>
          <w:tcPr>
            <w:tcW w:w="2407" w:type="dxa"/>
            <w:tcBorders>
              <w:top w:val="nil"/>
              <w:bottom w:val="nil"/>
            </w:tcBorders>
          </w:tcPr>
          <w:p w:rsidR="00443EC1" w:rsidRDefault="00443EC1">
            <w:pPr>
              <w:spacing w:before="0" w:after="60" w:line="280" w:lineRule="exact"/>
              <w:jc w:val="both"/>
              <w:rPr>
                <w:rStyle w:val="FootnoteReference"/>
                <w:rFonts w:hint="cs"/>
                <w:bCs w:val="0"/>
                <w:vertAlign w:val="baseline"/>
              </w:rPr>
            </w:pPr>
            <w:r>
              <w:rPr>
                <w:rFonts w:hint="cs"/>
                <w:rtl/>
              </w:rPr>
              <w:t>الحصبة</w:t>
            </w:r>
          </w:p>
        </w:tc>
        <w:tc>
          <w:tcPr>
            <w:tcW w:w="1777" w:type="dxa"/>
            <w:tcBorders>
              <w:top w:val="nil"/>
              <w:bottom w:val="nil"/>
            </w:tcBorders>
          </w:tcPr>
          <w:p w:rsidR="00443EC1" w:rsidRDefault="00443EC1">
            <w:pPr>
              <w:tabs>
                <w:tab w:val="decimal" w:pos="648"/>
              </w:tabs>
              <w:spacing w:before="0" w:after="60" w:line="280" w:lineRule="exact"/>
              <w:jc w:val="both"/>
              <w:rPr>
                <w:rStyle w:val="FootnoteReference"/>
                <w:rFonts w:hint="cs"/>
                <w:bCs w:val="0"/>
                <w:vertAlign w:val="baseline"/>
              </w:rPr>
            </w:pPr>
            <w:r>
              <w:rPr>
                <w:rFonts w:hint="cs"/>
                <w:rtl/>
              </w:rPr>
              <w:t>114.88</w:t>
            </w:r>
          </w:p>
        </w:tc>
        <w:tc>
          <w:tcPr>
            <w:tcW w:w="1834" w:type="dxa"/>
            <w:tcBorders>
              <w:top w:val="nil"/>
              <w:bottom w:val="nil"/>
            </w:tcBorders>
          </w:tcPr>
          <w:p w:rsidR="00443EC1" w:rsidRDefault="00443EC1">
            <w:pPr>
              <w:tabs>
                <w:tab w:val="decimal" w:pos="802"/>
              </w:tabs>
              <w:spacing w:before="0" w:after="60" w:line="280" w:lineRule="exact"/>
              <w:jc w:val="both"/>
              <w:rPr>
                <w:rStyle w:val="FootnoteReference"/>
                <w:rFonts w:hint="cs"/>
                <w:bCs w:val="0"/>
                <w:vertAlign w:val="baseline"/>
              </w:rPr>
            </w:pPr>
            <w:r>
              <w:rPr>
                <w:rFonts w:hint="cs"/>
                <w:rtl/>
              </w:rPr>
              <w:t>7.59</w:t>
            </w:r>
          </w:p>
        </w:tc>
        <w:tc>
          <w:tcPr>
            <w:tcW w:w="1820" w:type="dxa"/>
            <w:tcBorders>
              <w:top w:val="nil"/>
              <w:bottom w:val="nil"/>
            </w:tcBorders>
          </w:tcPr>
          <w:p w:rsidR="00443EC1" w:rsidRDefault="00443EC1">
            <w:pPr>
              <w:tabs>
                <w:tab w:val="decimal" w:pos="788"/>
              </w:tabs>
              <w:spacing w:before="0" w:after="60" w:line="280" w:lineRule="exact"/>
              <w:jc w:val="both"/>
              <w:rPr>
                <w:rStyle w:val="FootnoteReference"/>
                <w:rFonts w:hint="cs"/>
                <w:bCs w:val="0"/>
                <w:vertAlign w:val="baseline"/>
              </w:rPr>
            </w:pPr>
            <w:r>
              <w:rPr>
                <w:rFonts w:hint="cs"/>
                <w:rtl/>
              </w:rPr>
              <w:t>5.74</w:t>
            </w:r>
          </w:p>
        </w:tc>
        <w:tc>
          <w:tcPr>
            <w:tcW w:w="1732" w:type="dxa"/>
            <w:tcBorders>
              <w:top w:val="nil"/>
              <w:bottom w:val="nil"/>
            </w:tcBorders>
          </w:tcPr>
          <w:p w:rsidR="00443EC1" w:rsidRDefault="00443EC1">
            <w:pPr>
              <w:tabs>
                <w:tab w:val="decimal" w:pos="648"/>
              </w:tabs>
              <w:spacing w:before="0" w:after="60" w:line="280" w:lineRule="exact"/>
              <w:jc w:val="both"/>
              <w:rPr>
                <w:rStyle w:val="FootnoteReference"/>
                <w:rFonts w:hint="cs"/>
                <w:bCs w:val="0"/>
                <w:vertAlign w:val="baseline"/>
              </w:rPr>
            </w:pPr>
            <w:r>
              <w:rPr>
                <w:rFonts w:hint="cs"/>
                <w:rtl/>
              </w:rPr>
              <w:t>-95.00</w:t>
            </w:r>
          </w:p>
        </w:tc>
      </w:tr>
      <w:tr w:rsidR="00443EC1" w:rsidTr="00443EC1">
        <w:tblPrEx>
          <w:tblCellMar>
            <w:top w:w="0" w:type="dxa"/>
            <w:bottom w:w="0" w:type="dxa"/>
          </w:tblCellMar>
        </w:tblPrEx>
        <w:trPr>
          <w:jc w:val="center"/>
        </w:trPr>
        <w:tc>
          <w:tcPr>
            <w:tcW w:w="2407" w:type="dxa"/>
            <w:tcBorders>
              <w:top w:val="nil"/>
              <w:bottom w:val="nil"/>
            </w:tcBorders>
          </w:tcPr>
          <w:p w:rsidR="00443EC1" w:rsidRDefault="00443EC1">
            <w:pPr>
              <w:spacing w:before="0" w:after="60" w:line="280" w:lineRule="exact"/>
              <w:jc w:val="both"/>
              <w:rPr>
                <w:rStyle w:val="FootnoteReference"/>
                <w:rFonts w:hint="cs"/>
                <w:bCs w:val="0"/>
                <w:vertAlign w:val="baseline"/>
              </w:rPr>
            </w:pPr>
            <w:r>
              <w:rPr>
                <w:rFonts w:hint="cs"/>
                <w:rtl/>
              </w:rPr>
              <w:t>الزُحار</w:t>
            </w:r>
          </w:p>
        </w:tc>
        <w:tc>
          <w:tcPr>
            <w:tcW w:w="1777" w:type="dxa"/>
            <w:tcBorders>
              <w:top w:val="nil"/>
              <w:bottom w:val="nil"/>
            </w:tcBorders>
          </w:tcPr>
          <w:p w:rsidR="00443EC1" w:rsidRDefault="00443EC1">
            <w:pPr>
              <w:tabs>
                <w:tab w:val="decimal" w:pos="648"/>
              </w:tabs>
              <w:spacing w:before="0" w:after="60" w:line="280" w:lineRule="exact"/>
              <w:jc w:val="both"/>
              <w:rPr>
                <w:rStyle w:val="FootnoteReference"/>
                <w:rFonts w:hint="cs"/>
                <w:bCs w:val="0"/>
                <w:vertAlign w:val="baseline"/>
              </w:rPr>
            </w:pPr>
            <w:r>
              <w:rPr>
                <w:rFonts w:hint="cs"/>
                <w:rtl/>
              </w:rPr>
              <w:t>568.99</w:t>
            </w:r>
          </w:p>
        </w:tc>
        <w:tc>
          <w:tcPr>
            <w:tcW w:w="1834" w:type="dxa"/>
            <w:tcBorders>
              <w:top w:val="nil"/>
              <w:bottom w:val="nil"/>
            </w:tcBorders>
          </w:tcPr>
          <w:p w:rsidR="00443EC1" w:rsidRDefault="00443EC1">
            <w:pPr>
              <w:tabs>
                <w:tab w:val="decimal" w:pos="802"/>
              </w:tabs>
              <w:spacing w:before="0" w:after="60" w:line="280" w:lineRule="exact"/>
              <w:jc w:val="both"/>
              <w:rPr>
                <w:rStyle w:val="FootnoteReference"/>
                <w:rFonts w:hint="cs"/>
                <w:bCs w:val="0"/>
                <w:vertAlign w:val="baseline"/>
              </w:rPr>
            </w:pPr>
            <w:r>
              <w:rPr>
                <w:rFonts w:hint="cs"/>
                <w:rtl/>
              </w:rPr>
              <w:t>125.28</w:t>
            </w:r>
          </w:p>
        </w:tc>
        <w:tc>
          <w:tcPr>
            <w:tcW w:w="1820" w:type="dxa"/>
            <w:tcBorders>
              <w:top w:val="nil"/>
              <w:bottom w:val="nil"/>
            </w:tcBorders>
          </w:tcPr>
          <w:p w:rsidR="00443EC1" w:rsidRDefault="00443EC1">
            <w:pPr>
              <w:tabs>
                <w:tab w:val="decimal" w:pos="788"/>
              </w:tabs>
              <w:spacing w:before="0" w:after="60" w:line="280" w:lineRule="exact"/>
              <w:jc w:val="both"/>
              <w:rPr>
                <w:rStyle w:val="FootnoteReference"/>
                <w:rFonts w:hint="cs"/>
                <w:bCs w:val="0"/>
                <w:vertAlign w:val="baseline"/>
              </w:rPr>
            </w:pPr>
            <w:r>
              <w:rPr>
                <w:rFonts w:hint="cs"/>
                <w:rtl/>
              </w:rPr>
              <w:t>39.65</w:t>
            </w:r>
          </w:p>
        </w:tc>
        <w:tc>
          <w:tcPr>
            <w:tcW w:w="1732" w:type="dxa"/>
            <w:tcBorders>
              <w:top w:val="nil"/>
              <w:bottom w:val="nil"/>
            </w:tcBorders>
          </w:tcPr>
          <w:p w:rsidR="00443EC1" w:rsidRDefault="00443EC1">
            <w:pPr>
              <w:tabs>
                <w:tab w:val="decimal" w:pos="648"/>
              </w:tabs>
              <w:spacing w:before="0" w:after="60" w:line="280" w:lineRule="exact"/>
              <w:jc w:val="both"/>
              <w:rPr>
                <w:rStyle w:val="FootnoteReference"/>
                <w:rFonts w:hint="cs"/>
                <w:bCs w:val="0"/>
                <w:vertAlign w:val="baseline"/>
              </w:rPr>
            </w:pPr>
            <w:r>
              <w:rPr>
                <w:rFonts w:hint="cs"/>
                <w:rtl/>
              </w:rPr>
              <w:t>-93.03</w:t>
            </w:r>
          </w:p>
        </w:tc>
      </w:tr>
      <w:tr w:rsidR="00443EC1" w:rsidTr="00443EC1">
        <w:tblPrEx>
          <w:tblCellMar>
            <w:top w:w="0" w:type="dxa"/>
            <w:bottom w:w="0" w:type="dxa"/>
          </w:tblCellMar>
        </w:tblPrEx>
        <w:trPr>
          <w:jc w:val="center"/>
        </w:trPr>
        <w:tc>
          <w:tcPr>
            <w:tcW w:w="2407" w:type="dxa"/>
            <w:tcBorders>
              <w:top w:val="nil"/>
              <w:bottom w:val="nil"/>
            </w:tcBorders>
          </w:tcPr>
          <w:p w:rsidR="00443EC1" w:rsidRDefault="00443EC1">
            <w:pPr>
              <w:spacing w:before="0" w:after="60" w:line="280" w:lineRule="exact"/>
              <w:jc w:val="both"/>
              <w:rPr>
                <w:rStyle w:val="FootnoteReference"/>
                <w:rFonts w:hint="cs"/>
                <w:bCs w:val="0"/>
                <w:vertAlign w:val="baseline"/>
              </w:rPr>
            </w:pPr>
            <w:r>
              <w:rPr>
                <w:rFonts w:hint="cs"/>
                <w:rtl/>
              </w:rPr>
              <w:t>الحمى التيفية وشبه التيفية</w:t>
            </w:r>
          </w:p>
        </w:tc>
        <w:tc>
          <w:tcPr>
            <w:tcW w:w="1777" w:type="dxa"/>
            <w:tcBorders>
              <w:top w:val="nil"/>
              <w:bottom w:val="nil"/>
            </w:tcBorders>
          </w:tcPr>
          <w:p w:rsidR="00443EC1" w:rsidRDefault="00443EC1">
            <w:pPr>
              <w:tabs>
                <w:tab w:val="decimal" w:pos="648"/>
              </w:tabs>
              <w:spacing w:before="0" w:after="60" w:line="280" w:lineRule="exact"/>
              <w:jc w:val="both"/>
              <w:rPr>
                <w:rStyle w:val="FootnoteReference"/>
                <w:rFonts w:hint="cs"/>
                <w:bCs w:val="0"/>
                <w:vertAlign w:val="baseline"/>
              </w:rPr>
            </w:pPr>
            <w:r>
              <w:rPr>
                <w:rFonts w:hint="cs"/>
                <w:rtl/>
              </w:rPr>
              <w:t>11.94</w:t>
            </w:r>
          </w:p>
        </w:tc>
        <w:tc>
          <w:tcPr>
            <w:tcW w:w="1834" w:type="dxa"/>
            <w:tcBorders>
              <w:top w:val="nil"/>
              <w:bottom w:val="nil"/>
            </w:tcBorders>
          </w:tcPr>
          <w:p w:rsidR="00443EC1" w:rsidRDefault="00443EC1">
            <w:pPr>
              <w:tabs>
                <w:tab w:val="decimal" w:pos="802"/>
              </w:tabs>
              <w:spacing w:before="0" w:after="60" w:line="280" w:lineRule="exact"/>
              <w:jc w:val="both"/>
              <w:rPr>
                <w:rStyle w:val="FootnoteReference"/>
                <w:rFonts w:hint="cs"/>
                <w:bCs w:val="0"/>
                <w:vertAlign w:val="baseline"/>
              </w:rPr>
            </w:pPr>
            <w:r>
              <w:rPr>
                <w:rFonts w:hint="cs"/>
                <w:rtl/>
              </w:rPr>
              <w:t>10.14</w:t>
            </w:r>
          </w:p>
        </w:tc>
        <w:tc>
          <w:tcPr>
            <w:tcW w:w="1820" w:type="dxa"/>
            <w:tcBorders>
              <w:top w:val="nil"/>
              <w:bottom w:val="nil"/>
            </w:tcBorders>
          </w:tcPr>
          <w:p w:rsidR="00443EC1" w:rsidRDefault="00443EC1">
            <w:pPr>
              <w:tabs>
                <w:tab w:val="decimal" w:pos="788"/>
              </w:tabs>
              <w:spacing w:before="0" w:after="60" w:line="280" w:lineRule="exact"/>
              <w:jc w:val="both"/>
              <w:rPr>
                <w:rStyle w:val="FootnoteReference"/>
                <w:rFonts w:hint="cs"/>
                <w:bCs w:val="0"/>
                <w:vertAlign w:val="baseline"/>
              </w:rPr>
            </w:pPr>
            <w:r>
              <w:rPr>
                <w:rFonts w:hint="cs"/>
                <w:rtl/>
              </w:rPr>
              <w:t>3.9</w:t>
            </w:r>
          </w:p>
        </w:tc>
        <w:tc>
          <w:tcPr>
            <w:tcW w:w="1732" w:type="dxa"/>
            <w:tcBorders>
              <w:top w:val="nil"/>
              <w:bottom w:val="nil"/>
            </w:tcBorders>
          </w:tcPr>
          <w:p w:rsidR="00443EC1" w:rsidRDefault="00443EC1">
            <w:pPr>
              <w:tabs>
                <w:tab w:val="decimal" w:pos="648"/>
              </w:tabs>
              <w:spacing w:before="0" w:after="60" w:line="280" w:lineRule="exact"/>
              <w:jc w:val="both"/>
              <w:rPr>
                <w:rStyle w:val="FootnoteReference"/>
                <w:rFonts w:hint="cs"/>
                <w:bCs w:val="0"/>
                <w:vertAlign w:val="baseline"/>
              </w:rPr>
            </w:pPr>
            <w:r>
              <w:rPr>
                <w:rFonts w:hint="cs"/>
                <w:rtl/>
              </w:rPr>
              <w:t>-67.34</w:t>
            </w:r>
          </w:p>
        </w:tc>
      </w:tr>
      <w:tr w:rsidR="00443EC1" w:rsidTr="00443EC1">
        <w:tblPrEx>
          <w:tblCellMar>
            <w:top w:w="0" w:type="dxa"/>
            <w:bottom w:w="0" w:type="dxa"/>
          </w:tblCellMar>
        </w:tblPrEx>
        <w:trPr>
          <w:jc w:val="center"/>
        </w:trPr>
        <w:tc>
          <w:tcPr>
            <w:tcW w:w="2407" w:type="dxa"/>
            <w:tcBorders>
              <w:top w:val="nil"/>
              <w:bottom w:val="nil"/>
            </w:tcBorders>
          </w:tcPr>
          <w:p w:rsidR="00443EC1" w:rsidRDefault="00443EC1">
            <w:pPr>
              <w:spacing w:before="0" w:after="60" w:line="280" w:lineRule="exact"/>
              <w:jc w:val="both"/>
              <w:rPr>
                <w:rStyle w:val="FootnoteReference"/>
                <w:rFonts w:hint="cs"/>
                <w:bCs w:val="0"/>
                <w:vertAlign w:val="baseline"/>
              </w:rPr>
            </w:pPr>
            <w:r>
              <w:rPr>
                <w:rFonts w:hint="cs"/>
                <w:rtl/>
              </w:rPr>
              <w:t>التهاب الكبد الفيروسي</w:t>
            </w:r>
          </w:p>
        </w:tc>
        <w:tc>
          <w:tcPr>
            <w:tcW w:w="1777" w:type="dxa"/>
            <w:tcBorders>
              <w:top w:val="nil"/>
              <w:bottom w:val="nil"/>
            </w:tcBorders>
          </w:tcPr>
          <w:p w:rsidR="00443EC1" w:rsidRDefault="00443EC1">
            <w:pPr>
              <w:tabs>
                <w:tab w:val="decimal" w:pos="648"/>
              </w:tabs>
              <w:spacing w:before="0" w:after="60" w:line="280" w:lineRule="exact"/>
              <w:jc w:val="both"/>
              <w:rPr>
                <w:rStyle w:val="FootnoteReference"/>
                <w:rFonts w:hint="cs"/>
                <w:bCs w:val="0"/>
                <w:vertAlign w:val="baseline"/>
              </w:rPr>
            </w:pPr>
            <w:r>
              <w:rPr>
                <w:rFonts w:hint="cs"/>
                <w:rtl/>
              </w:rPr>
              <w:t>111.47</w:t>
            </w:r>
          </w:p>
        </w:tc>
        <w:tc>
          <w:tcPr>
            <w:tcW w:w="1834" w:type="dxa"/>
            <w:tcBorders>
              <w:top w:val="nil"/>
              <w:bottom w:val="nil"/>
            </w:tcBorders>
          </w:tcPr>
          <w:p w:rsidR="00443EC1" w:rsidRDefault="00443EC1">
            <w:pPr>
              <w:tabs>
                <w:tab w:val="decimal" w:pos="802"/>
              </w:tabs>
              <w:spacing w:before="0" w:after="60" w:line="280" w:lineRule="exact"/>
              <w:jc w:val="both"/>
              <w:rPr>
                <w:rStyle w:val="FootnoteReference"/>
                <w:rFonts w:hint="cs"/>
                <w:bCs w:val="0"/>
                <w:vertAlign w:val="baseline"/>
              </w:rPr>
            </w:pPr>
            <w:r>
              <w:rPr>
                <w:rFonts w:hint="cs"/>
                <w:rtl/>
              </w:rPr>
              <w:t>115.58</w:t>
            </w:r>
          </w:p>
        </w:tc>
        <w:tc>
          <w:tcPr>
            <w:tcW w:w="1820" w:type="dxa"/>
            <w:tcBorders>
              <w:top w:val="nil"/>
              <w:bottom w:val="nil"/>
            </w:tcBorders>
          </w:tcPr>
          <w:p w:rsidR="00443EC1" w:rsidRDefault="00443EC1">
            <w:pPr>
              <w:tabs>
                <w:tab w:val="decimal" w:pos="788"/>
              </w:tabs>
              <w:spacing w:before="0" w:after="60" w:line="280" w:lineRule="exact"/>
              <w:jc w:val="both"/>
              <w:rPr>
                <w:rStyle w:val="FootnoteReference"/>
                <w:rFonts w:hint="cs"/>
                <w:bCs w:val="0"/>
                <w:vertAlign w:val="baseline"/>
              </w:rPr>
            </w:pPr>
            <w:r>
              <w:rPr>
                <w:rFonts w:hint="cs"/>
                <w:rtl/>
              </w:rPr>
              <w:t>63.04</w:t>
            </w:r>
          </w:p>
        </w:tc>
        <w:tc>
          <w:tcPr>
            <w:tcW w:w="1732" w:type="dxa"/>
            <w:tcBorders>
              <w:top w:val="nil"/>
              <w:bottom w:val="nil"/>
            </w:tcBorders>
          </w:tcPr>
          <w:p w:rsidR="00443EC1" w:rsidRDefault="00443EC1">
            <w:pPr>
              <w:tabs>
                <w:tab w:val="decimal" w:pos="648"/>
              </w:tabs>
              <w:spacing w:before="0" w:after="60" w:line="280" w:lineRule="exact"/>
              <w:jc w:val="both"/>
              <w:rPr>
                <w:rStyle w:val="FootnoteReference"/>
                <w:rFonts w:hint="cs"/>
                <w:bCs w:val="0"/>
                <w:vertAlign w:val="baseline"/>
              </w:rPr>
            </w:pPr>
            <w:r>
              <w:rPr>
                <w:rFonts w:hint="cs"/>
                <w:rtl/>
              </w:rPr>
              <w:t>-43.45</w:t>
            </w:r>
          </w:p>
        </w:tc>
      </w:tr>
      <w:tr w:rsidR="00443EC1" w:rsidTr="00443EC1">
        <w:tblPrEx>
          <w:tblCellMar>
            <w:top w:w="0" w:type="dxa"/>
            <w:bottom w:w="0" w:type="dxa"/>
          </w:tblCellMar>
        </w:tblPrEx>
        <w:trPr>
          <w:jc w:val="center"/>
        </w:trPr>
        <w:tc>
          <w:tcPr>
            <w:tcW w:w="2407" w:type="dxa"/>
            <w:tcBorders>
              <w:top w:val="nil"/>
              <w:bottom w:val="nil"/>
            </w:tcBorders>
          </w:tcPr>
          <w:p w:rsidR="00443EC1" w:rsidRDefault="00443EC1">
            <w:pPr>
              <w:spacing w:before="0" w:after="60" w:line="280" w:lineRule="exact"/>
              <w:jc w:val="both"/>
              <w:rPr>
                <w:rStyle w:val="FootnoteReference"/>
                <w:rFonts w:hint="cs"/>
                <w:bCs w:val="0"/>
                <w:spacing w:val="0"/>
                <w:vertAlign w:val="baseline"/>
              </w:rPr>
            </w:pPr>
            <w:r>
              <w:rPr>
                <w:rFonts w:hint="cs"/>
                <w:spacing w:val="0"/>
                <w:rtl/>
              </w:rPr>
              <w:t>التهاب الدمـاغ الوبائي من</w:t>
            </w:r>
            <w:r>
              <w:rPr>
                <w:spacing w:val="0"/>
                <w:rtl/>
              </w:rPr>
              <w:br/>
            </w:r>
            <w:r>
              <w:rPr>
                <w:rFonts w:hint="cs"/>
                <w:spacing w:val="0"/>
                <w:rtl/>
              </w:rPr>
              <w:t xml:space="preserve">   النوع باء</w:t>
            </w:r>
          </w:p>
        </w:tc>
        <w:tc>
          <w:tcPr>
            <w:tcW w:w="1777" w:type="dxa"/>
            <w:tcBorders>
              <w:top w:val="nil"/>
              <w:bottom w:val="nil"/>
            </w:tcBorders>
          </w:tcPr>
          <w:p w:rsidR="00443EC1" w:rsidRDefault="00443EC1">
            <w:pPr>
              <w:tabs>
                <w:tab w:val="decimal" w:pos="648"/>
              </w:tabs>
              <w:spacing w:before="0" w:after="60" w:line="280" w:lineRule="exact"/>
              <w:jc w:val="both"/>
              <w:rPr>
                <w:rStyle w:val="FootnoteReference"/>
                <w:rFonts w:hint="cs"/>
                <w:bCs w:val="0"/>
                <w:vertAlign w:val="baseline"/>
              </w:rPr>
            </w:pPr>
            <w:r>
              <w:rPr>
                <w:rFonts w:hint="cs"/>
                <w:rtl/>
              </w:rPr>
              <w:t>3.31</w:t>
            </w:r>
          </w:p>
        </w:tc>
        <w:tc>
          <w:tcPr>
            <w:tcW w:w="1834" w:type="dxa"/>
            <w:tcBorders>
              <w:top w:val="nil"/>
              <w:bottom w:val="nil"/>
            </w:tcBorders>
          </w:tcPr>
          <w:p w:rsidR="00443EC1" w:rsidRDefault="00443EC1">
            <w:pPr>
              <w:tabs>
                <w:tab w:val="decimal" w:pos="802"/>
              </w:tabs>
              <w:spacing w:before="0" w:after="60" w:line="280" w:lineRule="exact"/>
              <w:jc w:val="both"/>
              <w:rPr>
                <w:rStyle w:val="FootnoteReference"/>
                <w:rFonts w:hint="cs"/>
                <w:bCs w:val="0"/>
                <w:vertAlign w:val="baseline"/>
              </w:rPr>
            </w:pPr>
            <w:r>
              <w:rPr>
                <w:rFonts w:hint="cs"/>
                <w:rtl/>
              </w:rPr>
              <w:t>3.37</w:t>
            </w:r>
          </w:p>
        </w:tc>
        <w:tc>
          <w:tcPr>
            <w:tcW w:w="1820" w:type="dxa"/>
            <w:tcBorders>
              <w:top w:val="nil"/>
              <w:bottom w:val="nil"/>
            </w:tcBorders>
          </w:tcPr>
          <w:p w:rsidR="00443EC1" w:rsidRDefault="00443EC1">
            <w:pPr>
              <w:tabs>
                <w:tab w:val="decimal" w:pos="788"/>
              </w:tabs>
              <w:spacing w:before="0" w:after="60" w:line="280" w:lineRule="exact"/>
              <w:jc w:val="both"/>
              <w:rPr>
                <w:rStyle w:val="FootnoteReference"/>
                <w:rFonts w:hint="cs"/>
                <w:bCs w:val="0"/>
                <w:vertAlign w:val="baseline"/>
              </w:rPr>
            </w:pPr>
            <w:r>
              <w:rPr>
                <w:rFonts w:hint="cs"/>
                <w:rtl/>
              </w:rPr>
              <w:t>0.93</w:t>
            </w:r>
          </w:p>
        </w:tc>
        <w:tc>
          <w:tcPr>
            <w:tcW w:w="1732" w:type="dxa"/>
            <w:tcBorders>
              <w:top w:val="nil"/>
              <w:bottom w:val="nil"/>
            </w:tcBorders>
          </w:tcPr>
          <w:p w:rsidR="00443EC1" w:rsidRDefault="00443EC1">
            <w:pPr>
              <w:tabs>
                <w:tab w:val="decimal" w:pos="648"/>
              </w:tabs>
              <w:spacing w:before="0" w:after="60" w:line="280" w:lineRule="exact"/>
              <w:jc w:val="both"/>
              <w:rPr>
                <w:rStyle w:val="FootnoteReference"/>
                <w:rFonts w:hint="cs"/>
                <w:bCs w:val="0"/>
                <w:vertAlign w:val="baseline"/>
              </w:rPr>
            </w:pPr>
            <w:r>
              <w:rPr>
                <w:rFonts w:hint="cs"/>
                <w:rtl/>
              </w:rPr>
              <w:t>-71.90</w:t>
            </w:r>
          </w:p>
        </w:tc>
      </w:tr>
      <w:tr w:rsidR="00443EC1" w:rsidTr="00443EC1">
        <w:tblPrEx>
          <w:tblCellMar>
            <w:top w:w="0" w:type="dxa"/>
            <w:bottom w:w="0" w:type="dxa"/>
          </w:tblCellMar>
        </w:tblPrEx>
        <w:trPr>
          <w:jc w:val="center"/>
        </w:trPr>
        <w:tc>
          <w:tcPr>
            <w:tcW w:w="2407" w:type="dxa"/>
            <w:tcBorders>
              <w:top w:val="nil"/>
              <w:bottom w:val="nil"/>
            </w:tcBorders>
          </w:tcPr>
          <w:p w:rsidR="00443EC1" w:rsidRDefault="00443EC1">
            <w:pPr>
              <w:spacing w:before="0" w:after="60" w:line="280" w:lineRule="exact"/>
              <w:jc w:val="both"/>
              <w:rPr>
                <w:rStyle w:val="FootnoteReference"/>
                <w:rFonts w:hint="cs"/>
                <w:bCs w:val="0"/>
                <w:vertAlign w:val="baseline"/>
              </w:rPr>
            </w:pPr>
            <w:r>
              <w:rPr>
                <w:rFonts w:hint="cs"/>
                <w:rtl/>
              </w:rPr>
              <w:t>البرداء (الملاريا)</w:t>
            </w:r>
          </w:p>
        </w:tc>
        <w:tc>
          <w:tcPr>
            <w:tcW w:w="1777" w:type="dxa"/>
            <w:tcBorders>
              <w:top w:val="nil"/>
              <w:bottom w:val="nil"/>
            </w:tcBorders>
          </w:tcPr>
          <w:p w:rsidR="00443EC1" w:rsidRDefault="00443EC1">
            <w:pPr>
              <w:tabs>
                <w:tab w:val="decimal" w:pos="648"/>
              </w:tabs>
              <w:spacing w:before="0" w:after="60" w:line="280" w:lineRule="exact"/>
              <w:jc w:val="both"/>
              <w:rPr>
                <w:rStyle w:val="FootnoteReference"/>
                <w:rFonts w:hint="cs"/>
                <w:bCs w:val="0"/>
                <w:vertAlign w:val="baseline"/>
              </w:rPr>
            </w:pPr>
            <w:r>
              <w:rPr>
                <w:rFonts w:hint="cs"/>
                <w:rtl/>
              </w:rPr>
              <w:t>337.83</w:t>
            </w:r>
          </w:p>
        </w:tc>
        <w:tc>
          <w:tcPr>
            <w:tcW w:w="1834" w:type="dxa"/>
            <w:tcBorders>
              <w:top w:val="nil"/>
              <w:bottom w:val="nil"/>
            </w:tcBorders>
          </w:tcPr>
          <w:p w:rsidR="00443EC1" w:rsidRDefault="00443EC1">
            <w:pPr>
              <w:tabs>
                <w:tab w:val="decimal" w:pos="802"/>
              </w:tabs>
              <w:spacing w:before="0" w:after="60" w:line="280" w:lineRule="exact"/>
              <w:jc w:val="both"/>
              <w:rPr>
                <w:rStyle w:val="FootnoteReference"/>
                <w:rFonts w:hint="cs"/>
                <w:bCs w:val="0"/>
                <w:vertAlign w:val="baseline"/>
              </w:rPr>
            </w:pPr>
            <w:r>
              <w:rPr>
                <w:rFonts w:hint="cs"/>
                <w:rtl/>
              </w:rPr>
              <w:t>10.38</w:t>
            </w:r>
          </w:p>
        </w:tc>
        <w:tc>
          <w:tcPr>
            <w:tcW w:w="1820" w:type="dxa"/>
            <w:tcBorders>
              <w:top w:val="nil"/>
              <w:bottom w:val="nil"/>
            </w:tcBorders>
          </w:tcPr>
          <w:p w:rsidR="00443EC1" w:rsidRDefault="00443EC1">
            <w:pPr>
              <w:tabs>
                <w:tab w:val="decimal" w:pos="788"/>
              </w:tabs>
              <w:spacing w:before="0" w:after="60" w:line="280" w:lineRule="exact"/>
              <w:jc w:val="both"/>
              <w:rPr>
                <w:rStyle w:val="FootnoteReference"/>
                <w:rFonts w:hint="cs"/>
                <w:bCs w:val="0"/>
                <w:vertAlign w:val="baseline"/>
              </w:rPr>
            </w:pPr>
            <w:r>
              <w:rPr>
                <w:rFonts w:hint="cs"/>
                <w:rtl/>
              </w:rPr>
              <w:t>1.94</w:t>
            </w:r>
          </w:p>
        </w:tc>
        <w:tc>
          <w:tcPr>
            <w:tcW w:w="1732" w:type="dxa"/>
            <w:tcBorders>
              <w:top w:val="nil"/>
              <w:bottom w:val="nil"/>
            </w:tcBorders>
          </w:tcPr>
          <w:p w:rsidR="00443EC1" w:rsidRDefault="00443EC1">
            <w:pPr>
              <w:tabs>
                <w:tab w:val="decimal" w:pos="648"/>
              </w:tabs>
              <w:spacing w:before="0" w:after="60" w:line="280" w:lineRule="exact"/>
              <w:jc w:val="both"/>
              <w:rPr>
                <w:rStyle w:val="FootnoteReference"/>
                <w:rFonts w:hint="cs"/>
                <w:bCs w:val="0"/>
                <w:vertAlign w:val="baseline"/>
              </w:rPr>
            </w:pPr>
            <w:r>
              <w:rPr>
                <w:rFonts w:hint="cs"/>
                <w:rtl/>
              </w:rPr>
              <w:t>-99.43</w:t>
            </w:r>
          </w:p>
        </w:tc>
      </w:tr>
      <w:tr w:rsidR="00443EC1" w:rsidTr="00443EC1">
        <w:tblPrEx>
          <w:tblCellMar>
            <w:top w:w="0" w:type="dxa"/>
            <w:bottom w:w="0" w:type="dxa"/>
          </w:tblCellMar>
        </w:tblPrEx>
        <w:trPr>
          <w:jc w:val="center"/>
        </w:trPr>
        <w:tc>
          <w:tcPr>
            <w:tcW w:w="2407" w:type="dxa"/>
            <w:tcBorders>
              <w:top w:val="nil"/>
              <w:bottom w:val="nil"/>
            </w:tcBorders>
          </w:tcPr>
          <w:p w:rsidR="00443EC1" w:rsidRDefault="00443EC1">
            <w:pPr>
              <w:spacing w:before="0" w:after="60" w:line="280" w:lineRule="exact"/>
              <w:jc w:val="both"/>
              <w:rPr>
                <w:rStyle w:val="FootnoteReference"/>
                <w:rFonts w:hint="cs"/>
                <w:bCs w:val="0"/>
                <w:vertAlign w:val="baseline"/>
              </w:rPr>
            </w:pPr>
            <w:r>
              <w:rPr>
                <w:rFonts w:hint="cs"/>
                <w:rtl/>
              </w:rPr>
              <w:t>الحمى النزفية الفيروسية</w:t>
            </w:r>
          </w:p>
        </w:tc>
        <w:tc>
          <w:tcPr>
            <w:tcW w:w="1777" w:type="dxa"/>
            <w:tcBorders>
              <w:top w:val="nil"/>
              <w:bottom w:val="nil"/>
            </w:tcBorders>
          </w:tcPr>
          <w:p w:rsidR="00443EC1" w:rsidRDefault="00443EC1">
            <w:pPr>
              <w:tabs>
                <w:tab w:val="decimal" w:pos="648"/>
              </w:tabs>
              <w:spacing w:before="0" w:after="60" w:line="280" w:lineRule="exact"/>
              <w:jc w:val="both"/>
              <w:rPr>
                <w:rStyle w:val="FootnoteReference"/>
                <w:rFonts w:hint="cs"/>
                <w:bCs w:val="0"/>
                <w:vertAlign w:val="baseline"/>
              </w:rPr>
            </w:pPr>
            <w:r>
              <w:rPr>
                <w:rFonts w:hint="cs"/>
                <w:rtl/>
              </w:rPr>
              <w:t>3.12</w:t>
            </w:r>
          </w:p>
        </w:tc>
        <w:tc>
          <w:tcPr>
            <w:tcW w:w="1834" w:type="dxa"/>
            <w:tcBorders>
              <w:top w:val="nil"/>
              <w:bottom w:val="nil"/>
            </w:tcBorders>
          </w:tcPr>
          <w:p w:rsidR="00443EC1" w:rsidRDefault="00443EC1">
            <w:pPr>
              <w:tabs>
                <w:tab w:val="decimal" w:pos="802"/>
              </w:tabs>
              <w:spacing w:before="0" w:after="60" w:line="280" w:lineRule="exact"/>
              <w:jc w:val="both"/>
              <w:rPr>
                <w:rStyle w:val="FootnoteReference"/>
                <w:rFonts w:hint="cs"/>
                <w:bCs w:val="0"/>
                <w:vertAlign w:val="baseline"/>
              </w:rPr>
            </w:pPr>
            <w:r>
              <w:rPr>
                <w:rFonts w:hint="cs"/>
                <w:rtl/>
              </w:rPr>
              <w:t>3.6</w:t>
            </w:r>
          </w:p>
        </w:tc>
        <w:tc>
          <w:tcPr>
            <w:tcW w:w="1820" w:type="dxa"/>
            <w:tcBorders>
              <w:top w:val="nil"/>
              <w:bottom w:val="nil"/>
            </w:tcBorders>
          </w:tcPr>
          <w:p w:rsidR="00443EC1" w:rsidRDefault="00443EC1">
            <w:pPr>
              <w:tabs>
                <w:tab w:val="decimal" w:pos="788"/>
              </w:tabs>
              <w:spacing w:before="0" w:after="60" w:line="280" w:lineRule="exact"/>
              <w:jc w:val="both"/>
              <w:rPr>
                <w:rStyle w:val="FootnoteReference"/>
                <w:rFonts w:hint="cs"/>
                <w:bCs w:val="0"/>
                <w:vertAlign w:val="baseline"/>
              </w:rPr>
            </w:pPr>
            <w:r>
              <w:rPr>
                <w:rFonts w:hint="cs"/>
                <w:rtl/>
              </w:rPr>
              <w:t>2.89</w:t>
            </w:r>
          </w:p>
        </w:tc>
        <w:tc>
          <w:tcPr>
            <w:tcW w:w="1732" w:type="dxa"/>
            <w:tcBorders>
              <w:top w:val="nil"/>
              <w:bottom w:val="nil"/>
            </w:tcBorders>
          </w:tcPr>
          <w:p w:rsidR="00443EC1" w:rsidRDefault="00443EC1">
            <w:pPr>
              <w:tabs>
                <w:tab w:val="decimal" w:pos="648"/>
              </w:tabs>
              <w:spacing w:before="0" w:after="60" w:line="280" w:lineRule="exact"/>
              <w:jc w:val="both"/>
              <w:rPr>
                <w:rStyle w:val="FootnoteReference"/>
                <w:rFonts w:hint="cs"/>
                <w:bCs w:val="0"/>
                <w:vertAlign w:val="baseline"/>
              </w:rPr>
            </w:pPr>
            <w:r>
              <w:rPr>
                <w:rFonts w:hint="cs"/>
                <w:rtl/>
              </w:rPr>
              <w:t>-7.37</w:t>
            </w:r>
          </w:p>
        </w:tc>
      </w:tr>
      <w:tr w:rsidR="00443EC1" w:rsidTr="00443EC1">
        <w:tblPrEx>
          <w:tblCellMar>
            <w:top w:w="0" w:type="dxa"/>
            <w:bottom w:w="0" w:type="dxa"/>
          </w:tblCellMar>
        </w:tblPrEx>
        <w:trPr>
          <w:jc w:val="center"/>
        </w:trPr>
        <w:tc>
          <w:tcPr>
            <w:tcW w:w="2407" w:type="dxa"/>
            <w:tcBorders>
              <w:top w:val="nil"/>
              <w:bottom w:val="nil"/>
            </w:tcBorders>
          </w:tcPr>
          <w:p w:rsidR="00443EC1" w:rsidRDefault="00443EC1">
            <w:pPr>
              <w:spacing w:before="0" w:after="60" w:line="280" w:lineRule="exact"/>
              <w:jc w:val="both"/>
              <w:rPr>
                <w:rFonts w:hint="cs"/>
                <w:rtl/>
              </w:rPr>
            </w:pPr>
            <w:r>
              <w:rPr>
                <w:rFonts w:hint="cs"/>
                <w:rtl/>
              </w:rPr>
              <w:t>داء اللولبيات</w:t>
            </w:r>
          </w:p>
        </w:tc>
        <w:tc>
          <w:tcPr>
            <w:tcW w:w="1777" w:type="dxa"/>
            <w:tcBorders>
              <w:top w:val="nil"/>
              <w:bottom w:val="nil"/>
            </w:tcBorders>
          </w:tcPr>
          <w:p w:rsidR="00443EC1" w:rsidRDefault="00443EC1">
            <w:pPr>
              <w:tabs>
                <w:tab w:val="decimal" w:pos="648"/>
              </w:tabs>
              <w:spacing w:before="0" w:after="60" w:line="280" w:lineRule="exact"/>
              <w:jc w:val="both"/>
              <w:rPr>
                <w:rStyle w:val="FootnoteReference"/>
                <w:rFonts w:hint="cs"/>
                <w:bCs w:val="0"/>
                <w:vertAlign w:val="baseline"/>
              </w:rPr>
            </w:pPr>
            <w:r>
              <w:rPr>
                <w:rFonts w:hint="cs"/>
                <w:rtl/>
              </w:rPr>
              <w:t>3.67</w:t>
            </w:r>
          </w:p>
        </w:tc>
        <w:tc>
          <w:tcPr>
            <w:tcW w:w="1834" w:type="dxa"/>
            <w:tcBorders>
              <w:top w:val="nil"/>
              <w:bottom w:val="nil"/>
            </w:tcBorders>
          </w:tcPr>
          <w:p w:rsidR="00443EC1" w:rsidRDefault="00443EC1">
            <w:pPr>
              <w:tabs>
                <w:tab w:val="decimal" w:pos="802"/>
              </w:tabs>
              <w:spacing w:before="0" w:after="60" w:line="280" w:lineRule="exact"/>
              <w:jc w:val="both"/>
              <w:rPr>
                <w:rStyle w:val="FootnoteReference"/>
                <w:rFonts w:hint="cs"/>
                <w:bCs w:val="0"/>
                <w:vertAlign w:val="baseline"/>
              </w:rPr>
            </w:pPr>
            <w:r>
              <w:rPr>
                <w:rFonts w:hint="cs"/>
                <w:rtl/>
              </w:rPr>
              <w:t>2.55</w:t>
            </w:r>
          </w:p>
        </w:tc>
        <w:tc>
          <w:tcPr>
            <w:tcW w:w="1820" w:type="dxa"/>
            <w:tcBorders>
              <w:top w:val="nil"/>
              <w:bottom w:val="nil"/>
            </w:tcBorders>
          </w:tcPr>
          <w:p w:rsidR="00443EC1" w:rsidRDefault="00443EC1">
            <w:pPr>
              <w:tabs>
                <w:tab w:val="decimal" w:pos="788"/>
              </w:tabs>
              <w:spacing w:before="0" w:after="60" w:line="280" w:lineRule="exact"/>
              <w:jc w:val="both"/>
              <w:rPr>
                <w:rStyle w:val="FootnoteReference"/>
                <w:rFonts w:hint="cs"/>
                <w:bCs w:val="0"/>
                <w:vertAlign w:val="baseline"/>
              </w:rPr>
            </w:pPr>
            <w:r>
              <w:rPr>
                <w:rFonts w:hint="cs"/>
                <w:rtl/>
              </w:rPr>
              <w:t>0.31</w:t>
            </w:r>
          </w:p>
        </w:tc>
        <w:tc>
          <w:tcPr>
            <w:tcW w:w="1732" w:type="dxa"/>
            <w:tcBorders>
              <w:top w:val="nil"/>
              <w:bottom w:val="nil"/>
            </w:tcBorders>
          </w:tcPr>
          <w:p w:rsidR="00443EC1" w:rsidRDefault="00443EC1">
            <w:pPr>
              <w:tabs>
                <w:tab w:val="decimal" w:pos="648"/>
              </w:tabs>
              <w:spacing w:before="0" w:after="60" w:line="280" w:lineRule="exact"/>
              <w:jc w:val="both"/>
              <w:rPr>
                <w:rStyle w:val="FootnoteReference"/>
                <w:rFonts w:hint="cs"/>
                <w:bCs w:val="0"/>
                <w:vertAlign w:val="baseline"/>
              </w:rPr>
            </w:pPr>
            <w:r>
              <w:rPr>
                <w:rFonts w:hint="cs"/>
                <w:rtl/>
              </w:rPr>
              <w:t>-91.55</w:t>
            </w:r>
          </w:p>
        </w:tc>
      </w:tr>
      <w:tr w:rsidR="00443EC1" w:rsidTr="00443EC1">
        <w:tblPrEx>
          <w:tblCellMar>
            <w:top w:w="0" w:type="dxa"/>
            <w:bottom w:w="0" w:type="dxa"/>
          </w:tblCellMar>
        </w:tblPrEx>
        <w:trPr>
          <w:jc w:val="center"/>
        </w:trPr>
        <w:tc>
          <w:tcPr>
            <w:tcW w:w="2407" w:type="dxa"/>
            <w:tcBorders>
              <w:top w:val="nil"/>
              <w:bottom w:val="nil"/>
            </w:tcBorders>
          </w:tcPr>
          <w:p w:rsidR="00443EC1" w:rsidRDefault="00443EC1">
            <w:pPr>
              <w:spacing w:before="0" w:after="60" w:line="280" w:lineRule="exact"/>
              <w:jc w:val="both"/>
              <w:rPr>
                <w:rFonts w:hint="cs"/>
                <w:rtl/>
              </w:rPr>
            </w:pPr>
            <w:r>
              <w:rPr>
                <w:rFonts w:hint="cs"/>
                <w:rtl/>
              </w:rPr>
              <w:t>السُعار</w:t>
            </w:r>
          </w:p>
        </w:tc>
        <w:tc>
          <w:tcPr>
            <w:tcW w:w="1777" w:type="dxa"/>
            <w:tcBorders>
              <w:top w:val="nil"/>
              <w:bottom w:val="nil"/>
            </w:tcBorders>
          </w:tcPr>
          <w:p w:rsidR="00443EC1" w:rsidRDefault="00443EC1">
            <w:pPr>
              <w:tabs>
                <w:tab w:val="decimal" w:pos="648"/>
              </w:tabs>
              <w:spacing w:before="0" w:after="60" w:line="280" w:lineRule="exact"/>
              <w:jc w:val="both"/>
              <w:rPr>
                <w:rStyle w:val="FootnoteReference"/>
                <w:rFonts w:hint="cs"/>
                <w:bCs w:val="0"/>
                <w:vertAlign w:val="baseline"/>
              </w:rPr>
            </w:pPr>
            <w:r>
              <w:rPr>
                <w:rFonts w:hint="cs"/>
                <w:rtl/>
              </w:rPr>
              <w:t>0.68</w:t>
            </w:r>
          </w:p>
        </w:tc>
        <w:tc>
          <w:tcPr>
            <w:tcW w:w="1834" w:type="dxa"/>
            <w:tcBorders>
              <w:top w:val="nil"/>
              <w:bottom w:val="nil"/>
            </w:tcBorders>
          </w:tcPr>
          <w:p w:rsidR="00443EC1" w:rsidRDefault="00443EC1">
            <w:pPr>
              <w:tabs>
                <w:tab w:val="decimal" w:pos="802"/>
              </w:tabs>
              <w:spacing w:before="0" w:after="60" w:line="280" w:lineRule="exact"/>
              <w:jc w:val="both"/>
              <w:rPr>
                <w:rStyle w:val="FootnoteReference"/>
                <w:rFonts w:hint="cs"/>
                <w:bCs w:val="0"/>
                <w:vertAlign w:val="baseline"/>
              </w:rPr>
            </w:pPr>
            <w:r>
              <w:rPr>
                <w:rFonts w:hint="cs"/>
                <w:rtl/>
              </w:rPr>
              <w:t>0.31</w:t>
            </w:r>
          </w:p>
        </w:tc>
        <w:tc>
          <w:tcPr>
            <w:tcW w:w="1820" w:type="dxa"/>
            <w:tcBorders>
              <w:top w:val="nil"/>
              <w:bottom w:val="nil"/>
            </w:tcBorders>
          </w:tcPr>
          <w:p w:rsidR="00443EC1" w:rsidRDefault="00443EC1">
            <w:pPr>
              <w:tabs>
                <w:tab w:val="decimal" w:pos="788"/>
              </w:tabs>
              <w:spacing w:before="0" w:after="60" w:line="280" w:lineRule="exact"/>
              <w:jc w:val="both"/>
              <w:rPr>
                <w:rStyle w:val="FootnoteReference"/>
                <w:rFonts w:hint="cs"/>
                <w:bCs w:val="0"/>
                <w:vertAlign w:val="baseline"/>
              </w:rPr>
            </w:pPr>
            <w:r>
              <w:rPr>
                <w:rFonts w:hint="cs"/>
                <w:rtl/>
              </w:rPr>
              <w:t>0.04</w:t>
            </w:r>
          </w:p>
        </w:tc>
        <w:tc>
          <w:tcPr>
            <w:tcW w:w="1732" w:type="dxa"/>
            <w:tcBorders>
              <w:top w:val="nil"/>
              <w:bottom w:val="nil"/>
            </w:tcBorders>
          </w:tcPr>
          <w:p w:rsidR="00443EC1" w:rsidRDefault="00443EC1">
            <w:pPr>
              <w:tabs>
                <w:tab w:val="decimal" w:pos="648"/>
              </w:tabs>
              <w:spacing w:before="0" w:after="60" w:line="280" w:lineRule="exact"/>
              <w:jc w:val="both"/>
              <w:rPr>
                <w:rStyle w:val="FootnoteReference"/>
                <w:rFonts w:hint="cs"/>
                <w:bCs w:val="0"/>
                <w:vertAlign w:val="baseline"/>
              </w:rPr>
            </w:pPr>
            <w:r>
              <w:rPr>
                <w:rFonts w:hint="cs"/>
                <w:rtl/>
              </w:rPr>
              <w:t>-94.12</w:t>
            </w:r>
          </w:p>
        </w:tc>
      </w:tr>
      <w:tr w:rsidR="00443EC1" w:rsidTr="00443EC1">
        <w:tblPrEx>
          <w:tblCellMar>
            <w:top w:w="0" w:type="dxa"/>
            <w:bottom w:w="0" w:type="dxa"/>
          </w:tblCellMar>
        </w:tblPrEx>
        <w:trPr>
          <w:jc w:val="center"/>
        </w:trPr>
        <w:tc>
          <w:tcPr>
            <w:tcW w:w="2407" w:type="dxa"/>
            <w:tcBorders>
              <w:top w:val="nil"/>
              <w:bottom w:val="nil"/>
            </w:tcBorders>
          </w:tcPr>
          <w:p w:rsidR="00443EC1" w:rsidRDefault="00443EC1">
            <w:pPr>
              <w:spacing w:before="0" w:after="60" w:line="280" w:lineRule="exact"/>
              <w:jc w:val="both"/>
              <w:rPr>
                <w:rFonts w:hint="cs"/>
                <w:rtl/>
              </w:rPr>
            </w:pPr>
            <w:r>
              <w:rPr>
                <w:rFonts w:hint="cs"/>
                <w:rtl/>
              </w:rPr>
              <w:t>السيلان</w:t>
            </w:r>
          </w:p>
        </w:tc>
        <w:tc>
          <w:tcPr>
            <w:tcW w:w="1777" w:type="dxa"/>
            <w:tcBorders>
              <w:top w:val="nil"/>
              <w:bottom w:val="nil"/>
            </w:tcBorders>
          </w:tcPr>
          <w:p w:rsidR="00443EC1" w:rsidRDefault="00443EC1">
            <w:pPr>
              <w:tabs>
                <w:tab w:val="decimal" w:pos="830"/>
              </w:tabs>
              <w:spacing w:before="0" w:after="60" w:line="280" w:lineRule="exact"/>
              <w:jc w:val="both"/>
              <w:rPr>
                <w:rStyle w:val="FootnoteReference"/>
                <w:rFonts w:hint="cs"/>
                <w:bCs w:val="0"/>
                <w:vertAlign w:val="baseline"/>
              </w:rPr>
            </w:pPr>
            <w:r>
              <w:rPr>
                <w:rFonts w:hint="cs"/>
                <w:rtl/>
              </w:rPr>
              <w:t>...</w:t>
            </w:r>
          </w:p>
        </w:tc>
        <w:tc>
          <w:tcPr>
            <w:tcW w:w="1834" w:type="dxa"/>
            <w:tcBorders>
              <w:top w:val="nil"/>
              <w:bottom w:val="nil"/>
            </w:tcBorders>
          </w:tcPr>
          <w:p w:rsidR="00443EC1" w:rsidRDefault="00443EC1">
            <w:pPr>
              <w:tabs>
                <w:tab w:val="decimal" w:pos="802"/>
              </w:tabs>
              <w:spacing w:before="0" w:after="60" w:line="280" w:lineRule="exact"/>
              <w:jc w:val="both"/>
              <w:rPr>
                <w:rStyle w:val="FootnoteReference"/>
                <w:rFonts w:hint="cs"/>
                <w:bCs w:val="0"/>
                <w:vertAlign w:val="baseline"/>
              </w:rPr>
            </w:pPr>
            <w:r>
              <w:rPr>
                <w:rFonts w:hint="cs"/>
                <w:rtl/>
              </w:rPr>
              <w:t>6.84</w:t>
            </w:r>
          </w:p>
        </w:tc>
        <w:tc>
          <w:tcPr>
            <w:tcW w:w="1820" w:type="dxa"/>
            <w:tcBorders>
              <w:top w:val="nil"/>
              <w:bottom w:val="nil"/>
            </w:tcBorders>
          </w:tcPr>
          <w:p w:rsidR="00443EC1" w:rsidRDefault="00443EC1">
            <w:pPr>
              <w:tabs>
                <w:tab w:val="decimal" w:pos="788"/>
              </w:tabs>
              <w:spacing w:before="0" w:after="60" w:line="280" w:lineRule="exact"/>
              <w:jc w:val="both"/>
              <w:rPr>
                <w:rStyle w:val="FootnoteReference"/>
                <w:rFonts w:hint="cs"/>
                <w:bCs w:val="0"/>
                <w:vertAlign w:val="baseline"/>
              </w:rPr>
            </w:pPr>
            <w:r>
              <w:rPr>
                <w:rFonts w:hint="cs"/>
                <w:rtl/>
              </w:rPr>
              <w:t>18.31</w:t>
            </w:r>
          </w:p>
        </w:tc>
        <w:tc>
          <w:tcPr>
            <w:tcW w:w="1732" w:type="dxa"/>
            <w:tcBorders>
              <w:top w:val="nil"/>
              <w:bottom w:val="nil"/>
            </w:tcBorders>
          </w:tcPr>
          <w:p w:rsidR="00443EC1" w:rsidRDefault="00443EC1">
            <w:pPr>
              <w:tabs>
                <w:tab w:val="decimal" w:pos="648"/>
              </w:tabs>
              <w:spacing w:before="0" w:after="60" w:line="280" w:lineRule="exact"/>
              <w:jc w:val="both"/>
              <w:rPr>
                <w:rStyle w:val="FootnoteReference"/>
                <w:rFonts w:hint="cs"/>
                <w:bCs w:val="0"/>
                <w:vertAlign w:val="baseline"/>
              </w:rPr>
            </w:pPr>
            <w:r>
              <w:rPr>
                <w:rFonts w:hint="cs"/>
                <w:rtl/>
              </w:rPr>
              <w:t>167.69</w:t>
            </w:r>
          </w:p>
        </w:tc>
      </w:tr>
      <w:tr w:rsidR="00443EC1" w:rsidTr="00443EC1">
        <w:tblPrEx>
          <w:tblCellMar>
            <w:top w:w="0" w:type="dxa"/>
            <w:bottom w:w="0" w:type="dxa"/>
          </w:tblCellMar>
        </w:tblPrEx>
        <w:trPr>
          <w:jc w:val="center"/>
        </w:trPr>
        <w:tc>
          <w:tcPr>
            <w:tcW w:w="2407" w:type="dxa"/>
            <w:tcBorders>
              <w:top w:val="nil"/>
            </w:tcBorders>
          </w:tcPr>
          <w:p w:rsidR="00443EC1" w:rsidRDefault="00443EC1">
            <w:pPr>
              <w:spacing w:before="0" w:after="60" w:line="280" w:lineRule="exact"/>
              <w:jc w:val="both"/>
              <w:rPr>
                <w:rFonts w:hint="cs"/>
                <w:rtl/>
              </w:rPr>
            </w:pPr>
            <w:r>
              <w:rPr>
                <w:rFonts w:hint="cs"/>
                <w:rtl/>
              </w:rPr>
              <w:t>الزُهري</w:t>
            </w:r>
          </w:p>
        </w:tc>
        <w:tc>
          <w:tcPr>
            <w:tcW w:w="1777" w:type="dxa"/>
            <w:tcBorders>
              <w:top w:val="nil"/>
            </w:tcBorders>
          </w:tcPr>
          <w:p w:rsidR="00443EC1" w:rsidRDefault="00443EC1">
            <w:pPr>
              <w:tabs>
                <w:tab w:val="decimal" w:pos="830"/>
              </w:tabs>
              <w:spacing w:before="0" w:after="60" w:line="280" w:lineRule="exact"/>
              <w:jc w:val="both"/>
              <w:rPr>
                <w:rStyle w:val="FootnoteReference"/>
                <w:rFonts w:hint="cs"/>
                <w:bCs w:val="0"/>
                <w:vertAlign w:val="baseline"/>
              </w:rPr>
            </w:pPr>
            <w:r>
              <w:rPr>
                <w:rFonts w:hint="cs"/>
                <w:rtl/>
              </w:rPr>
              <w:t>...</w:t>
            </w:r>
          </w:p>
        </w:tc>
        <w:tc>
          <w:tcPr>
            <w:tcW w:w="1834" w:type="dxa"/>
            <w:tcBorders>
              <w:top w:val="nil"/>
            </w:tcBorders>
          </w:tcPr>
          <w:p w:rsidR="00443EC1" w:rsidRDefault="00443EC1">
            <w:pPr>
              <w:tabs>
                <w:tab w:val="decimal" w:pos="802"/>
              </w:tabs>
              <w:spacing w:before="0" w:after="60" w:line="280" w:lineRule="exact"/>
              <w:jc w:val="both"/>
              <w:rPr>
                <w:rStyle w:val="FootnoteReference"/>
                <w:rFonts w:hint="cs"/>
                <w:bCs w:val="0"/>
                <w:vertAlign w:val="baseline"/>
              </w:rPr>
            </w:pPr>
            <w:r>
              <w:rPr>
                <w:rFonts w:hint="cs"/>
                <w:rtl/>
              </w:rPr>
              <w:t>0.09</w:t>
            </w:r>
          </w:p>
        </w:tc>
        <w:tc>
          <w:tcPr>
            <w:tcW w:w="1820" w:type="dxa"/>
            <w:tcBorders>
              <w:top w:val="nil"/>
            </w:tcBorders>
          </w:tcPr>
          <w:p w:rsidR="00443EC1" w:rsidRDefault="00443EC1">
            <w:pPr>
              <w:tabs>
                <w:tab w:val="decimal" w:pos="788"/>
              </w:tabs>
              <w:spacing w:before="0" w:after="60" w:line="280" w:lineRule="exact"/>
              <w:jc w:val="both"/>
              <w:rPr>
                <w:rStyle w:val="FootnoteReference"/>
                <w:rFonts w:hint="cs"/>
                <w:bCs w:val="0"/>
                <w:vertAlign w:val="baseline"/>
              </w:rPr>
            </w:pPr>
            <w:r>
              <w:rPr>
                <w:rFonts w:hint="cs"/>
                <w:rtl/>
              </w:rPr>
              <w:t>4.73</w:t>
            </w:r>
          </w:p>
        </w:tc>
        <w:tc>
          <w:tcPr>
            <w:tcW w:w="1732" w:type="dxa"/>
            <w:tcBorders>
              <w:top w:val="nil"/>
            </w:tcBorders>
          </w:tcPr>
          <w:p w:rsidR="00443EC1" w:rsidRDefault="00443EC1">
            <w:pPr>
              <w:tabs>
                <w:tab w:val="decimal" w:pos="648"/>
              </w:tabs>
              <w:spacing w:before="0" w:after="60" w:line="280" w:lineRule="exact"/>
              <w:jc w:val="both"/>
              <w:rPr>
                <w:rStyle w:val="FootnoteReference"/>
                <w:rFonts w:hint="cs"/>
                <w:bCs w:val="0"/>
                <w:vertAlign w:val="baseline"/>
              </w:rPr>
            </w:pPr>
            <w:r>
              <w:rPr>
                <w:rFonts w:hint="cs"/>
                <w:rtl/>
              </w:rPr>
              <w:t>155.56 5</w:t>
            </w:r>
          </w:p>
        </w:tc>
      </w:tr>
    </w:tbl>
    <w:p w:rsidR="00000000" w:rsidRDefault="00443EC1">
      <w:pPr>
        <w:spacing w:line="360" w:lineRule="exact"/>
        <w:jc w:val="both"/>
        <w:rPr>
          <w:rFonts w:hint="cs"/>
          <w:i/>
          <w:iCs/>
          <w:rtl/>
        </w:rPr>
      </w:pPr>
      <w:r>
        <w:rPr>
          <w:rFonts w:hint="cs"/>
          <w:i/>
          <w:iCs/>
          <w:rtl/>
        </w:rPr>
        <w:tab/>
        <w:t>المصدر:</w:t>
      </w:r>
      <w:r>
        <w:rPr>
          <w:rFonts w:hint="cs"/>
          <w:i/>
          <w:iCs/>
          <w:rtl/>
        </w:rPr>
        <w:tab/>
        <w:t>إحصاءات الصحة الصينية، 2000.</w:t>
      </w:r>
    </w:p>
    <w:p w:rsidR="00000000" w:rsidRDefault="00443EC1">
      <w:pPr>
        <w:spacing w:line="360" w:lineRule="exact"/>
        <w:jc w:val="center"/>
        <w:rPr>
          <w:rFonts w:hint="cs"/>
          <w:b/>
          <w:bCs/>
          <w:rtl/>
        </w:rPr>
      </w:pPr>
      <w:r>
        <w:rPr>
          <w:b/>
          <w:bCs/>
          <w:rtl/>
        </w:rPr>
        <w:br w:type="page"/>
      </w:r>
      <w:r>
        <w:rPr>
          <w:rFonts w:hint="cs"/>
          <w:b/>
          <w:bCs/>
          <w:rtl/>
        </w:rPr>
        <w:t>ال</w:t>
      </w:r>
      <w:r>
        <w:rPr>
          <w:rFonts w:hint="cs"/>
          <w:b/>
          <w:bCs/>
          <w:rtl/>
        </w:rPr>
        <w:t>جدول 10</w:t>
      </w:r>
    </w:p>
    <w:p w:rsidR="00000000" w:rsidRDefault="00443EC1">
      <w:pPr>
        <w:spacing w:line="360" w:lineRule="exact"/>
        <w:jc w:val="center"/>
        <w:rPr>
          <w:rFonts w:hint="cs"/>
          <w:b/>
          <w:bCs/>
          <w:rtl/>
        </w:rPr>
      </w:pPr>
      <w:r>
        <w:rPr>
          <w:rFonts w:hint="cs"/>
          <w:b/>
          <w:bCs/>
          <w:rtl/>
        </w:rPr>
        <w:t>أسباب الوفاة الخمسة الرئيسية، 2001، (أرقام جزئية)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2"/>
        <w:gridCol w:w="1440"/>
        <w:gridCol w:w="1263"/>
        <w:gridCol w:w="2017"/>
        <w:gridCol w:w="1484"/>
        <w:gridCol w:w="1284"/>
      </w:tblGrid>
      <w:tr w:rsidR="00443EC1" w:rsidTr="00443EC1">
        <w:tblPrEx>
          <w:tblCellMar>
            <w:top w:w="0" w:type="dxa"/>
            <w:bottom w:w="0" w:type="dxa"/>
          </w:tblCellMar>
        </w:tblPrEx>
        <w:trPr>
          <w:cantSplit/>
          <w:jc w:val="center"/>
        </w:trPr>
        <w:tc>
          <w:tcPr>
            <w:tcW w:w="4785" w:type="dxa"/>
            <w:gridSpan w:val="3"/>
          </w:tcPr>
          <w:p w:rsidR="00443EC1" w:rsidRDefault="00443EC1">
            <w:pPr>
              <w:spacing w:before="40" w:after="60" w:line="280" w:lineRule="exact"/>
              <w:jc w:val="center"/>
              <w:rPr>
                <w:rFonts w:hint="cs"/>
                <w:sz w:val="24"/>
                <w:szCs w:val="24"/>
              </w:rPr>
            </w:pPr>
            <w:r>
              <w:rPr>
                <w:rFonts w:hint="cs"/>
                <w:sz w:val="24"/>
                <w:szCs w:val="24"/>
                <w:rtl/>
              </w:rPr>
              <w:t>المدن (أرقام جزئية)</w:t>
            </w:r>
          </w:p>
        </w:tc>
        <w:tc>
          <w:tcPr>
            <w:tcW w:w="4785" w:type="dxa"/>
            <w:gridSpan w:val="3"/>
          </w:tcPr>
          <w:p w:rsidR="00443EC1" w:rsidRDefault="00443EC1">
            <w:pPr>
              <w:spacing w:before="40" w:after="60" w:line="280" w:lineRule="exact"/>
              <w:jc w:val="center"/>
              <w:rPr>
                <w:rFonts w:hint="cs"/>
                <w:sz w:val="24"/>
                <w:szCs w:val="24"/>
              </w:rPr>
            </w:pPr>
            <w:r>
              <w:rPr>
                <w:rFonts w:hint="cs"/>
                <w:sz w:val="24"/>
                <w:szCs w:val="24"/>
                <w:rtl/>
              </w:rPr>
              <w:t>المناطق الريفية (أرقام جزئية)</w:t>
            </w:r>
          </w:p>
        </w:tc>
      </w:tr>
      <w:tr w:rsidR="00443EC1" w:rsidTr="00443EC1">
        <w:tblPrEx>
          <w:tblCellMar>
            <w:top w:w="0" w:type="dxa"/>
            <w:bottom w:w="0" w:type="dxa"/>
          </w:tblCellMar>
        </w:tblPrEx>
        <w:trPr>
          <w:jc w:val="center"/>
        </w:trPr>
        <w:tc>
          <w:tcPr>
            <w:tcW w:w="2082" w:type="dxa"/>
            <w:tcBorders>
              <w:bottom w:val="single" w:sz="4" w:space="0" w:color="auto"/>
            </w:tcBorders>
            <w:vAlign w:val="bottom"/>
          </w:tcPr>
          <w:p w:rsidR="00443EC1" w:rsidRDefault="00443EC1">
            <w:pPr>
              <w:spacing w:before="40" w:after="60" w:line="280" w:lineRule="exact"/>
              <w:jc w:val="center"/>
              <w:rPr>
                <w:rFonts w:hint="cs"/>
                <w:spacing w:val="0"/>
                <w:sz w:val="24"/>
                <w:szCs w:val="24"/>
              </w:rPr>
            </w:pPr>
            <w:r>
              <w:rPr>
                <w:rFonts w:hint="cs"/>
                <w:spacing w:val="0"/>
                <w:sz w:val="24"/>
                <w:szCs w:val="24"/>
                <w:rtl/>
              </w:rPr>
              <w:t>سبب الوفاة</w:t>
            </w:r>
          </w:p>
        </w:tc>
        <w:tc>
          <w:tcPr>
            <w:tcW w:w="1440" w:type="dxa"/>
            <w:tcBorders>
              <w:bottom w:val="single" w:sz="4" w:space="0" w:color="auto"/>
            </w:tcBorders>
            <w:vAlign w:val="bottom"/>
          </w:tcPr>
          <w:p w:rsidR="00443EC1" w:rsidRDefault="00443EC1">
            <w:pPr>
              <w:spacing w:before="40" w:after="60" w:line="280" w:lineRule="exact"/>
              <w:jc w:val="center"/>
              <w:rPr>
                <w:rFonts w:hint="cs"/>
                <w:spacing w:val="0"/>
                <w:sz w:val="24"/>
                <w:szCs w:val="24"/>
              </w:rPr>
            </w:pPr>
            <w:r>
              <w:rPr>
                <w:rFonts w:hint="cs"/>
                <w:spacing w:val="0"/>
                <w:sz w:val="24"/>
                <w:szCs w:val="24"/>
                <w:rtl/>
              </w:rPr>
              <w:t>عدد الوفيات لكل 000 100 نسمة</w:t>
            </w:r>
          </w:p>
        </w:tc>
        <w:tc>
          <w:tcPr>
            <w:tcW w:w="1263" w:type="dxa"/>
            <w:tcBorders>
              <w:bottom w:val="single" w:sz="4" w:space="0" w:color="auto"/>
            </w:tcBorders>
            <w:vAlign w:val="bottom"/>
          </w:tcPr>
          <w:p w:rsidR="00443EC1" w:rsidRDefault="00443EC1">
            <w:pPr>
              <w:spacing w:before="40" w:after="60" w:line="280" w:lineRule="exact"/>
              <w:jc w:val="center"/>
              <w:rPr>
                <w:rFonts w:hint="cs"/>
                <w:spacing w:val="0"/>
                <w:sz w:val="24"/>
                <w:szCs w:val="24"/>
              </w:rPr>
            </w:pPr>
            <w:r>
              <w:rPr>
                <w:rFonts w:hint="cs"/>
                <w:spacing w:val="0"/>
                <w:sz w:val="24"/>
                <w:szCs w:val="24"/>
                <w:rtl/>
              </w:rPr>
              <w:t>نسبة مئويـة من الوفيات الإجمالية</w:t>
            </w:r>
          </w:p>
        </w:tc>
        <w:tc>
          <w:tcPr>
            <w:tcW w:w="2017" w:type="dxa"/>
            <w:tcBorders>
              <w:bottom w:val="single" w:sz="4" w:space="0" w:color="auto"/>
            </w:tcBorders>
            <w:vAlign w:val="bottom"/>
          </w:tcPr>
          <w:p w:rsidR="00443EC1" w:rsidRDefault="00443EC1">
            <w:pPr>
              <w:spacing w:before="40" w:after="60" w:line="280" w:lineRule="exact"/>
              <w:jc w:val="center"/>
              <w:rPr>
                <w:rFonts w:hint="cs"/>
                <w:spacing w:val="0"/>
                <w:sz w:val="24"/>
                <w:szCs w:val="24"/>
              </w:rPr>
            </w:pPr>
            <w:r>
              <w:rPr>
                <w:rFonts w:hint="cs"/>
                <w:spacing w:val="0"/>
                <w:sz w:val="24"/>
                <w:szCs w:val="24"/>
                <w:rtl/>
              </w:rPr>
              <w:t>سبب الوفاة</w:t>
            </w:r>
          </w:p>
        </w:tc>
        <w:tc>
          <w:tcPr>
            <w:tcW w:w="1484" w:type="dxa"/>
            <w:tcBorders>
              <w:bottom w:val="single" w:sz="4" w:space="0" w:color="auto"/>
            </w:tcBorders>
            <w:vAlign w:val="bottom"/>
          </w:tcPr>
          <w:p w:rsidR="00443EC1" w:rsidRDefault="00443EC1">
            <w:pPr>
              <w:spacing w:before="40" w:after="60" w:line="280" w:lineRule="exact"/>
              <w:jc w:val="center"/>
              <w:rPr>
                <w:rFonts w:hint="cs"/>
                <w:spacing w:val="0"/>
                <w:sz w:val="24"/>
                <w:szCs w:val="24"/>
              </w:rPr>
            </w:pPr>
            <w:r>
              <w:rPr>
                <w:rFonts w:hint="cs"/>
                <w:spacing w:val="0"/>
                <w:sz w:val="24"/>
                <w:szCs w:val="24"/>
                <w:rtl/>
              </w:rPr>
              <w:t>عدد الوفيات لكل 000 100 نسمة</w:t>
            </w:r>
          </w:p>
        </w:tc>
        <w:tc>
          <w:tcPr>
            <w:tcW w:w="1284" w:type="dxa"/>
            <w:tcBorders>
              <w:bottom w:val="single" w:sz="4" w:space="0" w:color="auto"/>
            </w:tcBorders>
            <w:vAlign w:val="bottom"/>
          </w:tcPr>
          <w:p w:rsidR="00443EC1" w:rsidRDefault="00443EC1">
            <w:pPr>
              <w:spacing w:before="40" w:after="60" w:line="280" w:lineRule="exact"/>
              <w:jc w:val="center"/>
              <w:rPr>
                <w:rFonts w:hint="cs"/>
                <w:spacing w:val="0"/>
                <w:sz w:val="24"/>
                <w:szCs w:val="24"/>
              </w:rPr>
            </w:pPr>
            <w:r>
              <w:rPr>
                <w:rFonts w:hint="cs"/>
                <w:spacing w:val="0"/>
                <w:sz w:val="24"/>
                <w:szCs w:val="24"/>
                <w:rtl/>
              </w:rPr>
              <w:t>نسبة مئويـة من الوفيات الإجمالية</w:t>
            </w:r>
          </w:p>
        </w:tc>
      </w:tr>
      <w:tr w:rsidR="00443EC1" w:rsidTr="00443EC1">
        <w:tblPrEx>
          <w:tblCellMar>
            <w:top w:w="0" w:type="dxa"/>
            <w:bottom w:w="0" w:type="dxa"/>
          </w:tblCellMar>
        </w:tblPrEx>
        <w:trPr>
          <w:jc w:val="center"/>
        </w:trPr>
        <w:tc>
          <w:tcPr>
            <w:tcW w:w="2082" w:type="dxa"/>
            <w:tcBorders>
              <w:bottom w:val="nil"/>
            </w:tcBorders>
          </w:tcPr>
          <w:p w:rsidR="00443EC1" w:rsidRDefault="00443EC1">
            <w:pPr>
              <w:spacing w:before="40" w:after="60" w:line="280" w:lineRule="exact"/>
              <w:jc w:val="both"/>
              <w:rPr>
                <w:rFonts w:hint="cs"/>
                <w:sz w:val="24"/>
                <w:szCs w:val="24"/>
              </w:rPr>
            </w:pPr>
            <w:r>
              <w:rPr>
                <w:rFonts w:hint="cs"/>
                <w:sz w:val="24"/>
                <w:szCs w:val="24"/>
                <w:rtl/>
              </w:rPr>
              <w:t>الأورام الخبيثة</w:t>
            </w:r>
          </w:p>
        </w:tc>
        <w:tc>
          <w:tcPr>
            <w:tcW w:w="1440" w:type="dxa"/>
            <w:tcBorders>
              <w:bottom w:val="nil"/>
            </w:tcBorders>
          </w:tcPr>
          <w:p w:rsidR="00443EC1" w:rsidRDefault="00443EC1">
            <w:pPr>
              <w:tabs>
                <w:tab w:val="decimal" w:pos="511"/>
              </w:tabs>
              <w:spacing w:before="40" w:after="60" w:line="280" w:lineRule="exact"/>
              <w:jc w:val="both"/>
              <w:rPr>
                <w:rFonts w:hint="cs"/>
                <w:sz w:val="24"/>
                <w:szCs w:val="24"/>
              </w:rPr>
            </w:pPr>
            <w:r>
              <w:rPr>
                <w:rFonts w:hint="cs"/>
                <w:sz w:val="24"/>
                <w:szCs w:val="24"/>
                <w:rtl/>
              </w:rPr>
              <w:t>135.59</w:t>
            </w:r>
          </w:p>
        </w:tc>
        <w:tc>
          <w:tcPr>
            <w:tcW w:w="1263" w:type="dxa"/>
            <w:tcBorders>
              <w:bottom w:val="nil"/>
            </w:tcBorders>
          </w:tcPr>
          <w:p w:rsidR="00443EC1" w:rsidRDefault="00443EC1">
            <w:pPr>
              <w:tabs>
                <w:tab w:val="decimal" w:pos="456"/>
              </w:tabs>
              <w:spacing w:before="40" w:after="60" w:line="280" w:lineRule="exact"/>
              <w:jc w:val="both"/>
              <w:rPr>
                <w:rFonts w:hint="cs"/>
                <w:sz w:val="24"/>
                <w:szCs w:val="24"/>
              </w:rPr>
            </w:pPr>
            <w:r>
              <w:rPr>
                <w:rFonts w:hint="cs"/>
                <w:sz w:val="24"/>
                <w:szCs w:val="24"/>
                <w:rtl/>
              </w:rPr>
              <w:t>24.93</w:t>
            </w:r>
          </w:p>
        </w:tc>
        <w:tc>
          <w:tcPr>
            <w:tcW w:w="2017" w:type="dxa"/>
            <w:tcBorders>
              <w:bottom w:val="nil"/>
            </w:tcBorders>
          </w:tcPr>
          <w:p w:rsidR="00443EC1" w:rsidRDefault="00443EC1">
            <w:pPr>
              <w:spacing w:before="40" w:after="60" w:line="280" w:lineRule="exact"/>
              <w:jc w:val="both"/>
              <w:rPr>
                <w:rFonts w:hint="cs"/>
                <w:sz w:val="24"/>
                <w:szCs w:val="24"/>
              </w:rPr>
            </w:pPr>
            <w:r>
              <w:rPr>
                <w:rFonts w:hint="cs"/>
                <w:sz w:val="24"/>
                <w:szCs w:val="24"/>
                <w:rtl/>
              </w:rPr>
              <w:t>أمراض الجهاز التنفسي</w:t>
            </w:r>
          </w:p>
        </w:tc>
        <w:tc>
          <w:tcPr>
            <w:tcW w:w="1484" w:type="dxa"/>
            <w:tcBorders>
              <w:bottom w:val="nil"/>
            </w:tcBorders>
          </w:tcPr>
          <w:p w:rsidR="00443EC1" w:rsidRDefault="00443EC1">
            <w:pPr>
              <w:tabs>
                <w:tab w:val="decimal" w:pos="620"/>
              </w:tabs>
              <w:spacing w:before="40" w:after="60" w:line="280" w:lineRule="exact"/>
              <w:jc w:val="both"/>
              <w:rPr>
                <w:rFonts w:hint="cs"/>
                <w:sz w:val="24"/>
                <w:szCs w:val="24"/>
              </w:rPr>
            </w:pPr>
            <w:r>
              <w:rPr>
                <w:rFonts w:hint="cs"/>
                <w:sz w:val="24"/>
                <w:szCs w:val="24"/>
                <w:rtl/>
              </w:rPr>
              <w:t>133.42</w:t>
            </w:r>
          </w:p>
        </w:tc>
        <w:tc>
          <w:tcPr>
            <w:tcW w:w="1284" w:type="dxa"/>
            <w:tcBorders>
              <w:bottom w:val="nil"/>
            </w:tcBorders>
          </w:tcPr>
          <w:p w:rsidR="00443EC1" w:rsidRDefault="00443EC1">
            <w:pPr>
              <w:tabs>
                <w:tab w:val="decimal" w:pos="508"/>
              </w:tabs>
              <w:spacing w:before="40" w:after="60" w:line="280" w:lineRule="exact"/>
              <w:jc w:val="both"/>
              <w:rPr>
                <w:rFonts w:hint="cs"/>
                <w:sz w:val="24"/>
                <w:szCs w:val="24"/>
              </w:rPr>
            </w:pPr>
            <w:r>
              <w:rPr>
                <w:rFonts w:hint="cs"/>
                <w:sz w:val="24"/>
                <w:szCs w:val="24"/>
                <w:rtl/>
              </w:rPr>
              <w:t>22.46</w:t>
            </w:r>
          </w:p>
        </w:tc>
      </w:tr>
      <w:tr w:rsidR="00443EC1" w:rsidTr="00443EC1">
        <w:tblPrEx>
          <w:tblCellMar>
            <w:top w:w="0" w:type="dxa"/>
            <w:bottom w:w="0" w:type="dxa"/>
          </w:tblCellMar>
        </w:tblPrEx>
        <w:trPr>
          <w:jc w:val="center"/>
        </w:trPr>
        <w:tc>
          <w:tcPr>
            <w:tcW w:w="2082" w:type="dxa"/>
            <w:tcBorders>
              <w:top w:val="nil"/>
              <w:bottom w:val="nil"/>
            </w:tcBorders>
          </w:tcPr>
          <w:p w:rsidR="00443EC1" w:rsidRDefault="00443EC1">
            <w:pPr>
              <w:spacing w:before="0" w:after="60" w:line="280" w:lineRule="exact"/>
              <w:jc w:val="both"/>
              <w:rPr>
                <w:rFonts w:hint="cs"/>
                <w:sz w:val="24"/>
                <w:szCs w:val="24"/>
              </w:rPr>
            </w:pPr>
            <w:r>
              <w:rPr>
                <w:rFonts w:hint="cs"/>
                <w:sz w:val="24"/>
                <w:szCs w:val="24"/>
                <w:rtl/>
              </w:rPr>
              <w:t>أمراض مخية وعائية</w:t>
            </w:r>
          </w:p>
        </w:tc>
        <w:tc>
          <w:tcPr>
            <w:tcW w:w="1440" w:type="dxa"/>
            <w:tcBorders>
              <w:top w:val="nil"/>
              <w:bottom w:val="nil"/>
            </w:tcBorders>
          </w:tcPr>
          <w:p w:rsidR="00443EC1" w:rsidRDefault="00443EC1">
            <w:pPr>
              <w:tabs>
                <w:tab w:val="decimal" w:pos="511"/>
              </w:tabs>
              <w:spacing w:before="0" w:after="60" w:line="280" w:lineRule="exact"/>
              <w:jc w:val="both"/>
              <w:rPr>
                <w:rFonts w:hint="cs"/>
                <w:sz w:val="24"/>
                <w:szCs w:val="24"/>
              </w:rPr>
            </w:pPr>
            <w:r>
              <w:rPr>
                <w:rFonts w:hint="cs"/>
                <w:sz w:val="24"/>
                <w:szCs w:val="24"/>
                <w:rtl/>
              </w:rPr>
              <w:t>111.01</w:t>
            </w:r>
          </w:p>
        </w:tc>
        <w:tc>
          <w:tcPr>
            <w:tcW w:w="1263" w:type="dxa"/>
            <w:tcBorders>
              <w:top w:val="nil"/>
              <w:bottom w:val="nil"/>
            </w:tcBorders>
          </w:tcPr>
          <w:p w:rsidR="00443EC1" w:rsidRDefault="00443EC1">
            <w:pPr>
              <w:tabs>
                <w:tab w:val="decimal" w:pos="456"/>
              </w:tabs>
              <w:spacing w:before="0" w:after="60" w:line="280" w:lineRule="exact"/>
              <w:jc w:val="both"/>
              <w:rPr>
                <w:rFonts w:hint="cs"/>
                <w:sz w:val="24"/>
                <w:szCs w:val="24"/>
              </w:rPr>
            </w:pPr>
            <w:r>
              <w:rPr>
                <w:rFonts w:hint="cs"/>
                <w:sz w:val="24"/>
                <w:szCs w:val="24"/>
                <w:rtl/>
              </w:rPr>
              <w:t>20.41</w:t>
            </w:r>
          </w:p>
        </w:tc>
        <w:tc>
          <w:tcPr>
            <w:tcW w:w="2017" w:type="dxa"/>
            <w:tcBorders>
              <w:top w:val="nil"/>
              <w:bottom w:val="nil"/>
            </w:tcBorders>
          </w:tcPr>
          <w:p w:rsidR="00443EC1" w:rsidRDefault="00443EC1">
            <w:pPr>
              <w:spacing w:before="0" w:after="60" w:line="280" w:lineRule="exact"/>
              <w:jc w:val="both"/>
              <w:rPr>
                <w:rFonts w:hint="cs"/>
                <w:sz w:val="24"/>
                <w:szCs w:val="24"/>
              </w:rPr>
            </w:pPr>
            <w:r>
              <w:rPr>
                <w:rFonts w:hint="cs"/>
                <w:sz w:val="24"/>
                <w:szCs w:val="24"/>
                <w:rtl/>
              </w:rPr>
              <w:t>أمراض مخية وعائية</w:t>
            </w:r>
          </w:p>
        </w:tc>
        <w:tc>
          <w:tcPr>
            <w:tcW w:w="1484" w:type="dxa"/>
            <w:tcBorders>
              <w:top w:val="nil"/>
              <w:bottom w:val="nil"/>
            </w:tcBorders>
          </w:tcPr>
          <w:p w:rsidR="00443EC1" w:rsidRDefault="00443EC1">
            <w:pPr>
              <w:tabs>
                <w:tab w:val="decimal" w:pos="620"/>
              </w:tabs>
              <w:spacing w:before="0" w:after="60" w:line="280" w:lineRule="exact"/>
              <w:jc w:val="both"/>
              <w:rPr>
                <w:rFonts w:hint="cs"/>
                <w:sz w:val="24"/>
                <w:szCs w:val="24"/>
              </w:rPr>
            </w:pPr>
            <w:r>
              <w:rPr>
                <w:rFonts w:hint="cs"/>
                <w:sz w:val="24"/>
                <w:szCs w:val="24"/>
                <w:rtl/>
              </w:rPr>
              <w:t>112.60</w:t>
            </w:r>
          </w:p>
        </w:tc>
        <w:tc>
          <w:tcPr>
            <w:tcW w:w="1284" w:type="dxa"/>
            <w:tcBorders>
              <w:top w:val="nil"/>
              <w:bottom w:val="nil"/>
            </w:tcBorders>
          </w:tcPr>
          <w:p w:rsidR="00443EC1" w:rsidRDefault="00443EC1">
            <w:pPr>
              <w:tabs>
                <w:tab w:val="decimal" w:pos="508"/>
              </w:tabs>
              <w:spacing w:before="0" w:after="60" w:line="280" w:lineRule="exact"/>
              <w:jc w:val="both"/>
              <w:rPr>
                <w:rFonts w:hint="cs"/>
                <w:sz w:val="24"/>
                <w:szCs w:val="24"/>
              </w:rPr>
            </w:pPr>
            <w:r>
              <w:rPr>
                <w:rFonts w:hint="cs"/>
                <w:sz w:val="24"/>
                <w:szCs w:val="24"/>
                <w:rtl/>
              </w:rPr>
              <w:t>18.95</w:t>
            </w:r>
          </w:p>
        </w:tc>
      </w:tr>
      <w:tr w:rsidR="00443EC1" w:rsidTr="00443EC1">
        <w:tblPrEx>
          <w:tblCellMar>
            <w:top w:w="0" w:type="dxa"/>
            <w:bottom w:w="0" w:type="dxa"/>
          </w:tblCellMar>
        </w:tblPrEx>
        <w:trPr>
          <w:jc w:val="center"/>
        </w:trPr>
        <w:tc>
          <w:tcPr>
            <w:tcW w:w="2082" w:type="dxa"/>
            <w:tcBorders>
              <w:top w:val="nil"/>
              <w:bottom w:val="nil"/>
            </w:tcBorders>
          </w:tcPr>
          <w:p w:rsidR="00443EC1" w:rsidRDefault="00443EC1">
            <w:pPr>
              <w:spacing w:before="0" w:after="60" w:line="280" w:lineRule="exact"/>
              <w:jc w:val="both"/>
              <w:rPr>
                <w:rFonts w:hint="cs"/>
                <w:sz w:val="24"/>
                <w:szCs w:val="24"/>
              </w:rPr>
            </w:pPr>
            <w:r>
              <w:rPr>
                <w:rFonts w:hint="cs"/>
                <w:sz w:val="24"/>
                <w:szCs w:val="24"/>
                <w:rtl/>
              </w:rPr>
              <w:t>أمراض القلب</w:t>
            </w:r>
          </w:p>
        </w:tc>
        <w:tc>
          <w:tcPr>
            <w:tcW w:w="1440" w:type="dxa"/>
            <w:tcBorders>
              <w:top w:val="nil"/>
              <w:bottom w:val="nil"/>
            </w:tcBorders>
          </w:tcPr>
          <w:p w:rsidR="00443EC1" w:rsidRDefault="00443EC1">
            <w:pPr>
              <w:tabs>
                <w:tab w:val="decimal" w:pos="511"/>
              </w:tabs>
              <w:spacing w:before="0" w:after="60" w:line="280" w:lineRule="exact"/>
              <w:jc w:val="both"/>
              <w:rPr>
                <w:rFonts w:hint="cs"/>
                <w:sz w:val="24"/>
                <w:szCs w:val="24"/>
              </w:rPr>
            </w:pPr>
            <w:r>
              <w:rPr>
                <w:rFonts w:hint="cs"/>
                <w:sz w:val="24"/>
                <w:szCs w:val="24"/>
                <w:rtl/>
              </w:rPr>
              <w:t>95.77</w:t>
            </w:r>
          </w:p>
        </w:tc>
        <w:tc>
          <w:tcPr>
            <w:tcW w:w="1263" w:type="dxa"/>
            <w:tcBorders>
              <w:top w:val="nil"/>
              <w:bottom w:val="nil"/>
            </w:tcBorders>
          </w:tcPr>
          <w:p w:rsidR="00443EC1" w:rsidRDefault="00443EC1">
            <w:pPr>
              <w:tabs>
                <w:tab w:val="decimal" w:pos="456"/>
              </w:tabs>
              <w:spacing w:before="0" w:after="60" w:line="280" w:lineRule="exact"/>
              <w:jc w:val="both"/>
              <w:rPr>
                <w:rFonts w:hint="cs"/>
                <w:sz w:val="24"/>
                <w:szCs w:val="24"/>
              </w:rPr>
            </w:pPr>
            <w:r>
              <w:rPr>
                <w:rFonts w:hint="cs"/>
                <w:sz w:val="24"/>
                <w:szCs w:val="24"/>
                <w:rtl/>
              </w:rPr>
              <w:t>17.61</w:t>
            </w:r>
          </w:p>
        </w:tc>
        <w:tc>
          <w:tcPr>
            <w:tcW w:w="2017" w:type="dxa"/>
            <w:tcBorders>
              <w:top w:val="nil"/>
              <w:bottom w:val="nil"/>
            </w:tcBorders>
          </w:tcPr>
          <w:p w:rsidR="00443EC1" w:rsidRDefault="00443EC1">
            <w:pPr>
              <w:spacing w:before="0" w:after="60" w:line="280" w:lineRule="exact"/>
              <w:jc w:val="both"/>
              <w:rPr>
                <w:rFonts w:hint="cs"/>
                <w:sz w:val="24"/>
                <w:szCs w:val="24"/>
              </w:rPr>
            </w:pPr>
            <w:r>
              <w:rPr>
                <w:rFonts w:hint="cs"/>
                <w:sz w:val="24"/>
                <w:szCs w:val="24"/>
                <w:rtl/>
              </w:rPr>
              <w:t>الأورام الخبيثة</w:t>
            </w:r>
          </w:p>
        </w:tc>
        <w:tc>
          <w:tcPr>
            <w:tcW w:w="1484" w:type="dxa"/>
            <w:tcBorders>
              <w:top w:val="nil"/>
              <w:bottom w:val="nil"/>
            </w:tcBorders>
          </w:tcPr>
          <w:p w:rsidR="00443EC1" w:rsidRDefault="00443EC1">
            <w:pPr>
              <w:tabs>
                <w:tab w:val="decimal" w:pos="620"/>
              </w:tabs>
              <w:spacing w:before="0" w:after="60" w:line="280" w:lineRule="exact"/>
              <w:jc w:val="both"/>
              <w:rPr>
                <w:rFonts w:hint="cs"/>
                <w:sz w:val="24"/>
                <w:szCs w:val="24"/>
              </w:rPr>
            </w:pPr>
            <w:r>
              <w:rPr>
                <w:rFonts w:hint="cs"/>
                <w:sz w:val="24"/>
                <w:szCs w:val="24"/>
                <w:rtl/>
              </w:rPr>
              <w:t>105.36</w:t>
            </w:r>
          </w:p>
        </w:tc>
        <w:tc>
          <w:tcPr>
            <w:tcW w:w="1284" w:type="dxa"/>
            <w:tcBorders>
              <w:top w:val="nil"/>
              <w:bottom w:val="nil"/>
            </w:tcBorders>
          </w:tcPr>
          <w:p w:rsidR="00443EC1" w:rsidRDefault="00443EC1">
            <w:pPr>
              <w:tabs>
                <w:tab w:val="decimal" w:pos="508"/>
              </w:tabs>
              <w:spacing w:before="0" w:after="60" w:line="280" w:lineRule="exact"/>
              <w:jc w:val="both"/>
              <w:rPr>
                <w:rFonts w:hint="cs"/>
                <w:sz w:val="24"/>
                <w:szCs w:val="24"/>
              </w:rPr>
            </w:pPr>
            <w:r>
              <w:rPr>
                <w:rFonts w:hint="cs"/>
                <w:sz w:val="24"/>
                <w:szCs w:val="24"/>
                <w:rtl/>
              </w:rPr>
              <w:t>17.73</w:t>
            </w:r>
          </w:p>
        </w:tc>
      </w:tr>
      <w:tr w:rsidR="00443EC1" w:rsidTr="00443EC1">
        <w:tblPrEx>
          <w:tblCellMar>
            <w:top w:w="0" w:type="dxa"/>
            <w:bottom w:w="0" w:type="dxa"/>
          </w:tblCellMar>
        </w:tblPrEx>
        <w:trPr>
          <w:jc w:val="center"/>
        </w:trPr>
        <w:tc>
          <w:tcPr>
            <w:tcW w:w="2082" w:type="dxa"/>
            <w:tcBorders>
              <w:top w:val="nil"/>
              <w:bottom w:val="nil"/>
            </w:tcBorders>
          </w:tcPr>
          <w:p w:rsidR="00443EC1" w:rsidRDefault="00443EC1">
            <w:pPr>
              <w:spacing w:before="0" w:after="60" w:line="280" w:lineRule="exact"/>
              <w:jc w:val="both"/>
              <w:rPr>
                <w:rFonts w:hint="cs"/>
                <w:sz w:val="24"/>
                <w:szCs w:val="24"/>
              </w:rPr>
            </w:pPr>
            <w:r>
              <w:rPr>
                <w:rFonts w:hint="cs"/>
                <w:sz w:val="24"/>
                <w:szCs w:val="24"/>
                <w:rtl/>
              </w:rPr>
              <w:t>أمراض الجهاز التنفسي</w:t>
            </w:r>
          </w:p>
        </w:tc>
        <w:tc>
          <w:tcPr>
            <w:tcW w:w="1440" w:type="dxa"/>
            <w:tcBorders>
              <w:top w:val="nil"/>
              <w:bottom w:val="nil"/>
            </w:tcBorders>
          </w:tcPr>
          <w:p w:rsidR="00443EC1" w:rsidRDefault="00443EC1">
            <w:pPr>
              <w:tabs>
                <w:tab w:val="decimal" w:pos="511"/>
              </w:tabs>
              <w:spacing w:before="0" w:after="60" w:line="280" w:lineRule="exact"/>
              <w:jc w:val="both"/>
              <w:rPr>
                <w:rFonts w:hint="cs"/>
                <w:sz w:val="24"/>
                <w:szCs w:val="24"/>
              </w:rPr>
            </w:pPr>
            <w:r>
              <w:rPr>
                <w:rFonts w:hint="cs"/>
                <w:sz w:val="24"/>
                <w:szCs w:val="24"/>
                <w:rtl/>
              </w:rPr>
              <w:t>72.64</w:t>
            </w:r>
          </w:p>
        </w:tc>
        <w:tc>
          <w:tcPr>
            <w:tcW w:w="1263" w:type="dxa"/>
            <w:tcBorders>
              <w:top w:val="nil"/>
              <w:bottom w:val="nil"/>
            </w:tcBorders>
          </w:tcPr>
          <w:p w:rsidR="00443EC1" w:rsidRDefault="00443EC1">
            <w:pPr>
              <w:tabs>
                <w:tab w:val="decimal" w:pos="456"/>
              </w:tabs>
              <w:spacing w:before="0" w:after="60" w:line="280" w:lineRule="exact"/>
              <w:jc w:val="both"/>
              <w:rPr>
                <w:rFonts w:hint="cs"/>
                <w:sz w:val="24"/>
                <w:szCs w:val="24"/>
              </w:rPr>
            </w:pPr>
            <w:r>
              <w:rPr>
                <w:rFonts w:hint="cs"/>
                <w:sz w:val="24"/>
                <w:szCs w:val="24"/>
                <w:rtl/>
              </w:rPr>
              <w:t>13.36</w:t>
            </w:r>
          </w:p>
        </w:tc>
        <w:tc>
          <w:tcPr>
            <w:tcW w:w="2017" w:type="dxa"/>
            <w:tcBorders>
              <w:top w:val="nil"/>
              <w:bottom w:val="nil"/>
            </w:tcBorders>
          </w:tcPr>
          <w:p w:rsidR="00443EC1" w:rsidRDefault="00443EC1">
            <w:pPr>
              <w:spacing w:before="0" w:after="60" w:line="280" w:lineRule="exact"/>
              <w:jc w:val="both"/>
              <w:rPr>
                <w:rFonts w:hint="cs"/>
                <w:sz w:val="24"/>
                <w:szCs w:val="24"/>
              </w:rPr>
            </w:pPr>
            <w:r>
              <w:rPr>
                <w:rFonts w:hint="cs"/>
                <w:sz w:val="24"/>
                <w:szCs w:val="24"/>
                <w:rtl/>
              </w:rPr>
              <w:t>أمراض القلب</w:t>
            </w:r>
          </w:p>
        </w:tc>
        <w:tc>
          <w:tcPr>
            <w:tcW w:w="1484" w:type="dxa"/>
            <w:tcBorders>
              <w:top w:val="nil"/>
              <w:bottom w:val="nil"/>
            </w:tcBorders>
          </w:tcPr>
          <w:p w:rsidR="00443EC1" w:rsidRDefault="00443EC1">
            <w:pPr>
              <w:tabs>
                <w:tab w:val="decimal" w:pos="620"/>
              </w:tabs>
              <w:spacing w:before="0" w:after="60" w:line="280" w:lineRule="exact"/>
              <w:jc w:val="both"/>
              <w:rPr>
                <w:rFonts w:hint="cs"/>
                <w:sz w:val="24"/>
                <w:szCs w:val="24"/>
              </w:rPr>
            </w:pPr>
            <w:r>
              <w:rPr>
                <w:rFonts w:hint="cs"/>
                <w:sz w:val="24"/>
                <w:szCs w:val="24"/>
                <w:rtl/>
              </w:rPr>
              <w:t>77.72</w:t>
            </w:r>
          </w:p>
        </w:tc>
        <w:tc>
          <w:tcPr>
            <w:tcW w:w="1284" w:type="dxa"/>
            <w:tcBorders>
              <w:top w:val="nil"/>
              <w:bottom w:val="nil"/>
            </w:tcBorders>
          </w:tcPr>
          <w:p w:rsidR="00443EC1" w:rsidRDefault="00443EC1">
            <w:pPr>
              <w:tabs>
                <w:tab w:val="decimal" w:pos="508"/>
              </w:tabs>
              <w:spacing w:before="0" w:after="60" w:line="280" w:lineRule="exact"/>
              <w:jc w:val="both"/>
              <w:rPr>
                <w:rFonts w:hint="cs"/>
                <w:sz w:val="24"/>
                <w:szCs w:val="24"/>
              </w:rPr>
            </w:pPr>
            <w:r>
              <w:rPr>
                <w:rFonts w:hint="cs"/>
                <w:sz w:val="24"/>
                <w:szCs w:val="24"/>
                <w:rtl/>
              </w:rPr>
              <w:t>13.08</w:t>
            </w:r>
          </w:p>
        </w:tc>
      </w:tr>
      <w:tr w:rsidR="00443EC1" w:rsidTr="00443EC1">
        <w:tblPrEx>
          <w:tblCellMar>
            <w:top w:w="0" w:type="dxa"/>
            <w:bottom w:w="0" w:type="dxa"/>
          </w:tblCellMar>
        </w:tblPrEx>
        <w:trPr>
          <w:jc w:val="center"/>
        </w:trPr>
        <w:tc>
          <w:tcPr>
            <w:tcW w:w="2082" w:type="dxa"/>
            <w:tcBorders>
              <w:top w:val="nil"/>
            </w:tcBorders>
          </w:tcPr>
          <w:p w:rsidR="00443EC1" w:rsidRDefault="00443EC1">
            <w:pPr>
              <w:spacing w:before="0" w:after="60" w:line="280" w:lineRule="exact"/>
              <w:jc w:val="both"/>
              <w:rPr>
                <w:rFonts w:hint="cs"/>
                <w:sz w:val="24"/>
                <w:szCs w:val="24"/>
              </w:rPr>
            </w:pPr>
            <w:r>
              <w:rPr>
                <w:rFonts w:hint="cs"/>
                <w:sz w:val="24"/>
                <w:szCs w:val="24"/>
                <w:rtl/>
              </w:rPr>
              <w:t>الحوادث وحالات التسمم</w:t>
            </w:r>
          </w:p>
        </w:tc>
        <w:tc>
          <w:tcPr>
            <w:tcW w:w="1440" w:type="dxa"/>
            <w:tcBorders>
              <w:top w:val="nil"/>
            </w:tcBorders>
          </w:tcPr>
          <w:p w:rsidR="00443EC1" w:rsidRDefault="00443EC1">
            <w:pPr>
              <w:tabs>
                <w:tab w:val="decimal" w:pos="511"/>
              </w:tabs>
              <w:spacing w:before="0" w:after="60" w:line="280" w:lineRule="exact"/>
              <w:jc w:val="both"/>
              <w:rPr>
                <w:rFonts w:hint="cs"/>
                <w:sz w:val="24"/>
                <w:szCs w:val="24"/>
              </w:rPr>
            </w:pPr>
            <w:r>
              <w:rPr>
                <w:rFonts w:hint="cs"/>
                <w:sz w:val="24"/>
                <w:szCs w:val="24"/>
                <w:rtl/>
              </w:rPr>
              <w:t>31.92</w:t>
            </w:r>
          </w:p>
        </w:tc>
        <w:tc>
          <w:tcPr>
            <w:tcW w:w="1263" w:type="dxa"/>
            <w:tcBorders>
              <w:top w:val="nil"/>
            </w:tcBorders>
          </w:tcPr>
          <w:p w:rsidR="00443EC1" w:rsidRDefault="00443EC1">
            <w:pPr>
              <w:tabs>
                <w:tab w:val="decimal" w:pos="456"/>
              </w:tabs>
              <w:spacing w:before="0" w:after="60" w:line="280" w:lineRule="exact"/>
              <w:jc w:val="both"/>
              <w:rPr>
                <w:rFonts w:hint="cs"/>
                <w:sz w:val="24"/>
                <w:szCs w:val="24"/>
              </w:rPr>
            </w:pPr>
            <w:r>
              <w:rPr>
                <w:rFonts w:hint="cs"/>
                <w:sz w:val="24"/>
                <w:szCs w:val="24"/>
                <w:rtl/>
              </w:rPr>
              <w:t>5.87</w:t>
            </w:r>
          </w:p>
        </w:tc>
        <w:tc>
          <w:tcPr>
            <w:tcW w:w="2017" w:type="dxa"/>
            <w:tcBorders>
              <w:top w:val="nil"/>
            </w:tcBorders>
          </w:tcPr>
          <w:p w:rsidR="00443EC1" w:rsidRDefault="00443EC1">
            <w:pPr>
              <w:spacing w:before="0" w:after="60" w:line="280" w:lineRule="exact"/>
              <w:jc w:val="both"/>
              <w:rPr>
                <w:rFonts w:hint="cs"/>
                <w:sz w:val="24"/>
                <w:szCs w:val="24"/>
              </w:rPr>
            </w:pPr>
            <w:r>
              <w:rPr>
                <w:rFonts w:hint="cs"/>
                <w:sz w:val="24"/>
                <w:szCs w:val="24"/>
                <w:rtl/>
              </w:rPr>
              <w:t>الحوادث وحالات التسمم</w:t>
            </w:r>
          </w:p>
        </w:tc>
        <w:tc>
          <w:tcPr>
            <w:tcW w:w="1484" w:type="dxa"/>
            <w:tcBorders>
              <w:top w:val="nil"/>
            </w:tcBorders>
          </w:tcPr>
          <w:p w:rsidR="00443EC1" w:rsidRDefault="00443EC1">
            <w:pPr>
              <w:tabs>
                <w:tab w:val="decimal" w:pos="620"/>
              </w:tabs>
              <w:spacing w:before="0" w:after="60" w:line="280" w:lineRule="exact"/>
              <w:jc w:val="both"/>
              <w:rPr>
                <w:rFonts w:hint="cs"/>
                <w:sz w:val="24"/>
                <w:szCs w:val="24"/>
              </w:rPr>
            </w:pPr>
            <w:r>
              <w:rPr>
                <w:rFonts w:hint="cs"/>
                <w:sz w:val="24"/>
                <w:szCs w:val="24"/>
                <w:rtl/>
              </w:rPr>
              <w:t>63.69</w:t>
            </w:r>
          </w:p>
        </w:tc>
        <w:tc>
          <w:tcPr>
            <w:tcW w:w="1284" w:type="dxa"/>
            <w:tcBorders>
              <w:top w:val="nil"/>
            </w:tcBorders>
          </w:tcPr>
          <w:p w:rsidR="00443EC1" w:rsidRDefault="00443EC1">
            <w:pPr>
              <w:tabs>
                <w:tab w:val="decimal" w:pos="508"/>
              </w:tabs>
              <w:spacing w:before="0" w:after="60" w:line="280" w:lineRule="exact"/>
              <w:jc w:val="both"/>
              <w:rPr>
                <w:rFonts w:hint="cs"/>
                <w:sz w:val="24"/>
                <w:szCs w:val="24"/>
              </w:rPr>
            </w:pPr>
            <w:r>
              <w:rPr>
                <w:rFonts w:hint="cs"/>
                <w:sz w:val="24"/>
                <w:szCs w:val="24"/>
                <w:rtl/>
              </w:rPr>
              <w:t>10.72</w:t>
            </w:r>
          </w:p>
        </w:tc>
      </w:tr>
    </w:tbl>
    <w:p w:rsidR="00000000" w:rsidRDefault="00443EC1">
      <w:pPr>
        <w:spacing w:line="360" w:lineRule="exact"/>
        <w:jc w:val="both"/>
        <w:rPr>
          <w:rFonts w:hint="cs"/>
          <w:i/>
          <w:iCs/>
          <w:rtl/>
        </w:rPr>
      </w:pPr>
      <w:r>
        <w:rPr>
          <w:rFonts w:hint="cs"/>
          <w:i/>
          <w:iCs/>
          <w:rtl/>
        </w:rPr>
        <w:tab/>
        <w:t>المصدر:</w:t>
      </w:r>
      <w:r>
        <w:rPr>
          <w:rFonts w:hint="cs"/>
          <w:i/>
          <w:iCs/>
          <w:rtl/>
        </w:rPr>
        <w:tab/>
        <w:t>إحصاءات الصحة الصينية، 2001.</w:t>
      </w:r>
    </w:p>
    <w:p w:rsidR="00000000" w:rsidRDefault="00443EC1">
      <w:pPr>
        <w:spacing w:line="360" w:lineRule="exact"/>
        <w:jc w:val="center"/>
        <w:rPr>
          <w:rFonts w:hint="cs"/>
          <w:b/>
          <w:bCs/>
          <w:rtl/>
        </w:rPr>
      </w:pPr>
      <w:r>
        <w:rPr>
          <w:rFonts w:hint="cs"/>
          <w:b/>
          <w:bCs/>
          <w:rtl/>
        </w:rPr>
        <w:t>الجدول 11</w:t>
      </w:r>
    </w:p>
    <w:p w:rsidR="00000000" w:rsidRDefault="00443EC1">
      <w:pPr>
        <w:spacing w:line="360" w:lineRule="exact"/>
        <w:jc w:val="center"/>
        <w:rPr>
          <w:rFonts w:hint="cs"/>
          <w:b/>
          <w:bCs/>
          <w:rtl/>
        </w:rPr>
      </w:pPr>
      <w:r>
        <w:rPr>
          <w:rFonts w:hint="cs"/>
          <w:b/>
          <w:bCs/>
          <w:rtl/>
        </w:rPr>
        <w:t>الأمراض والإصابات الرئيسية الستة من حيث أهميتها</w:t>
      </w:r>
      <w:r>
        <w:rPr>
          <w:b/>
          <w:bCs/>
          <w:rtl/>
        </w:rPr>
        <w:br/>
      </w:r>
      <w:r>
        <w:rPr>
          <w:rFonts w:hint="cs"/>
          <w:b/>
          <w:bCs/>
          <w:rtl/>
        </w:rPr>
        <w:t>في إجمالي الأمراض والإصابات (نسبة مئوية)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51"/>
        <w:gridCol w:w="1133"/>
        <w:gridCol w:w="1064"/>
        <w:gridCol w:w="1120"/>
        <w:gridCol w:w="1120"/>
        <w:gridCol w:w="1050"/>
        <w:gridCol w:w="1032"/>
      </w:tblGrid>
      <w:tr w:rsidR="00443EC1" w:rsidTr="00443EC1">
        <w:tblPrEx>
          <w:tblCellMar>
            <w:top w:w="0" w:type="dxa"/>
            <w:bottom w:w="0" w:type="dxa"/>
          </w:tblCellMar>
        </w:tblPrEx>
        <w:trPr>
          <w:cantSplit/>
          <w:jc w:val="center"/>
        </w:trPr>
        <w:tc>
          <w:tcPr>
            <w:tcW w:w="3051" w:type="dxa"/>
            <w:vMerge w:val="restart"/>
          </w:tcPr>
          <w:p w:rsidR="00443EC1" w:rsidRDefault="00443EC1">
            <w:pPr>
              <w:spacing w:before="40" w:after="60" w:line="320" w:lineRule="exact"/>
              <w:jc w:val="both"/>
            </w:pPr>
          </w:p>
        </w:tc>
        <w:tc>
          <w:tcPr>
            <w:tcW w:w="3317" w:type="dxa"/>
            <w:gridSpan w:val="3"/>
          </w:tcPr>
          <w:p w:rsidR="00443EC1" w:rsidRDefault="00443EC1">
            <w:pPr>
              <w:spacing w:before="40" w:after="60" w:line="320" w:lineRule="exact"/>
              <w:jc w:val="center"/>
              <w:rPr>
                <w:rFonts w:hint="cs"/>
              </w:rPr>
            </w:pPr>
            <w:r>
              <w:rPr>
                <w:rFonts w:hint="cs"/>
                <w:rtl/>
              </w:rPr>
              <w:t>تقديرات عام 1990</w:t>
            </w:r>
          </w:p>
        </w:tc>
        <w:tc>
          <w:tcPr>
            <w:tcW w:w="3202" w:type="dxa"/>
            <w:gridSpan w:val="3"/>
          </w:tcPr>
          <w:p w:rsidR="00443EC1" w:rsidRDefault="00443EC1">
            <w:pPr>
              <w:spacing w:before="40" w:after="60" w:line="320" w:lineRule="exact"/>
              <w:jc w:val="center"/>
              <w:rPr>
                <w:rFonts w:hint="cs"/>
              </w:rPr>
            </w:pPr>
            <w:r>
              <w:rPr>
                <w:rFonts w:hint="cs"/>
                <w:rtl/>
              </w:rPr>
              <w:t>إسقاطات عام 2020</w:t>
            </w:r>
          </w:p>
        </w:tc>
      </w:tr>
      <w:tr w:rsidR="00443EC1" w:rsidTr="00443EC1">
        <w:tblPrEx>
          <w:tblCellMar>
            <w:top w:w="0" w:type="dxa"/>
            <w:bottom w:w="0" w:type="dxa"/>
          </w:tblCellMar>
        </w:tblPrEx>
        <w:trPr>
          <w:cantSplit/>
          <w:jc w:val="center"/>
        </w:trPr>
        <w:tc>
          <w:tcPr>
            <w:tcW w:w="3051" w:type="dxa"/>
            <w:vMerge/>
            <w:tcBorders>
              <w:bottom w:val="single" w:sz="4" w:space="0" w:color="auto"/>
            </w:tcBorders>
          </w:tcPr>
          <w:p w:rsidR="00443EC1" w:rsidRDefault="00443EC1">
            <w:pPr>
              <w:spacing w:before="40" w:after="60" w:line="320" w:lineRule="exact"/>
              <w:jc w:val="both"/>
              <w:rPr>
                <w:rFonts w:hint="cs"/>
              </w:rPr>
            </w:pPr>
          </w:p>
        </w:tc>
        <w:tc>
          <w:tcPr>
            <w:tcW w:w="1133" w:type="dxa"/>
            <w:tcBorders>
              <w:bottom w:val="single" w:sz="4" w:space="0" w:color="auto"/>
            </w:tcBorders>
          </w:tcPr>
          <w:p w:rsidR="00443EC1" w:rsidRDefault="00443EC1">
            <w:pPr>
              <w:spacing w:before="40" w:after="60" w:line="320" w:lineRule="exact"/>
              <w:jc w:val="center"/>
              <w:rPr>
                <w:rFonts w:hint="cs"/>
              </w:rPr>
            </w:pPr>
            <w:r>
              <w:rPr>
                <w:rFonts w:hint="cs"/>
                <w:rtl/>
              </w:rPr>
              <w:t>المجموع</w:t>
            </w:r>
          </w:p>
        </w:tc>
        <w:tc>
          <w:tcPr>
            <w:tcW w:w="1064" w:type="dxa"/>
            <w:tcBorders>
              <w:bottom w:val="single" w:sz="4" w:space="0" w:color="auto"/>
            </w:tcBorders>
          </w:tcPr>
          <w:p w:rsidR="00443EC1" w:rsidRDefault="00443EC1">
            <w:pPr>
              <w:spacing w:before="40" w:after="60" w:line="320" w:lineRule="exact"/>
              <w:jc w:val="center"/>
              <w:rPr>
                <w:rFonts w:hint="cs"/>
              </w:rPr>
            </w:pPr>
            <w:r>
              <w:rPr>
                <w:rFonts w:hint="cs"/>
                <w:rtl/>
              </w:rPr>
              <w:t>ذكور</w:t>
            </w:r>
          </w:p>
        </w:tc>
        <w:tc>
          <w:tcPr>
            <w:tcW w:w="1120" w:type="dxa"/>
            <w:tcBorders>
              <w:bottom w:val="single" w:sz="4" w:space="0" w:color="auto"/>
            </w:tcBorders>
          </w:tcPr>
          <w:p w:rsidR="00443EC1" w:rsidRDefault="00443EC1">
            <w:pPr>
              <w:spacing w:before="40" w:after="60" w:line="320" w:lineRule="exact"/>
              <w:jc w:val="center"/>
              <w:rPr>
                <w:rFonts w:hint="cs"/>
              </w:rPr>
            </w:pPr>
            <w:r>
              <w:rPr>
                <w:rFonts w:hint="cs"/>
                <w:rtl/>
              </w:rPr>
              <w:t>إناث</w:t>
            </w:r>
          </w:p>
        </w:tc>
        <w:tc>
          <w:tcPr>
            <w:tcW w:w="1120" w:type="dxa"/>
            <w:tcBorders>
              <w:bottom w:val="single" w:sz="4" w:space="0" w:color="auto"/>
            </w:tcBorders>
          </w:tcPr>
          <w:p w:rsidR="00443EC1" w:rsidRDefault="00443EC1">
            <w:pPr>
              <w:spacing w:before="40" w:after="60" w:line="320" w:lineRule="exact"/>
              <w:jc w:val="center"/>
              <w:rPr>
                <w:rFonts w:hint="cs"/>
              </w:rPr>
            </w:pPr>
            <w:r>
              <w:rPr>
                <w:rFonts w:hint="cs"/>
                <w:rtl/>
              </w:rPr>
              <w:t>المجموع</w:t>
            </w:r>
          </w:p>
        </w:tc>
        <w:tc>
          <w:tcPr>
            <w:tcW w:w="1050" w:type="dxa"/>
            <w:tcBorders>
              <w:bottom w:val="single" w:sz="4" w:space="0" w:color="auto"/>
            </w:tcBorders>
          </w:tcPr>
          <w:p w:rsidR="00443EC1" w:rsidRDefault="00443EC1">
            <w:pPr>
              <w:spacing w:before="40" w:after="60" w:line="320" w:lineRule="exact"/>
              <w:jc w:val="center"/>
              <w:rPr>
                <w:rFonts w:hint="cs"/>
              </w:rPr>
            </w:pPr>
            <w:r>
              <w:rPr>
                <w:rFonts w:hint="cs"/>
                <w:rtl/>
              </w:rPr>
              <w:t>ذكور</w:t>
            </w:r>
          </w:p>
        </w:tc>
        <w:tc>
          <w:tcPr>
            <w:tcW w:w="1032" w:type="dxa"/>
            <w:tcBorders>
              <w:bottom w:val="single" w:sz="4" w:space="0" w:color="auto"/>
            </w:tcBorders>
          </w:tcPr>
          <w:p w:rsidR="00443EC1" w:rsidRDefault="00443EC1">
            <w:pPr>
              <w:spacing w:before="40" w:after="60" w:line="320" w:lineRule="exact"/>
              <w:jc w:val="center"/>
              <w:rPr>
                <w:rFonts w:hint="cs"/>
              </w:rPr>
            </w:pPr>
            <w:r>
              <w:rPr>
                <w:rFonts w:hint="cs"/>
                <w:rtl/>
              </w:rPr>
              <w:t>إناث</w:t>
            </w:r>
          </w:p>
        </w:tc>
      </w:tr>
      <w:tr w:rsidR="00443EC1" w:rsidTr="00443EC1">
        <w:tblPrEx>
          <w:tblCellMar>
            <w:top w:w="0" w:type="dxa"/>
            <w:bottom w:w="0" w:type="dxa"/>
          </w:tblCellMar>
        </w:tblPrEx>
        <w:trPr>
          <w:jc w:val="center"/>
        </w:trPr>
        <w:tc>
          <w:tcPr>
            <w:tcW w:w="3051" w:type="dxa"/>
            <w:tcBorders>
              <w:bottom w:val="nil"/>
            </w:tcBorders>
          </w:tcPr>
          <w:p w:rsidR="00443EC1" w:rsidRDefault="00443EC1">
            <w:pPr>
              <w:spacing w:before="40" w:after="60" w:line="320" w:lineRule="exact"/>
              <w:jc w:val="both"/>
              <w:rPr>
                <w:rFonts w:hint="cs"/>
                <w:spacing w:val="0"/>
                <w:sz w:val="30"/>
              </w:rPr>
            </w:pPr>
            <w:r>
              <w:rPr>
                <w:rFonts w:hint="cs"/>
                <w:spacing w:val="0"/>
                <w:sz w:val="30"/>
                <w:rtl/>
              </w:rPr>
              <w:t>المشاكل العقلية ومحاولات الانتحار</w:t>
            </w:r>
          </w:p>
        </w:tc>
        <w:tc>
          <w:tcPr>
            <w:tcW w:w="1133" w:type="dxa"/>
            <w:tcBorders>
              <w:bottom w:val="nil"/>
            </w:tcBorders>
          </w:tcPr>
          <w:p w:rsidR="00443EC1" w:rsidRDefault="00443EC1">
            <w:pPr>
              <w:tabs>
                <w:tab w:val="decimal" w:pos="424"/>
              </w:tabs>
              <w:spacing w:before="40" w:after="60" w:line="320" w:lineRule="exact"/>
              <w:jc w:val="both"/>
              <w:rPr>
                <w:rFonts w:hint="cs"/>
              </w:rPr>
            </w:pPr>
            <w:r>
              <w:rPr>
                <w:rFonts w:hint="cs"/>
                <w:rtl/>
              </w:rPr>
              <w:t>18.0</w:t>
            </w:r>
          </w:p>
        </w:tc>
        <w:tc>
          <w:tcPr>
            <w:tcW w:w="1064" w:type="dxa"/>
            <w:tcBorders>
              <w:bottom w:val="nil"/>
            </w:tcBorders>
          </w:tcPr>
          <w:p w:rsidR="00443EC1" w:rsidRDefault="00443EC1">
            <w:pPr>
              <w:tabs>
                <w:tab w:val="decimal" w:pos="382"/>
              </w:tabs>
              <w:spacing w:before="40" w:after="60" w:line="320" w:lineRule="exact"/>
              <w:jc w:val="both"/>
              <w:rPr>
                <w:rFonts w:hint="cs"/>
              </w:rPr>
            </w:pPr>
            <w:r>
              <w:rPr>
                <w:rFonts w:hint="cs"/>
                <w:rtl/>
              </w:rPr>
              <w:t>15.6</w:t>
            </w:r>
          </w:p>
        </w:tc>
        <w:tc>
          <w:tcPr>
            <w:tcW w:w="1120" w:type="dxa"/>
            <w:tcBorders>
              <w:bottom w:val="nil"/>
            </w:tcBorders>
          </w:tcPr>
          <w:p w:rsidR="00443EC1" w:rsidRDefault="00443EC1">
            <w:pPr>
              <w:tabs>
                <w:tab w:val="decimal" w:pos="424"/>
              </w:tabs>
              <w:spacing w:before="40" w:after="60" w:line="320" w:lineRule="exact"/>
              <w:jc w:val="both"/>
              <w:rPr>
                <w:rFonts w:hint="cs"/>
              </w:rPr>
            </w:pPr>
            <w:r>
              <w:rPr>
                <w:rFonts w:hint="cs"/>
                <w:rtl/>
              </w:rPr>
              <w:t>20.7</w:t>
            </w:r>
          </w:p>
        </w:tc>
        <w:tc>
          <w:tcPr>
            <w:tcW w:w="1120" w:type="dxa"/>
            <w:tcBorders>
              <w:bottom w:val="nil"/>
            </w:tcBorders>
          </w:tcPr>
          <w:p w:rsidR="00443EC1" w:rsidRDefault="00443EC1">
            <w:pPr>
              <w:tabs>
                <w:tab w:val="decimal" w:pos="438"/>
              </w:tabs>
              <w:spacing w:before="40" w:after="60" w:line="320" w:lineRule="exact"/>
              <w:jc w:val="both"/>
              <w:rPr>
                <w:rFonts w:hint="cs"/>
              </w:rPr>
            </w:pPr>
            <w:r>
              <w:rPr>
                <w:rFonts w:hint="cs"/>
                <w:rtl/>
              </w:rPr>
              <w:t>20.0</w:t>
            </w:r>
          </w:p>
        </w:tc>
        <w:tc>
          <w:tcPr>
            <w:tcW w:w="1050" w:type="dxa"/>
            <w:tcBorders>
              <w:bottom w:val="nil"/>
            </w:tcBorders>
          </w:tcPr>
          <w:p w:rsidR="00443EC1" w:rsidRDefault="00443EC1">
            <w:pPr>
              <w:tabs>
                <w:tab w:val="decimal" w:pos="426"/>
              </w:tabs>
              <w:spacing w:before="40" w:after="60" w:line="320" w:lineRule="exact"/>
              <w:jc w:val="both"/>
              <w:rPr>
                <w:rFonts w:hint="cs"/>
              </w:rPr>
            </w:pPr>
            <w:r>
              <w:rPr>
                <w:rFonts w:hint="cs"/>
                <w:rtl/>
              </w:rPr>
              <w:t>15.0</w:t>
            </w:r>
          </w:p>
        </w:tc>
        <w:tc>
          <w:tcPr>
            <w:tcW w:w="1032" w:type="dxa"/>
            <w:tcBorders>
              <w:bottom w:val="nil"/>
            </w:tcBorders>
          </w:tcPr>
          <w:p w:rsidR="00443EC1" w:rsidRDefault="00443EC1">
            <w:pPr>
              <w:tabs>
                <w:tab w:val="decimal" w:pos="340"/>
              </w:tabs>
              <w:spacing w:before="40" w:after="60" w:line="320" w:lineRule="exact"/>
              <w:jc w:val="both"/>
              <w:rPr>
                <w:rFonts w:hint="cs"/>
              </w:rPr>
            </w:pPr>
            <w:r>
              <w:rPr>
                <w:rFonts w:hint="cs"/>
                <w:rtl/>
              </w:rPr>
              <w:t>26.8</w:t>
            </w:r>
          </w:p>
        </w:tc>
      </w:tr>
      <w:tr w:rsidR="00443EC1" w:rsidTr="00443EC1">
        <w:tblPrEx>
          <w:tblCellMar>
            <w:top w:w="0" w:type="dxa"/>
            <w:bottom w:w="0" w:type="dxa"/>
          </w:tblCellMar>
        </w:tblPrEx>
        <w:trPr>
          <w:jc w:val="center"/>
        </w:trPr>
        <w:tc>
          <w:tcPr>
            <w:tcW w:w="3051" w:type="dxa"/>
            <w:tcBorders>
              <w:top w:val="nil"/>
              <w:bottom w:val="nil"/>
            </w:tcBorders>
          </w:tcPr>
          <w:p w:rsidR="00443EC1" w:rsidRDefault="00443EC1">
            <w:pPr>
              <w:spacing w:before="0" w:after="60" w:line="320" w:lineRule="exact"/>
              <w:jc w:val="both"/>
              <w:rPr>
                <w:rFonts w:hint="cs"/>
              </w:rPr>
            </w:pPr>
            <w:r>
              <w:rPr>
                <w:rFonts w:hint="cs"/>
                <w:rtl/>
              </w:rPr>
              <w:t>الإصابات الناجمة عن حوادث</w:t>
            </w:r>
          </w:p>
        </w:tc>
        <w:tc>
          <w:tcPr>
            <w:tcW w:w="1133" w:type="dxa"/>
            <w:tcBorders>
              <w:top w:val="nil"/>
              <w:bottom w:val="nil"/>
            </w:tcBorders>
          </w:tcPr>
          <w:p w:rsidR="00443EC1" w:rsidRDefault="00443EC1">
            <w:pPr>
              <w:tabs>
                <w:tab w:val="decimal" w:pos="424"/>
              </w:tabs>
              <w:spacing w:before="0" w:after="60" w:line="320" w:lineRule="exact"/>
              <w:jc w:val="both"/>
              <w:rPr>
                <w:rFonts w:hint="cs"/>
              </w:rPr>
            </w:pPr>
            <w:r>
              <w:rPr>
                <w:rFonts w:hint="cs"/>
                <w:rtl/>
              </w:rPr>
              <w:t>12.9</w:t>
            </w:r>
          </w:p>
        </w:tc>
        <w:tc>
          <w:tcPr>
            <w:tcW w:w="1064" w:type="dxa"/>
            <w:tcBorders>
              <w:top w:val="nil"/>
              <w:bottom w:val="nil"/>
            </w:tcBorders>
          </w:tcPr>
          <w:p w:rsidR="00443EC1" w:rsidRDefault="00443EC1">
            <w:pPr>
              <w:tabs>
                <w:tab w:val="decimal" w:pos="382"/>
              </w:tabs>
              <w:spacing w:before="0" w:after="60" w:line="320" w:lineRule="exact"/>
              <w:jc w:val="both"/>
              <w:rPr>
                <w:rFonts w:hint="cs"/>
              </w:rPr>
            </w:pPr>
            <w:r>
              <w:rPr>
                <w:rFonts w:hint="cs"/>
                <w:rtl/>
              </w:rPr>
              <w:t>15.7</w:t>
            </w:r>
          </w:p>
        </w:tc>
        <w:tc>
          <w:tcPr>
            <w:tcW w:w="1120" w:type="dxa"/>
            <w:tcBorders>
              <w:top w:val="nil"/>
              <w:bottom w:val="nil"/>
            </w:tcBorders>
          </w:tcPr>
          <w:p w:rsidR="00443EC1" w:rsidRDefault="00443EC1">
            <w:pPr>
              <w:tabs>
                <w:tab w:val="decimal" w:pos="424"/>
              </w:tabs>
              <w:spacing w:before="0" w:after="60" w:line="320" w:lineRule="exact"/>
              <w:jc w:val="both"/>
              <w:rPr>
                <w:rFonts w:hint="cs"/>
              </w:rPr>
            </w:pPr>
            <w:r>
              <w:rPr>
                <w:rFonts w:hint="cs"/>
                <w:rtl/>
              </w:rPr>
              <w:t>9.9</w:t>
            </w:r>
          </w:p>
        </w:tc>
        <w:tc>
          <w:tcPr>
            <w:tcW w:w="1120" w:type="dxa"/>
            <w:tcBorders>
              <w:top w:val="nil"/>
              <w:bottom w:val="nil"/>
            </w:tcBorders>
          </w:tcPr>
          <w:p w:rsidR="00443EC1" w:rsidRDefault="00443EC1">
            <w:pPr>
              <w:tabs>
                <w:tab w:val="decimal" w:pos="438"/>
              </w:tabs>
              <w:spacing w:before="0" w:after="60" w:line="320" w:lineRule="exact"/>
              <w:jc w:val="both"/>
              <w:rPr>
                <w:rFonts w:hint="cs"/>
              </w:rPr>
            </w:pPr>
            <w:r>
              <w:rPr>
                <w:rFonts w:hint="cs"/>
                <w:rtl/>
              </w:rPr>
              <w:t>11.0</w:t>
            </w:r>
          </w:p>
        </w:tc>
        <w:tc>
          <w:tcPr>
            <w:tcW w:w="1050" w:type="dxa"/>
            <w:tcBorders>
              <w:top w:val="nil"/>
              <w:bottom w:val="nil"/>
            </w:tcBorders>
          </w:tcPr>
          <w:p w:rsidR="00443EC1" w:rsidRDefault="00443EC1">
            <w:pPr>
              <w:tabs>
                <w:tab w:val="decimal" w:pos="426"/>
              </w:tabs>
              <w:spacing w:before="0" w:after="60" w:line="320" w:lineRule="exact"/>
              <w:jc w:val="both"/>
              <w:rPr>
                <w:rFonts w:hint="cs"/>
              </w:rPr>
            </w:pPr>
            <w:r>
              <w:rPr>
                <w:rFonts w:hint="cs"/>
                <w:rtl/>
              </w:rPr>
              <w:t>11.6</w:t>
            </w:r>
          </w:p>
        </w:tc>
        <w:tc>
          <w:tcPr>
            <w:tcW w:w="1032" w:type="dxa"/>
            <w:tcBorders>
              <w:top w:val="nil"/>
              <w:bottom w:val="nil"/>
            </w:tcBorders>
          </w:tcPr>
          <w:p w:rsidR="00443EC1" w:rsidRDefault="00443EC1">
            <w:pPr>
              <w:tabs>
                <w:tab w:val="decimal" w:pos="340"/>
              </w:tabs>
              <w:spacing w:before="0" w:after="60" w:line="320" w:lineRule="exact"/>
              <w:jc w:val="both"/>
              <w:rPr>
                <w:rFonts w:hint="cs"/>
              </w:rPr>
            </w:pPr>
            <w:r>
              <w:rPr>
                <w:rFonts w:hint="cs"/>
                <w:rtl/>
              </w:rPr>
              <w:t>10.2</w:t>
            </w:r>
          </w:p>
        </w:tc>
      </w:tr>
      <w:tr w:rsidR="00443EC1" w:rsidTr="00443EC1">
        <w:tblPrEx>
          <w:tblCellMar>
            <w:top w:w="0" w:type="dxa"/>
            <w:bottom w:w="0" w:type="dxa"/>
          </w:tblCellMar>
        </w:tblPrEx>
        <w:trPr>
          <w:jc w:val="center"/>
        </w:trPr>
        <w:tc>
          <w:tcPr>
            <w:tcW w:w="3051" w:type="dxa"/>
            <w:tcBorders>
              <w:top w:val="nil"/>
              <w:bottom w:val="nil"/>
            </w:tcBorders>
          </w:tcPr>
          <w:p w:rsidR="00443EC1" w:rsidRDefault="00443EC1">
            <w:pPr>
              <w:spacing w:before="0" w:after="60" w:line="320" w:lineRule="exact"/>
              <w:jc w:val="both"/>
              <w:rPr>
                <w:rFonts w:hint="cs"/>
              </w:rPr>
            </w:pPr>
            <w:r>
              <w:rPr>
                <w:rFonts w:hint="cs"/>
                <w:rtl/>
              </w:rPr>
              <w:t>أمراض القلب والأوعية الدموية</w:t>
            </w:r>
          </w:p>
        </w:tc>
        <w:tc>
          <w:tcPr>
            <w:tcW w:w="1133" w:type="dxa"/>
            <w:tcBorders>
              <w:top w:val="nil"/>
              <w:bottom w:val="nil"/>
            </w:tcBorders>
          </w:tcPr>
          <w:p w:rsidR="00443EC1" w:rsidRDefault="00443EC1">
            <w:pPr>
              <w:tabs>
                <w:tab w:val="decimal" w:pos="424"/>
              </w:tabs>
              <w:spacing w:before="0" w:after="60" w:line="320" w:lineRule="exact"/>
              <w:jc w:val="both"/>
              <w:rPr>
                <w:rFonts w:hint="cs"/>
              </w:rPr>
            </w:pPr>
            <w:r>
              <w:rPr>
                <w:rFonts w:hint="cs"/>
                <w:rtl/>
              </w:rPr>
              <w:t>11.0</w:t>
            </w:r>
          </w:p>
        </w:tc>
        <w:tc>
          <w:tcPr>
            <w:tcW w:w="1064" w:type="dxa"/>
            <w:tcBorders>
              <w:top w:val="nil"/>
              <w:bottom w:val="nil"/>
            </w:tcBorders>
          </w:tcPr>
          <w:p w:rsidR="00443EC1" w:rsidRDefault="00443EC1">
            <w:pPr>
              <w:tabs>
                <w:tab w:val="decimal" w:pos="382"/>
              </w:tabs>
              <w:spacing w:before="0" w:after="60" w:line="320" w:lineRule="exact"/>
              <w:jc w:val="both"/>
              <w:rPr>
                <w:rFonts w:hint="cs"/>
              </w:rPr>
            </w:pPr>
            <w:r>
              <w:rPr>
                <w:rFonts w:hint="cs"/>
                <w:rtl/>
              </w:rPr>
              <w:t>11.2</w:t>
            </w:r>
          </w:p>
        </w:tc>
        <w:tc>
          <w:tcPr>
            <w:tcW w:w="1120" w:type="dxa"/>
            <w:tcBorders>
              <w:top w:val="nil"/>
              <w:bottom w:val="nil"/>
            </w:tcBorders>
          </w:tcPr>
          <w:p w:rsidR="00443EC1" w:rsidRDefault="00443EC1">
            <w:pPr>
              <w:tabs>
                <w:tab w:val="decimal" w:pos="424"/>
              </w:tabs>
              <w:spacing w:before="0" w:after="60" w:line="320" w:lineRule="exact"/>
              <w:jc w:val="both"/>
              <w:rPr>
                <w:rFonts w:hint="cs"/>
              </w:rPr>
            </w:pPr>
            <w:r>
              <w:rPr>
                <w:rFonts w:hint="cs"/>
                <w:rtl/>
              </w:rPr>
              <w:t>10.7</w:t>
            </w:r>
          </w:p>
        </w:tc>
        <w:tc>
          <w:tcPr>
            <w:tcW w:w="1120" w:type="dxa"/>
            <w:tcBorders>
              <w:top w:val="nil"/>
              <w:bottom w:val="nil"/>
            </w:tcBorders>
          </w:tcPr>
          <w:p w:rsidR="00443EC1" w:rsidRDefault="00443EC1">
            <w:pPr>
              <w:tabs>
                <w:tab w:val="decimal" w:pos="438"/>
              </w:tabs>
              <w:spacing w:before="0" w:after="60" w:line="320" w:lineRule="exact"/>
              <w:jc w:val="both"/>
              <w:rPr>
                <w:rFonts w:hint="cs"/>
              </w:rPr>
            </w:pPr>
            <w:r>
              <w:rPr>
                <w:rFonts w:hint="cs"/>
                <w:rtl/>
              </w:rPr>
              <w:t>16.3</w:t>
            </w:r>
          </w:p>
        </w:tc>
        <w:tc>
          <w:tcPr>
            <w:tcW w:w="1050" w:type="dxa"/>
            <w:tcBorders>
              <w:top w:val="nil"/>
              <w:bottom w:val="nil"/>
            </w:tcBorders>
          </w:tcPr>
          <w:p w:rsidR="00443EC1" w:rsidRDefault="00443EC1">
            <w:pPr>
              <w:tabs>
                <w:tab w:val="decimal" w:pos="426"/>
              </w:tabs>
              <w:spacing w:before="0" w:after="60" w:line="320" w:lineRule="exact"/>
              <w:jc w:val="both"/>
              <w:rPr>
                <w:rFonts w:hint="cs"/>
              </w:rPr>
            </w:pPr>
            <w:r>
              <w:rPr>
                <w:rFonts w:hint="cs"/>
                <w:rtl/>
              </w:rPr>
              <w:t>19.1</w:t>
            </w:r>
          </w:p>
        </w:tc>
        <w:tc>
          <w:tcPr>
            <w:tcW w:w="1032" w:type="dxa"/>
            <w:tcBorders>
              <w:top w:val="nil"/>
              <w:bottom w:val="nil"/>
            </w:tcBorders>
          </w:tcPr>
          <w:p w:rsidR="00443EC1" w:rsidRDefault="00443EC1">
            <w:pPr>
              <w:tabs>
                <w:tab w:val="decimal" w:pos="340"/>
              </w:tabs>
              <w:spacing w:before="0" w:after="60" w:line="320" w:lineRule="exact"/>
              <w:jc w:val="both"/>
              <w:rPr>
                <w:rFonts w:hint="cs"/>
              </w:rPr>
            </w:pPr>
            <w:r>
              <w:rPr>
                <w:rFonts w:hint="cs"/>
                <w:rtl/>
              </w:rPr>
              <w:t>12.6</w:t>
            </w:r>
          </w:p>
        </w:tc>
      </w:tr>
      <w:tr w:rsidR="00443EC1" w:rsidTr="00443EC1">
        <w:tblPrEx>
          <w:tblCellMar>
            <w:top w:w="0" w:type="dxa"/>
            <w:bottom w:w="0" w:type="dxa"/>
          </w:tblCellMar>
        </w:tblPrEx>
        <w:trPr>
          <w:jc w:val="center"/>
        </w:trPr>
        <w:tc>
          <w:tcPr>
            <w:tcW w:w="3051" w:type="dxa"/>
            <w:tcBorders>
              <w:top w:val="nil"/>
              <w:bottom w:val="nil"/>
            </w:tcBorders>
          </w:tcPr>
          <w:p w:rsidR="00443EC1" w:rsidRDefault="00443EC1">
            <w:pPr>
              <w:spacing w:before="0" w:after="60" w:line="320" w:lineRule="exact"/>
              <w:jc w:val="both"/>
              <w:rPr>
                <w:rFonts w:hint="cs"/>
              </w:rPr>
            </w:pPr>
            <w:r>
              <w:rPr>
                <w:rFonts w:hint="cs"/>
                <w:rtl/>
              </w:rPr>
              <w:t>أمراض الجهاز التنفسي</w:t>
            </w:r>
          </w:p>
        </w:tc>
        <w:tc>
          <w:tcPr>
            <w:tcW w:w="1133" w:type="dxa"/>
            <w:tcBorders>
              <w:top w:val="nil"/>
              <w:bottom w:val="nil"/>
            </w:tcBorders>
          </w:tcPr>
          <w:p w:rsidR="00443EC1" w:rsidRDefault="00443EC1">
            <w:pPr>
              <w:tabs>
                <w:tab w:val="decimal" w:pos="424"/>
              </w:tabs>
              <w:spacing w:before="0" w:after="60" w:line="320" w:lineRule="exact"/>
              <w:jc w:val="both"/>
              <w:rPr>
                <w:rFonts w:hint="cs"/>
              </w:rPr>
            </w:pPr>
            <w:r>
              <w:rPr>
                <w:rFonts w:hint="cs"/>
                <w:rtl/>
              </w:rPr>
              <w:t>10.7</w:t>
            </w:r>
          </w:p>
        </w:tc>
        <w:tc>
          <w:tcPr>
            <w:tcW w:w="1064" w:type="dxa"/>
            <w:tcBorders>
              <w:top w:val="nil"/>
              <w:bottom w:val="nil"/>
            </w:tcBorders>
          </w:tcPr>
          <w:p w:rsidR="00443EC1" w:rsidRDefault="00443EC1">
            <w:pPr>
              <w:tabs>
                <w:tab w:val="decimal" w:pos="382"/>
              </w:tabs>
              <w:spacing w:before="0" w:after="60" w:line="320" w:lineRule="exact"/>
              <w:jc w:val="both"/>
              <w:rPr>
                <w:rFonts w:hint="cs"/>
              </w:rPr>
            </w:pPr>
            <w:r>
              <w:rPr>
                <w:rFonts w:hint="cs"/>
                <w:rtl/>
              </w:rPr>
              <w:t>11.1</w:t>
            </w:r>
          </w:p>
        </w:tc>
        <w:tc>
          <w:tcPr>
            <w:tcW w:w="1120" w:type="dxa"/>
            <w:tcBorders>
              <w:top w:val="nil"/>
              <w:bottom w:val="nil"/>
            </w:tcBorders>
          </w:tcPr>
          <w:p w:rsidR="00443EC1" w:rsidRDefault="00443EC1">
            <w:pPr>
              <w:tabs>
                <w:tab w:val="decimal" w:pos="424"/>
              </w:tabs>
              <w:spacing w:before="0" w:after="60" w:line="320" w:lineRule="exact"/>
              <w:jc w:val="both"/>
              <w:rPr>
                <w:rFonts w:hint="cs"/>
              </w:rPr>
            </w:pPr>
            <w:r>
              <w:rPr>
                <w:rFonts w:hint="cs"/>
                <w:rtl/>
              </w:rPr>
              <w:t>10.2</w:t>
            </w:r>
          </w:p>
        </w:tc>
        <w:tc>
          <w:tcPr>
            <w:tcW w:w="1120" w:type="dxa"/>
            <w:tcBorders>
              <w:top w:val="nil"/>
              <w:bottom w:val="nil"/>
            </w:tcBorders>
          </w:tcPr>
          <w:p w:rsidR="00443EC1" w:rsidRDefault="00443EC1">
            <w:pPr>
              <w:tabs>
                <w:tab w:val="decimal" w:pos="438"/>
              </w:tabs>
              <w:spacing w:before="0" w:after="60" w:line="320" w:lineRule="exact"/>
              <w:jc w:val="both"/>
              <w:rPr>
                <w:rFonts w:hint="cs"/>
              </w:rPr>
            </w:pPr>
            <w:r>
              <w:rPr>
                <w:rFonts w:hint="cs"/>
                <w:rtl/>
              </w:rPr>
              <w:t>16.3</w:t>
            </w:r>
          </w:p>
        </w:tc>
        <w:tc>
          <w:tcPr>
            <w:tcW w:w="1050" w:type="dxa"/>
            <w:tcBorders>
              <w:top w:val="nil"/>
              <w:bottom w:val="nil"/>
            </w:tcBorders>
          </w:tcPr>
          <w:p w:rsidR="00443EC1" w:rsidRDefault="00443EC1">
            <w:pPr>
              <w:tabs>
                <w:tab w:val="decimal" w:pos="426"/>
              </w:tabs>
              <w:spacing w:before="0" w:after="60" w:line="320" w:lineRule="exact"/>
              <w:jc w:val="both"/>
              <w:rPr>
                <w:rFonts w:hint="cs"/>
              </w:rPr>
            </w:pPr>
            <w:r>
              <w:rPr>
                <w:rFonts w:hint="cs"/>
                <w:rtl/>
              </w:rPr>
              <w:t>16.2</w:t>
            </w:r>
          </w:p>
        </w:tc>
        <w:tc>
          <w:tcPr>
            <w:tcW w:w="1032" w:type="dxa"/>
            <w:tcBorders>
              <w:top w:val="nil"/>
              <w:bottom w:val="nil"/>
            </w:tcBorders>
          </w:tcPr>
          <w:p w:rsidR="00443EC1" w:rsidRDefault="00443EC1">
            <w:pPr>
              <w:tabs>
                <w:tab w:val="decimal" w:pos="340"/>
              </w:tabs>
              <w:spacing w:before="0" w:after="60" w:line="320" w:lineRule="exact"/>
              <w:jc w:val="both"/>
              <w:rPr>
                <w:rFonts w:hint="cs"/>
              </w:rPr>
            </w:pPr>
            <w:r>
              <w:rPr>
                <w:rFonts w:hint="cs"/>
                <w:rtl/>
              </w:rPr>
              <w:t>16.5</w:t>
            </w:r>
          </w:p>
        </w:tc>
      </w:tr>
      <w:tr w:rsidR="00443EC1" w:rsidTr="00443EC1">
        <w:tblPrEx>
          <w:tblCellMar>
            <w:top w:w="0" w:type="dxa"/>
            <w:bottom w:w="0" w:type="dxa"/>
          </w:tblCellMar>
        </w:tblPrEx>
        <w:trPr>
          <w:jc w:val="center"/>
        </w:trPr>
        <w:tc>
          <w:tcPr>
            <w:tcW w:w="3051" w:type="dxa"/>
            <w:tcBorders>
              <w:top w:val="nil"/>
              <w:bottom w:val="nil"/>
            </w:tcBorders>
          </w:tcPr>
          <w:p w:rsidR="00443EC1" w:rsidRDefault="00443EC1">
            <w:pPr>
              <w:spacing w:before="0" w:after="60" w:line="320" w:lineRule="exact"/>
              <w:jc w:val="both"/>
              <w:rPr>
                <w:rFonts w:hint="cs"/>
                <w:rtl/>
              </w:rPr>
            </w:pPr>
            <w:r>
              <w:rPr>
                <w:rFonts w:hint="cs"/>
                <w:rtl/>
              </w:rPr>
              <w:t>الأورام الخبيثة</w:t>
            </w:r>
          </w:p>
        </w:tc>
        <w:tc>
          <w:tcPr>
            <w:tcW w:w="1133" w:type="dxa"/>
            <w:tcBorders>
              <w:top w:val="nil"/>
              <w:bottom w:val="nil"/>
            </w:tcBorders>
          </w:tcPr>
          <w:p w:rsidR="00443EC1" w:rsidRDefault="00443EC1">
            <w:pPr>
              <w:tabs>
                <w:tab w:val="decimal" w:pos="424"/>
              </w:tabs>
              <w:spacing w:before="0" w:after="60" w:line="320" w:lineRule="exact"/>
              <w:jc w:val="both"/>
              <w:rPr>
                <w:rFonts w:hint="cs"/>
              </w:rPr>
            </w:pPr>
            <w:r>
              <w:rPr>
                <w:rFonts w:hint="cs"/>
                <w:rtl/>
              </w:rPr>
              <w:t>8.7</w:t>
            </w:r>
          </w:p>
        </w:tc>
        <w:tc>
          <w:tcPr>
            <w:tcW w:w="1064" w:type="dxa"/>
            <w:tcBorders>
              <w:top w:val="nil"/>
              <w:bottom w:val="nil"/>
            </w:tcBorders>
          </w:tcPr>
          <w:p w:rsidR="00443EC1" w:rsidRDefault="00443EC1">
            <w:pPr>
              <w:tabs>
                <w:tab w:val="decimal" w:pos="382"/>
              </w:tabs>
              <w:spacing w:before="0" w:after="60" w:line="320" w:lineRule="exact"/>
              <w:jc w:val="both"/>
              <w:rPr>
                <w:rFonts w:hint="cs"/>
              </w:rPr>
            </w:pPr>
            <w:r>
              <w:rPr>
                <w:rFonts w:hint="cs"/>
                <w:rtl/>
              </w:rPr>
              <w:t>10.4</w:t>
            </w:r>
          </w:p>
        </w:tc>
        <w:tc>
          <w:tcPr>
            <w:tcW w:w="1120" w:type="dxa"/>
            <w:tcBorders>
              <w:top w:val="nil"/>
              <w:bottom w:val="nil"/>
            </w:tcBorders>
          </w:tcPr>
          <w:p w:rsidR="00443EC1" w:rsidRDefault="00443EC1">
            <w:pPr>
              <w:tabs>
                <w:tab w:val="decimal" w:pos="424"/>
              </w:tabs>
              <w:spacing w:before="0" w:after="60" w:line="320" w:lineRule="exact"/>
              <w:jc w:val="both"/>
              <w:rPr>
                <w:rFonts w:hint="cs"/>
              </w:rPr>
            </w:pPr>
            <w:r>
              <w:rPr>
                <w:rFonts w:hint="cs"/>
                <w:rtl/>
              </w:rPr>
              <w:t>6.8</w:t>
            </w:r>
          </w:p>
        </w:tc>
        <w:tc>
          <w:tcPr>
            <w:tcW w:w="1120" w:type="dxa"/>
            <w:tcBorders>
              <w:top w:val="nil"/>
              <w:bottom w:val="nil"/>
            </w:tcBorders>
          </w:tcPr>
          <w:p w:rsidR="00443EC1" w:rsidRDefault="00443EC1">
            <w:pPr>
              <w:tabs>
                <w:tab w:val="decimal" w:pos="438"/>
              </w:tabs>
              <w:spacing w:before="0" w:after="60" w:line="320" w:lineRule="exact"/>
              <w:jc w:val="both"/>
              <w:rPr>
                <w:rFonts w:hint="cs"/>
              </w:rPr>
            </w:pPr>
            <w:r>
              <w:rPr>
                <w:rFonts w:hint="cs"/>
                <w:rtl/>
              </w:rPr>
              <w:t>18.7</w:t>
            </w:r>
          </w:p>
        </w:tc>
        <w:tc>
          <w:tcPr>
            <w:tcW w:w="1050" w:type="dxa"/>
            <w:tcBorders>
              <w:top w:val="nil"/>
              <w:bottom w:val="nil"/>
            </w:tcBorders>
          </w:tcPr>
          <w:p w:rsidR="00443EC1" w:rsidRDefault="00443EC1">
            <w:pPr>
              <w:tabs>
                <w:tab w:val="decimal" w:pos="426"/>
              </w:tabs>
              <w:spacing w:before="0" w:after="60" w:line="320" w:lineRule="exact"/>
              <w:jc w:val="both"/>
              <w:rPr>
                <w:rFonts w:hint="cs"/>
              </w:rPr>
            </w:pPr>
            <w:r>
              <w:rPr>
                <w:rFonts w:hint="cs"/>
                <w:rtl/>
              </w:rPr>
              <w:t>22.7</w:t>
            </w:r>
          </w:p>
        </w:tc>
        <w:tc>
          <w:tcPr>
            <w:tcW w:w="1032" w:type="dxa"/>
            <w:tcBorders>
              <w:top w:val="nil"/>
              <w:bottom w:val="nil"/>
            </w:tcBorders>
          </w:tcPr>
          <w:p w:rsidR="00443EC1" w:rsidRDefault="00443EC1">
            <w:pPr>
              <w:tabs>
                <w:tab w:val="decimal" w:pos="340"/>
              </w:tabs>
              <w:spacing w:before="0" w:after="60" w:line="320" w:lineRule="exact"/>
              <w:jc w:val="both"/>
              <w:rPr>
                <w:rFonts w:hint="cs"/>
              </w:rPr>
            </w:pPr>
            <w:r>
              <w:rPr>
                <w:rFonts w:hint="cs"/>
                <w:rtl/>
              </w:rPr>
              <w:t>13.3</w:t>
            </w:r>
          </w:p>
        </w:tc>
      </w:tr>
      <w:tr w:rsidR="00443EC1" w:rsidTr="00443EC1">
        <w:tblPrEx>
          <w:tblCellMar>
            <w:top w:w="0" w:type="dxa"/>
            <w:bottom w:w="0" w:type="dxa"/>
          </w:tblCellMar>
        </w:tblPrEx>
        <w:trPr>
          <w:jc w:val="center"/>
        </w:trPr>
        <w:tc>
          <w:tcPr>
            <w:tcW w:w="3051" w:type="dxa"/>
            <w:tcBorders>
              <w:top w:val="nil"/>
            </w:tcBorders>
          </w:tcPr>
          <w:p w:rsidR="00443EC1" w:rsidRDefault="00443EC1">
            <w:pPr>
              <w:spacing w:before="0" w:after="60" w:line="320" w:lineRule="exact"/>
              <w:jc w:val="both"/>
              <w:rPr>
                <w:rFonts w:hint="cs"/>
                <w:rtl/>
              </w:rPr>
            </w:pPr>
            <w:r>
              <w:rPr>
                <w:rFonts w:hint="cs"/>
                <w:rtl/>
              </w:rPr>
              <w:t>الطفيليات المعدية</w:t>
            </w:r>
          </w:p>
        </w:tc>
        <w:tc>
          <w:tcPr>
            <w:tcW w:w="1133" w:type="dxa"/>
            <w:tcBorders>
              <w:top w:val="nil"/>
            </w:tcBorders>
          </w:tcPr>
          <w:p w:rsidR="00443EC1" w:rsidRDefault="00443EC1">
            <w:pPr>
              <w:tabs>
                <w:tab w:val="decimal" w:pos="424"/>
              </w:tabs>
              <w:spacing w:before="0" w:after="60" w:line="320" w:lineRule="exact"/>
              <w:jc w:val="both"/>
              <w:rPr>
                <w:rFonts w:hint="cs"/>
              </w:rPr>
            </w:pPr>
            <w:r>
              <w:rPr>
                <w:rFonts w:hint="cs"/>
                <w:rtl/>
              </w:rPr>
              <w:t>7.5</w:t>
            </w:r>
          </w:p>
        </w:tc>
        <w:tc>
          <w:tcPr>
            <w:tcW w:w="1064" w:type="dxa"/>
            <w:tcBorders>
              <w:top w:val="nil"/>
            </w:tcBorders>
          </w:tcPr>
          <w:p w:rsidR="00443EC1" w:rsidRDefault="00443EC1">
            <w:pPr>
              <w:tabs>
                <w:tab w:val="decimal" w:pos="382"/>
              </w:tabs>
              <w:spacing w:before="0" w:after="60" w:line="320" w:lineRule="exact"/>
              <w:jc w:val="both"/>
              <w:rPr>
                <w:rFonts w:hint="cs"/>
              </w:rPr>
            </w:pPr>
            <w:r>
              <w:rPr>
                <w:rFonts w:hint="cs"/>
                <w:rtl/>
              </w:rPr>
              <w:t>7.7</w:t>
            </w:r>
          </w:p>
        </w:tc>
        <w:tc>
          <w:tcPr>
            <w:tcW w:w="1120" w:type="dxa"/>
            <w:tcBorders>
              <w:top w:val="nil"/>
            </w:tcBorders>
          </w:tcPr>
          <w:p w:rsidR="00443EC1" w:rsidRDefault="00443EC1">
            <w:pPr>
              <w:tabs>
                <w:tab w:val="decimal" w:pos="424"/>
              </w:tabs>
              <w:spacing w:before="0" w:after="60" w:line="320" w:lineRule="exact"/>
              <w:jc w:val="both"/>
              <w:rPr>
                <w:rFonts w:hint="cs"/>
              </w:rPr>
            </w:pPr>
            <w:r>
              <w:rPr>
                <w:rFonts w:hint="cs"/>
                <w:rtl/>
              </w:rPr>
              <w:t>7.2</w:t>
            </w:r>
          </w:p>
        </w:tc>
        <w:tc>
          <w:tcPr>
            <w:tcW w:w="1120" w:type="dxa"/>
            <w:tcBorders>
              <w:top w:val="nil"/>
            </w:tcBorders>
          </w:tcPr>
          <w:p w:rsidR="00443EC1" w:rsidRDefault="00443EC1">
            <w:pPr>
              <w:tabs>
                <w:tab w:val="decimal" w:pos="438"/>
              </w:tabs>
              <w:spacing w:before="0" w:after="60" w:line="320" w:lineRule="exact"/>
              <w:jc w:val="both"/>
              <w:rPr>
                <w:rFonts w:hint="cs"/>
              </w:rPr>
            </w:pPr>
            <w:r>
              <w:rPr>
                <w:rFonts w:hint="cs"/>
                <w:rtl/>
              </w:rPr>
              <w:t>1.4</w:t>
            </w:r>
          </w:p>
        </w:tc>
        <w:tc>
          <w:tcPr>
            <w:tcW w:w="1050" w:type="dxa"/>
            <w:tcBorders>
              <w:top w:val="nil"/>
            </w:tcBorders>
          </w:tcPr>
          <w:p w:rsidR="00443EC1" w:rsidRDefault="00443EC1">
            <w:pPr>
              <w:tabs>
                <w:tab w:val="decimal" w:pos="426"/>
              </w:tabs>
              <w:spacing w:before="0" w:after="60" w:line="320" w:lineRule="exact"/>
              <w:jc w:val="both"/>
              <w:rPr>
                <w:rFonts w:hint="cs"/>
              </w:rPr>
            </w:pPr>
            <w:r>
              <w:rPr>
                <w:rFonts w:hint="cs"/>
                <w:rtl/>
              </w:rPr>
              <w:t>1.3</w:t>
            </w:r>
          </w:p>
        </w:tc>
        <w:tc>
          <w:tcPr>
            <w:tcW w:w="1032" w:type="dxa"/>
            <w:tcBorders>
              <w:top w:val="nil"/>
            </w:tcBorders>
          </w:tcPr>
          <w:p w:rsidR="00443EC1" w:rsidRDefault="00443EC1">
            <w:pPr>
              <w:tabs>
                <w:tab w:val="decimal" w:pos="340"/>
              </w:tabs>
              <w:spacing w:before="0" w:after="60" w:line="320" w:lineRule="exact"/>
              <w:jc w:val="both"/>
              <w:rPr>
                <w:rFonts w:hint="cs"/>
              </w:rPr>
            </w:pPr>
            <w:r>
              <w:rPr>
                <w:rFonts w:hint="cs"/>
                <w:rtl/>
              </w:rPr>
              <w:t>1.5</w:t>
            </w:r>
          </w:p>
        </w:tc>
      </w:tr>
    </w:tbl>
    <w:p w:rsidR="00000000" w:rsidRDefault="00443EC1">
      <w:pPr>
        <w:jc w:val="both"/>
        <w:rPr>
          <w:rFonts w:hint="cs"/>
          <w:rtl/>
        </w:rPr>
      </w:pPr>
      <w:r>
        <w:rPr>
          <w:rFonts w:hint="cs"/>
          <w:i/>
          <w:iCs/>
          <w:rtl/>
        </w:rPr>
        <w:tab/>
        <w:t>المصدر</w:t>
      </w:r>
      <w:r>
        <w:rPr>
          <w:rFonts w:hint="cs"/>
          <w:rtl/>
        </w:rPr>
        <w:t>:</w:t>
      </w:r>
      <w:r>
        <w:rPr>
          <w:rFonts w:hint="cs"/>
          <w:rtl/>
        </w:rPr>
        <w:tab/>
        <w:t>وزارة الصحة.</w:t>
      </w:r>
    </w:p>
    <w:p w:rsidR="00000000" w:rsidRDefault="00443EC1">
      <w:pPr>
        <w:jc w:val="center"/>
        <w:rPr>
          <w:rFonts w:hint="cs"/>
          <w:b/>
          <w:bCs/>
          <w:rtl/>
        </w:rPr>
      </w:pPr>
      <w:r>
        <w:rPr>
          <w:rtl/>
        </w:rPr>
        <w:br w:type="page"/>
      </w:r>
      <w:r>
        <w:rPr>
          <w:rFonts w:hint="cs"/>
          <w:b/>
          <w:bCs/>
          <w:rtl/>
        </w:rPr>
        <w:t>الجدول 12</w:t>
      </w:r>
    </w:p>
    <w:p w:rsidR="00000000" w:rsidRDefault="00443EC1">
      <w:pPr>
        <w:jc w:val="center"/>
        <w:rPr>
          <w:rFonts w:hint="cs"/>
          <w:b/>
          <w:bCs/>
          <w:rtl/>
        </w:rPr>
      </w:pPr>
      <w:r>
        <w:rPr>
          <w:rFonts w:hint="cs"/>
          <w:b/>
          <w:bCs/>
          <w:rtl/>
        </w:rPr>
        <w:t>معدل الولادات، ومعدل الوفيات، ومعدل النمو السكاني (لكل 000 1نسمة)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7"/>
        <w:gridCol w:w="957"/>
        <w:gridCol w:w="957"/>
        <w:gridCol w:w="957"/>
        <w:gridCol w:w="957"/>
        <w:gridCol w:w="957"/>
        <w:gridCol w:w="957"/>
        <w:gridCol w:w="957"/>
        <w:gridCol w:w="957"/>
        <w:gridCol w:w="957"/>
      </w:tblGrid>
      <w:tr w:rsidR="00443EC1" w:rsidTr="00443EC1">
        <w:tblPrEx>
          <w:tblCellMar>
            <w:top w:w="0" w:type="dxa"/>
            <w:bottom w:w="0" w:type="dxa"/>
          </w:tblCellMar>
        </w:tblPrEx>
        <w:trPr>
          <w:cantSplit/>
          <w:jc w:val="center"/>
        </w:trPr>
        <w:tc>
          <w:tcPr>
            <w:tcW w:w="957" w:type="dxa"/>
            <w:tcBorders>
              <w:bottom w:val="nil"/>
            </w:tcBorders>
          </w:tcPr>
          <w:p w:rsidR="00443EC1" w:rsidRDefault="00443EC1">
            <w:pPr>
              <w:spacing w:before="40" w:after="60" w:line="360" w:lineRule="exact"/>
              <w:jc w:val="both"/>
              <w:rPr>
                <w:sz w:val="24"/>
                <w:szCs w:val="24"/>
              </w:rPr>
            </w:pPr>
          </w:p>
        </w:tc>
        <w:tc>
          <w:tcPr>
            <w:tcW w:w="2871" w:type="dxa"/>
            <w:gridSpan w:val="3"/>
          </w:tcPr>
          <w:p w:rsidR="00443EC1" w:rsidRDefault="00443EC1">
            <w:pPr>
              <w:spacing w:before="40" w:after="60" w:line="360" w:lineRule="exact"/>
              <w:jc w:val="center"/>
              <w:rPr>
                <w:rFonts w:hint="cs"/>
                <w:sz w:val="24"/>
                <w:szCs w:val="24"/>
              </w:rPr>
            </w:pPr>
            <w:r>
              <w:rPr>
                <w:rFonts w:hint="cs"/>
                <w:sz w:val="24"/>
                <w:szCs w:val="24"/>
                <w:rtl/>
              </w:rPr>
              <w:t>المجموع</w:t>
            </w:r>
          </w:p>
        </w:tc>
        <w:tc>
          <w:tcPr>
            <w:tcW w:w="2871" w:type="dxa"/>
            <w:gridSpan w:val="3"/>
          </w:tcPr>
          <w:p w:rsidR="00443EC1" w:rsidRDefault="00443EC1">
            <w:pPr>
              <w:spacing w:before="40" w:after="60" w:line="360" w:lineRule="exact"/>
              <w:jc w:val="center"/>
              <w:rPr>
                <w:rFonts w:hint="cs"/>
                <w:sz w:val="24"/>
                <w:szCs w:val="24"/>
              </w:rPr>
            </w:pPr>
            <w:r>
              <w:rPr>
                <w:rFonts w:hint="cs"/>
                <w:sz w:val="24"/>
                <w:szCs w:val="24"/>
                <w:rtl/>
              </w:rPr>
              <w:t>المدن</w:t>
            </w:r>
          </w:p>
        </w:tc>
        <w:tc>
          <w:tcPr>
            <w:tcW w:w="2871" w:type="dxa"/>
            <w:gridSpan w:val="3"/>
          </w:tcPr>
          <w:p w:rsidR="00443EC1" w:rsidRDefault="00443EC1">
            <w:pPr>
              <w:spacing w:before="40" w:after="60" w:line="360" w:lineRule="exact"/>
              <w:jc w:val="center"/>
              <w:rPr>
                <w:rFonts w:hint="cs"/>
                <w:sz w:val="24"/>
                <w:szCs w:val="24"/>
              </w:rPr>
            </w:pPr>
            <w:r>
              <w:rPr>
                <w:rFonts w:hint="cs"/>
                <w:sz w:val="24"/>
                <w:szCs w:val="24"/>
                <w:rtl/>
              </w:rPr>
              <w:t>الأقاليم</w:t>
            </w:r>
          </w:p>
        </w:tc>
      </w:tr>
      <w:tr w:rsidR="00443EC1" w:rsidTr="00443EC1">
        <w:tblPrEx>
          <w:tblCellMar>
            <w:top w:w="0" w:type="dxa"/>
            <w:bottom w:w="0" w:type="dxa"/>
          </w:tblCellMar>
        </w:tblPrEx>
        <w:trPr>
          <w:jc w:val="center"/>
        </w:trPr>
        <w:tc>
          <w:tcPr>
            <w:tcW w:w="957" w:type="dxa"/>
            <w:tcBorders>
              <w:top w:val="nil"/>
              <w:bottom w:val="single" w:sz="4" w:space="0" w:color="auto"/>
            </w:tcBorders>
            <w:vAlign w:val="bottom"/>
          </w:tcPr>
          <w:p w:rsidR="00443EC1" w:rsidRDefault="00443EC1">
            <w:pPr>
              <w:spacing w:before="40" w:after="60" w:line="360" w:lineRule="exact"/>
              <w:jc w:val="center"/>
              <w:rPr>
                <w:rFonts w:hint="cs"/>
                <w:sz w:val="24"/>
                <w:szCs w:val="24"/>
              </w:rPr>
            </w:pPr>
          </w:p>
        </w:tc>
        <w:tc>
          <w:tcPr>
            <w:tcW w:w="957" w:type="dxa"/>
            <w:tcBorders>
              <w:bottom w:val="single" w:sz="4" w:space="0" w:color="auto"/>
            </w:tcBorders>
            <w:vAlign w:val="bottom"/>
          </w:tcPr>
          <w:p w:rsidR="00443EC1" w:rsidRDefault="00443EC1">
            <w:pPr>
              <w:spacing w:before="40" w:after="60" w:line="360" w:lineRule="exact"/>
              <w:jc w:val="center"/>
              <w:rPr>
                <w:rFonts w:hint="cs"/>
                <w:sz w:val="24"/>
                <w:szCs w:val="24"/>
              </w:rPr>
            </w:pPr>
            <w:r>
              <w:rPr>
                <w:rFonts w:hint="cs"/>
                <w:sz w:val="24"/>
                <w:szCs w:val="24"/>
                <w:rtl/>
              </w:rPr>
              <w:t>معدل الولادات</w:t>
            </w:r>
          </w:p>
        </w:tc>
        <w:tc>
          <w:tcPr>
            <w:tcW w:w="957" w:type="dxa"/>
            <w:tcBorders>
              <w:bottom w:val="single" w:sz="4" w:space="0" w:color="auto"/>
            </w:tcBorders>
            <w:vAlign w:val="bottom"/>
          </w:tcPr>
          <w:p w:rsidR="00443EC1" w:rsidRDefault="00443EC1">
            <w:pPr>
              <w:spacing w:before="40" w:after="60" w:line="360" w:lineRule="exact"/>
              <w:jc w:val="center"/>
              <w:rPr>
                <w:rFonts w:hint="cs"/>
                <w:sz w:val="24"/>
                <w:szCs w:val="24"/>
              </w:rPr>
            </w:pPr>
            <w:r>
              <w:rPr>
                <w:rFonts w:hint="cs"/>
                <w:sz w:val="24"/>
                <w:szCs w:val="24"/>
                <w:rtl/>
              </w:rPr>
              <w:t>معدل الوفيات</w:t>
            </w:r>
          </w:p>
        </w:tc>
        <w:tc>
          <w:tcPr>
            <w:tcW w:w="957" w:type="dxa"/>
            <w:tcBorders>
              <w:bottom w:val="single" w:sz="4" w:space="0" w:color="auto"/>
            </w:tcBorders>
            <w:vAlign w:val="bottom"/>
          </w:tcPr>
          <w:p w:rsidR="00443EC1" w:rsidRDefault="00443EC1">
            <w:pPr>
              <w:spacing w:before="40" w:after="60" w:line="360" w:lineRule="exact"/>
              <w:jc w:val="center"/>
              <w:rPr>
                <w:spacing w:val="0"/>
                <w:sz w:val="24"/>
                <w:szCs w:val="24"/>
              </w:rPr>
            </w:pPr>
            <w:r>
              <w:rPr>
                <w:rFonts w:hint="cs"/>
                <w:spacing w:val="0"/>
                <w:sz w:val="24"/>
                <w:szCs w:val="24"/>
                <w:rtl/>
              </w:rPr>
              <w:t>معدل النمو</w:t>
            </w:r>
            <w:r>
              <w:rPr>
                <w:spacing w:val="0"/>
                <w:sz w:val="24"/>
                <w:szCs w:val="24"/>
                <w:rtl/>
              </w:rPr>
              <w:br/>
              <w:t>الطبيعي</w:t>
            </w:r>
          </w:p>
        </w:tc>
        <w:tc>
          <w:tcPr>
            <w:tcW w:w="957" w:type="dxa"/>
            <w:tcBorders>
              <w:bottom w:val="single" w:sz="4" w:space="0" w:color="auto"/>
            </w:tcBorders>
            <w:vAlign w:val="bottom"/>
          </w:tcPr>
          <w:p w:rsidR="00443EC1" w:rsidRDefault="00443EC1">
            <w:pPr>
              <w:spacing w:before="40" w:after="60" w:line="360" w:lineRule="exact"/>
              <w:jc w:val="center"/>
              <w:rPr>
                <w:rFonts w:hint="cs"/>
                <w:sz w:val="24"/>
                <w:szCs w:val="24"/>
              </w:rPr>
            </w:pPr>
            <w:r>
              <w:rPr>
                <w:rFonts w:hint="cs"/>
                <w:sz w:val="24"/>
                <w:szCs w:val="24"/>
                <w:rtl/>
              </w:rPr>
              <w:t>معدل الولادات</w:t>
            </w:r>
          </w:p>
        </w:tc>
        <w:tc>
          <w:tcPr>
            <w:tcW w:w="957" w:type="dxa"/>
            <w:tcBorders>
              <w:bottom w:val="single" w:sz="4" w:space="0" w:color="auto"/>
            </w:tcBorders>
            <w:vAlign w:val="bottom"/>
          </w:tcPr>
          <w:p w:rsidR="00443EC1" w:rsidRDefault="00443EC1">
            <w:pPr>
              <w:spacing w:before="40" w:after="60" w:line="360" w:lineRule="exact"/>
              <w:jc w:val="center"/>
              <w:rPr>
                <w:rFonts w:hint="cs"/>
                <w:sz w:val="24"/>
                <w:szCs w:val="24"/>
              </w:rPr>
            </w:pPr>
            <w:r>
              <w:rPr>
                <w:rFonts w:hint="cs"/>
                <w:sz w:val="24"/>
                <w:szCs w:val="24"/>
                <w:rtl/>
              </w:rPr>
              <w:t>معدل الوفيات</w:t>
            </w:r>
          </w:p>
        </w:tc>
        <w:tc>
          <w:tcPr>
            <w:tcW w:w="957" w:type="dxa"/>
            <w:tcBorders>
              <w:bottom w:val="single" w:sz="4" w:space="0" w:color="auto"/>
            </w:tcBorders>
            <w:vAlign w:val="bottom"/>
          </w:tcPr>
          <w:p w:rsidR="00443EC1" w:rsidRDefault="00443EC1">
            <w:pPr>
              <w:spacing w:before="40" w:after="60" w:line="360" w:lineRule="exact"/>
              <w:jc w:val="center"/>
              <w:rPr>
                <w:spacing w:val="0"/>
                <w:sz w:val="24"/>
                <w:szCs w:val="24"/>
              </w:rPr>
            </w:pPr>
            <w:r>
              <w:rPr>
                <w:rFonts w:hint="cs"/>
                <w:spacing w:val="0"/>
                <w:sz w:val="24"/>
                <w:szCs w:val="24"/>
                <w:rtl/>
              </w:rPr>
              <w:t>معدل النمو</w:t>
            </w:r>
            <w:r>
              <w:rPr>
                <w:spacing w:val="0"/>
                <w:sz w:val="24"/>
                <w:szCs w:val="24"/>
                <w:rtl/>
              </w:rPr>
              <w:br/>
              <w:t>الطبيعي</w:t>
            </w:r>
          </w:p>
        </w:tc>
        <w:tc>
          <w:tcPr>
            <w:tcW w:w="957" w:type="dxa"/>
            <w:tcBorders>
              <w:bottom w:val="single" w:sz="4" w:space="0" w:color="auto"/>
            </w:tcBorders>
            <w:vAlign w:val="bottom"/>
          </w:tcPr>
          <w:p w:rsidR="00443EC1" w:rsidRDefault="00443EC1">
            <w:pPr>
              <w:spacing w:before="40" w:after="60" w:line="360" w:lineRule="exact"/>
              <w:jc w:val="center"/>
              <w:rPr>
                <w:rFonts w:hint="cs"/>
                <w:sz w:val="24"/>
                <w:szCs w:val="24"/>
              </w:rPr>
            </w:pPr>
            <w:r>
              <w:rPr>
                <w:rFonts w:hint="cs"/>
                <w:sz w:val="24"/>
                <w:szCs w:val="24"/>
                <w:rtl/>
              </w:rPr>
              <w:t>معدل الولادات</w:t>
            </w:r>
          </w:p>
        </w:tc>
        <w:tc>
          <w:tcPr>
            <w:tcW w:w="957" w:type="dxa"/>
            <w:tcBorders>
              <w:bottom w:val="single" w:sz="4" w:space="0" w:color="auto"/>
            </w:tcBorders>
            <w:vAlign w:val="bottom"/>
          </w:tcPr>
          <w:p w:rsidR="00443EC1" w:rsidRDefault="00443EC1">
            <w:pPr>
              <w:spacing w:before="40" w:after="60" w:line="360" w:lineRule="exact"/>
              <w:jc w:val="center"/>
              <w:rPr>
                <w:rFonts w:hint="cs"/>
                <w:sz w:val="24"/>
                <w:szCs w:val="24"/>
              </w:rPr>
            </w:pPr>
            <w:r>
              <w:rPr>
                <w:rFonts w:hint="cs"/>
                <w:sz w:val="24"/>
                <w:szCs w:val="24"/>
                <w:rtl/>
              </w:rPr>
              <w:t>معدل الوفيات</w:t>
            </w:r>
          </w:p>
        </w:tc>
        <w:tc>
          <w:tcPr>
            <w:tcW w:w="957" w:type="dxa"/>
            <w:tcBorders>
              <w:bottom w:val="single" w:sz="4" w:space="0" w:color="auto"/>
            </w:tcBorders>
            <w:vAlign w:val="bottom"/>
          </w:tcPr>
          <w:p w:rsidR="00443EC1" w:rsidRDefault="00443EC1">
            <w:pPr>
              <w:spacing w:before="40" w:after="60" w:line="360" w:lineRule="exact"/>
              <w:jc w:val="center"/>
              <w:rPr>
                <w:spacing w:val="0"/>
                <w:sz w:val="24"/>
                <w:szCs w:val="24"/>
              </w:rPr>
            </w:pPr>
            <w:r>
              <w:rPr>
                <w:rFonts w:hint="cs"/>
                <w:spacing w:val="0"/>
                <w:sz w:val="24"/>
                <w:szCs w:val="24"/>
                <w:rtl/>
              </w:rPr>
              <w:t>معدل النمو</w:t>
            </w:r>
            <w:r>
              <w:rPr>
                <w:spacing w:val="0"/>
                <w:sz w:val="24"/>
                <w:szCs w:val="24"/>
                <w:rtl/>
              </w:rPr>
              <w:br/>
              <w:t>الطبيعي</w:t>
            </w:r>
          </w:p>
        </w:tc>
      </w:tr>
      <w:tr w:rsidR="00443EC1" w:rsidTr="00443EC1">
        <w:tblPrEx>
          <w:tblCellMar>
            <w:top w:w="0" w:type="dxa"/>
            <w:bottom w:w="0" w:type="dxa"/>
          </w:tblCellMar>
        </w:tblPrEx>
        <w:trPr>
          <w:jc w:val="center"/>
        </w:trPr>
        <w:tc>
          <w:tcPr>
            <w:tcW w:w="957" w:type="dxa"/>
            <w:tcBorders>
              <w:bottom w:val="nil"/>
            </w:tcBorders>
          </w:tcPr>
          <w:p w:rsidR="00443EC1" w:rsidRDefault="00443EC1">
            <w:pPr>
              <w:spacing w:before="0" w:after="60" w:line="360" w:lineRule="exact"/>
              <w:jc w:val="both"/>
              <w:rPr>
                <w:rFonts w:hint="cs"/>
                <w:sz w:val="24"/>
                <w:szCs w:val="24"/>
              </w:rPr>
            </w:pPr>
            <w:r>
              <w:rPr>
                <w:rFonts w:hint="cs"/>
                <w:sz w:val="24"/>
                <w:szCs w:val="24"/>
                <w:rtl/>
              </w:rPr>
              <w:t>1949</w:t>
            </w:r>
          </w:p>
        </w:tc>
        <w:tc>
          <w:tcPr>
            <w:tcW w:w="957" w:type="dxa"/>
            <w:tcBorders>
              <w:bottom w:val="nil"/>
            </w:tcBorders>
          </w:tcPr>
          <w:p w:rsidR="00443EC1" w:rsidRDefault="00443EC1">
            <w:pPr>
              <w:tabs>
                <w:tab w:val="decimal" w:pos="297"/>
              </w:tabs>
              <w:spacing w:before="0" w:after="60" w:line="360" w:lineRule="exact"/>
              <w:jc w:val="both"/>
              <w:rPr>
                <w:rFonts w:hint="cs"/>
                <w:sz w:val="24"/>
                <w:szCs w:val="24"/>
              </w:rPr>
            </w:pPr>
            <w:r>
              <w:rPr>
                <w:rFonts w:hint="cs"/>
                <w:sz w:val="24"/>
                <w:szCs w:val="24"/>
                <w:rtl/>
              </w:rPr>
              <w:t>36.00</w:t>
            </w:r>
          </w:p>
        </w:tc>
        <w:tc>
          <w:tcPr>
            <w:tcW w:w="957" w:type="dxa"/>
            <w:tcBorders>
              <w:bottom w:val="nil"/>
            </w:tcBorders>
          </w:tcPr>
          <w:p w:rsidR="00443EC1" w:rsidRDefault="00443EC1">
            <w:pPr>
              <w:tabs>
                <w:tab w:val="decimal" w:pos="343"/>
              </w:tabs>
              <w:spacing w:before="0" w:after="60" w:line="360" w:lineRule="exact"/>
              <w:jc w:val="both"/>
              <w:rPr>
                <w:rFonts w:hint="cs"/>
                <w:sz w:val="24"/>
                <w:szCs w:val="24"/>
              </w:rPr>
            </w:pPr>
            <w:r>
              <w:rPr>
                <w:rFonts w:hint="cs"/>
                <w:sz w:val="24"/>
                <w:szCs w:val="24"/>
                <w:rtl/>
              </w:rPr>
              <w:t>20.00</w:t>
            </w:r>
          </w:p>
        </w:tc>
        <w:tc>
          <w:tcPr>
            <w:tcW w:w="957" w:type="dxa"/>
            <w:tcBorders>
              <w:bottom w:val="nil"/>
            </w:tcBorders>
          </w:tcPr>
          <w:p w:rsidR="00443EC1" w:rsidRDefault="00443EC1">
            <w:pPr>
              <w:tabs>
                <w:tab w:val="decimal" w:pos="338"/>
              </w:tabs>
              <w:spacing w:before="0" w:after="60" w:line="360" w:lineRule="exact"/>
              <w:jc w:val="both"/>
              <w:rPr>
                <w:rFonts w:hint="cs"/>
                <w:sz w:val="24"/>
                <w:szCs w:val="24"/>
              </w:rPr>
            </w:pPr>
            <w:r>
              <w:rPr>
                <w:rFonts w:hint="cs"/>
                <w:sz w:val="24"/>
                <w:szCs w:val="24"/>
                <w:rtl/>
              </w:rPr>
              <w:t>16.00</w:t>
            </w:r>
          </w:p>
        </w:tc>
        <w:tc>
          <w:tcPr>
            <w:tcW w:w="957" w:type="dxa"/>
            <w:tcBorders>
              <w:bottom w:val="nil"/>
            </w:tcBorders>
          </w:tcPr>
          <w:p w:rsidR="00443EC1" w:rsidRDefault="00443EC1">
            <w:pPr>
              <w:tabs>
                <w:tab w:val="decimal" w:pos="306"/>
              </w:tabs>
              <w:spacing w:before="0" w:after="60" w:line="360" w:lineRule="exact"/>
              <w:jc w:val="both"/>
              <w:rPr>
                <w:rFonts w:hint="cs"/>
                <w:sz w:val="24"/>
                <w:szCs w:val="24"/>
              </w:rPr>
            </w:pPr>
            <w:r>
              <w:rPr>
                <w:rFonts w:hint="cs"/>
                <w:sz w:val="24"/>
                <w:szCs w:val="24"/>
                <w:rtl/>
              </w:rPr>
              <w:t>...</w:t>
            </w:r>
          </w:p>
        </w:tc>
        <w:tc>
          <w:tcPr>
            <w:tcW w:w="957" w:type="dxa"/>
            <w:tcBorders>
              <w:bottom w:val="nil"/>
            </w:tcBorders>
          </w:tcPr>
          <w:p w:rsidR="00443EC1" w:rsidRDefault="00443EC1">
            <w:pPr>
              <w:tabs>
                <w:tab w:val="decimal" w:pos="285"/>
              </w:tabs>
              <w:spacing w:before="0" w:after="60" w:line="360" w:lineRule="exact"/>
              <w:jc w:val="both"/>
              <w:rPr>
                <w:rFonts w:hint="cs"/>
                <w:sz w:val="24"/>
                <w:szCs w:val="24"/>
              </w:rPr>
            </w:pPr>
            <w:r>
              <w:rPr>
                <w:rFonts w:hint="cs"/>
                <w:sz w:val="24"/>
                <w:szCs w:val="24"/>
                <w:rtl/>
              </w:rPr>
              <w:t>...</w:t>
            </w:r>
          </w:p>
        </w:tc>
        <w:tc>
          <w:tcPr>
            <w:tcW w:w="957" w:type="dxa"/>
            <w:tcBorders>
              <w:bottom w:val="nil"/>
            </w:tcBorders>
          </w:tcPr>
          <w:p w:rsidR="00443EC1" w:rsidRDefault="00443EC1">
            <w:pPr>
              <w:tabs>
                <w:tab w:val="decimal" w:pos="294"/>
              </w:tabs>
              <w:spacing w:before="0" w:after="60" w:line="360" w:lineRule="exact"/>
              <w:jc w:val="both"/>
              <w:rPr>
                <w:rFonts w:hint="cs"/>
                <w:sz w:val="24"/>
                <w:szCs w:val="24"/>
              </w:rPr>
            </w:pPr>
            <w:r>
              <w:rPr>
                <w:rFonts w:hint="cs"/>
                <w:sz w:val="24"/>
                <w:szCs w:val="24"/>
                <w:rtl/>
              </w:rPr>
              <w:t>...</w:t>
            </w:r>
          </w:p>
        </w:tc>
        <w:tc>
          <w:tcPr>
            <w:tcW w:w="957" w:type="dxa"/>
            <w:tcBorders>
              <w:bottom w:val="nil"/>
            </w:tcBorders>
          </w:tcPr>
          <w:p w:rsidR="00443EC1" w:rsidRDefault="00443EC1">
            <w:pPr>
              <w:tabs>
                <w:tab w:val="decimal" w:pos="315"/>
              </w:tabs>
              <w:spacing w:before="0" w:after="60" w:line="360" w:lineRule="exact"/>
              <w:jc w:val="both"/>
              <w:rPr>
                <w:rFonts w:hint="cs"/>
                <w:sz w:val="24"/>
                <w:szCs w:val="24"/>
              </w:rPr>
            </w:pPr>
            <w:r>
              <w:rPr>
                <w:rFonts w:hint="cs"/>
                <w:sz w:val="24"/>
                <w:szCs w:val="24"/>
                <w:rtl/>
              </w:rPr>
              <w:t>...</w:t>
            </w:r>
          </w:p>
        </w:tc>
        <w:tc>
          <w:tcPr>
            <w:tcW w:w="957" w:type="dxa"/>
            <w:tcBorders>
              <w:bottom w:val="nil"/>
            </w:tcBorders>
          </w:tcPr>
          <w:p w:rsidR="00443EC1" w:rsidRDefault="00443EC1">
            <w:pPr>
              <w:tabs>
                <w:tab w:val="decimal" w:pos="258"/>
              </w:tabs>
              <w:spacing w:before="0" w:after="60" w:line="360" w:lineRule="exact"/>
              <w:jc w:val="both"/>
              <w:rPr>
                <w:rFonts w:hint="cs"/>
                <w:sz w:val="24"/>
                <w:szCs w:val="24"/>
              </w:rPr>
            </w:pPr>
            <w:r>
              <w:rPr>
                <w:rFonts w:hint="cs"/>
                <w:sz w:val="24"/>
                <w:szCs w:val="24"/>
                <w:rtl/>
              </w:rPr>
              <w:t>...</w:t>
            </w:r>
          </w:p>
        </w:tc>
        <w:tc>
          <w:tcPr>
            <w:tcW w:w="957" w:type="dxa"/>
            <w:tcBorders>
              <w:bottom w:val="nil"/>
            </w:tcBorders>
          </w:tcPr>
          <w:p w:rsidR="00443EC1" w:rsidRDefault="00443EC1">
            <w:pPr>
              <w:tabs>
                <w:tab w:val="decimal" w:pos="265"/>
              </w:tabs>
              <w:spacing w:before="0" w:after="60" w:line="360" w:lineRule="exact"/>
              <w:jc w:val="both"/>
              <w:rPr>
                <w:rFonts w:hint="cs"/>
                <w:sz w:val="24"/>
                <w:szCs w:val="24"/>
              </w:rPr>
            </w:pPr>
            <w:r>
              <w:rPr>
                <w:rFonts w:hint="cs"/>
                <w:sz w:val="24"/>
                <w:szCs w:val="24"/>
                <w:rtl/>
              </w:rPr>
              <w:t>...</w:t>
            </w:r>
          </w:p>
        </w:tc>
      </w:tr>
      <w:tr w:rsidR="00443EC1" w:rsidTr="00443EC1">
        <w:tblPrEx>
          <w:tblCellMar>
            <w:top w:w="0" w:type="dxa"/>
            <w:bottom w:w="0" w:type="dxa"/>
          </w:tblCellMar>
        </w:tblPrEx>
        <w:trPr>
          <w:jc w:val="center"/>
        </w:trPr>
        <w:tc>
          <w:tcPr>
            <w:tcW w:w="957" w:type="dxa"/>
            <w:tcBorders>
              <w:top w:val="nil"/>
              <w:bottom w:val="nil"/>
            </w:tcBorders>
          </w:tcPr>
          <w:p w:rsidR="00443EC1" w:rsidRDefault="00443EC1">
            <w:pPr>
              <w:spacing w:before="0" w:after="60" w:line="360" w:lineRule="exact"/>
              <w:jc w:val="both"/>
              <w:rPr>
                <w:rFonts w:hint="cs"/>
                <w:sz w:val="24"/>
                <w:szCs w:val="24"/>
              </w:rPr>
            </w:pPr>
            <w:r>
              <w:rPr>
                <w:rFonts w:hint="cs"/>
                <w:sz w:val="24"/>
                <w:szCs w:val="24"/>
                <w:rtl/>
              </w:rPr>
              <w:t>1952</w:t>
            </w:r>
          </w:p>
        </w:tc>
        <w:tc>
          <w:tcPr>
            <w:tcW w:w="957" w:type="dxa"/>
            <w:tcBorders>
              <w:top w:val="nil"/>
              <w:bottom w:val="nil"/>
            </w:tcBorders>
          </w:tcPr>
          <w:p w:rsidR="00443EC1" w:rsidRDefault="00443EC1">
            <w:pPr>
              <w:tabs>
                <w:tab w:val="decimal" w:pos="297"/>
              </w:tabs>
              <w:spacing w:before="0" w:after="60" w:line="360" w:lineRule="exact"/>
              <w:jc w:val="both"/>
              <w:rPr>
                <w:rFonts w:hint="cs"/>
                <w:sz w:val="24"/>
                <w:szCs w:val="24"/>
              </w:rPr>
            </w:pPr>
            <w:r>
              <w:rPr>
                <w:rFonts w:hint="cs"/>
                <w:sz w:val="24"/>
                <w:szCs w:val="24"/>
                <w:rtl/>
              </w:rPr>
              <w:t>37.00</w:t>
            </w:r>
          </w:p>
        </w:tc>
        <w:tc>
          <w:tcPr>
            <w:tcW w:w="957" w:type="dxa"/>
            <w:tcBorders>
              <w:top w:val="nil"/>
              <w:bottom w:val="nil"/>
            </w:tcBorders>
          </w:tcPr>
          <w:p w:rsidR="00443EC1" w:rsidRDefault="00443EC1">
            <w:pPr>
              <w:tabs>
                <w:tab w:val="decimal" w:pos="343"/>
              </w:tabs>
              <w:spacing w:before="0" w:after="60" w:line="360" w:lineRule="exact"/>
              <w:jc w:val="both"/>
              <w:rPr>
                <w:rFonts w:hint="cs"/>
                <w:sz w:val="24"/>
                <w:szCs w:val="24"/>
              </w:rPr>
            </w:pPr>
            <w:r>
              <w:rPr>
                <w:rFonts w:hint="cs"/>
                <w:sz w:val="24"/>
                <w:szCs w:val="24"/>
                <w:rtl/>
              </w:rPr>
              <w:t>17.00</w:t>
            </w:r>
          </w:p>
        </w:tc>
        <w:tc>
          <w:tcPr>
            <w:tcW w:w="957" w:type="dxa"/>
            <w:tcBorders>
              <w:top w:val="nil"/>
              <w:bottom w:val="nil"/>
            </w:tcBorders>
          </w:tcPr>
          <w:p w:rsidR="00443EC1" w:rsidRDefault="00443EC1">
            <w:pPr>
              <w:tabs>
                <w:tab w:val="decimal" w:pos="338"/>
              </w:tabs>
              <w:spacing w:before="0" w:after="60" w:line="360" w:lineRule="exact"/>
              <w:jc w:val="both"/>
              <w:rPr>
                <w:rFonts w:hint="cs"/>
                <w:sz w:val="24"/>
                <w:szCs w:val="24"/>
              </w:rPr>
            </w:pPr>
            <w:r>
              <w:rPr>
                <w:rFonts w:hint="cs"/>
                <w:sz w:val="24"/>
                <w:szCs w:val="24"/>
                <w:rtl/>
              </w:rPr>
              <w:t>20.00</w:t>
            </w:r>
          </w:p>
        </w:tc>
        <w:tc>
          <w:tcPr>
            <w:tcW w:w="957" w:type="dxa"/>
            <w:tcBorders>
              <w:top w:val="nil"/>
              <w:bottom w:val="nil"/>
            </w:tcBorders>
          </w:tcPr>
          <w:p w:rsidR="00443EC1" w:rsidRDefault="00443EC1">
            <w:pPr>
              <w:tabs>
                <w:tab w:val="decimal" w:pos="306"/>
              </w:tabs>
              <w:spacing w:before="0" w:after="60" w:line="360" w:lineRule="exact"/>
              <w:jc w:val="both"/>
              <w:rPr>
                <w:rFonts w:hint="cs"/>
                <w:sz w:val="24"/>
                <w:szCs w:val="24"/>
              </w:rPr>
            </w:pPr>
            <w:r>
              <w:rPr>
                <w:rFonts w:hint="cs"/>
                <w:sz w:val="24"/>
                <w:szCs w:val="24"/>
                <w:rtl/>
              </w:rPr>
              <w:t>...</w:t>
            </w:r>
          </w:p>
        </w:tc>
        <w:tc>
          <w:tcPr>
            <w:tcW w:w="957" w:type="dxa"/>
            <w:tcBorders>
              <w:top w:val="nil"/>
              <w:bottom w:val="nil"/>
            </w:tcBorders>
          </w:tcPr>
          <w:p w:rsidR="00443EC1" w:rsidRDefault="00443EC1">
            <w:pPr>
              <w:tabs>
                <w:tab w:val="decimal" w:pos="285"/>
              </w:tabs>
              <w:spacing w:before="0" w:after="60" w:line="360" w:lineRule="exact"/>
              <w:jc w:val="both"/>
              <w:rPr>
                <w:rFonts w:hint="cs"/>
                <w:sz w:val="24"/>
                <w:szCs w:val="24"/>
              </w:rPr>
            </w:pPr>
            <w:r>
              <w:rPr>
                <w:rFonts w:hint="cs"/>
                <w:sz w:val="24"/>
                <w:szCs w:val="24"/>
                <w:rtl/>
              </w:rPr>
              <w:t>...</w:t>
            </w:r>
          </w:p>
        </w:tc>
        <w:tc>
          <w:tcPr>
            <w:tcW w:w="957" w:type="dxa"/>
            <w:tcBorders>
              <w:top w:val="nil"/>
              <w:bottom w:val="nil"/>
            </w:tcBorders>
          </w:tcPr>
          <w:p w:rsidR="00443EC1" w:rsidRDefault="00443EC1">
            <w:pPr>
              <w:tabs>
                <w:tab w:val="decimal" w:pos="294"/>
              </w:tabs>
              <w:spacing w:before="0" w:after="60" w:line="360" w:lineRule="exact"/>
              <w:jc w:val="both"/>
              <w:rPr>
                <w:rFonts w:hint="cs"/>
                <w:sz w:val="24"/>
                <w:szCs w:val="24"/>
              </w:rPr>
            </w:pPr>
            <w:r>
              <w:rPr>
                <w:rFonts w:hint="cs"/>
                <w:sz w:val="24"/>
                <w:szCs w:val="24"/>
                <w:rtl/>
              </w:rPr>
              <w:t>...</w:t>
            </w:r>
          </w:p>
        </w:tc>
        <w:tc>
          <w:tcPr>
            <w:tcW w:w="957" w:type="dxa"/>
            <w:tcBorders>
              <w:top w:val="nil"/>
              <w:bottom w:val="nil"/>
            </w:tcBorders>
          </w:tcPr>
          <w:p w:rsidR="00443EC1" w:rsidRDefault="00443EC1">
            <w:pPr>
              <w:tabs>
                <w:tab w:val="decimal" w:pos="315"/>
              </w:tabs>
              <w:spacing w:before="0" w:after="60" w:line="360" w:lineRule="exact"/>
              <w:jc w:val="both"/>
              <w:rPr>
                <w:rFonts w:hint="cs"/>
                <w:sz w:val="24"/>
                <w:szCs w:val="24"/>
              </w:rPr>
            </w:pPr>
            <w:r>
              <w:rPr>
                <w:rFonts w:hint="cs"/>
                <w:sz w:val="24"/>
                <w:szCs w:val="24"/>
                <w:rtl/>
              </w:rPr>
              <w:t>...</w:t>
            </w:r>
          </w:p>
        </w:tc>
        <w:tc>
          <w:tcPr>
            <w:tcW w:w="957" w:type="dxa"/>
            <w:tcBorders>
              <w:top w:val="nil"/>
              <w:bottom w:val="nil"/>
            </w:tcBorders>
          </w:tcPr>
          <w:p w:rsidR="00443EC1" w:rsidRDefault="00443EC1">
            <w:pPr>
              <w:tabs>
                <w:tab w:val="decimal" w:pos="258"/>
              </w:tabs>
              <w:spacing w:before="0" w:after="60" w:line="360" w:lineRule="exact"/>
              <w:jc w:val="both"/>
              <w:rPr>
                <w:rFonts w:hint="cs"/>
                <w:sz w:val="24"/>
                <w:szCs w:val="24"/>
              </w:rPr>
            </w:pPr>
            <w:r>
              <w:rPr>
                <w:rFonts w:hint="cs"/>
                <w:sz w:val="24"/>
                <w:szCs w:val="24"/>
                <w:rtl/>
              </w:rPr>
              <w:t>...</w:t>
            </w:r>
          </w:p>
        </w:tc>
        <w:tc>
          <w:tcPr>
            <w:tcW w:w="957" w:type="dxa"/>
            <w:tcBorders>
              <w:top w:val="nil"/>
              <w:bottom w:val="nil"/>
            </w:tcBorders>
          </w:tcPr>
          <w:p w:rsidR="00443EC1" w:rsidRDefault="00443EC1">
            <w:pPr>
              <w:tabs>
                <w:tab w:val="decimal" w:pos="265"/>
              </w:tabs>
              <w:spacing w:before="0" w:after="60" w:line="360" w:lineRule="exact"/>
              <w:jc w:val="both"/>
              <w:rPr>
                <w:rFonts w:hint="cs"/>
                <w:sz w:val="24"/>
                <w:szCs w:val="24"/>
              </w:rPr>
            </w:pPr>
            <w:r>
              <w:rPr>
                <w:rFonts w:hint="cs"/>
                <w:sz w:val="24"/>
                <w:szCs w:val="24"/>
                <w:rtl/>
              </w:rPr>
              <w:t>...</w:t>
            </w:r>
          </w:p>
        </w:tc>
      </w:tr>
      <w:tr w:rsidR="00443EC1" w:rsidTr="00443EC1">
        <w:tblPrEx>
          <w:tblCellMar>
            <w:top w:w="0" w:type="dxa"/>
            <w:bottom w:w="0" w:type="dxa"/>
          </w:tblCellMar>
        </w:tblPrEx>
        <w:trPr>
          <w:jc w:val="center"/>
        </w:trPr>
        <w:tc>
          <w:tcPr>
            <w:tcW w:w="957" w:type="dxa"/>
            <w:tcBorders>
              <w:top w:val="nil"/>
              <w:bottom w:val="nil"/>
            </w:tcBorders>
          </w:tcPr>
          <w:p w:rsidR="00443EC1" w:rsidRDefault="00443EC1">
            <w:pPr>
              <w:spacing w:before="0" w:after="60" w:line="360" w:lineRule="exact"/>
              <w:jc w:val="both"/>
              <w:rPr>
                <w:rFonts w:hint="cs"/>
                <w:sz w:val="24"/>
                <w:szCs w:val="24"/>
              </w:rPr>
            </w:pPr>
            <w:r>
              <w:rPr>
                <w:rFonts w:hint="cs"/>
                <w:sz w:val="24"/>
                <w:szCs w:val="24"/>
                <w:rtl/>
              </w:rPr>
              <w:t>1957</w:t>
            </w:r>
          </w:p>
        </w:tc>
        <w:tc>
          <w:tcPr>
            <w:tcW w:w="957" w:type="dxa"/>
            <w:tcBorders>
              <w:top w:val="nil"/>
              <w:bottom w:val="nil"/>
            </w:tcBorders>
          </w:tcPr>
          <w:p w:rsidR="00443EC1" w:rsidRDefault="00443EC1">
            <w:pPr>
              <w:tabs>
                <w:tab w:val="decimal" w:pos="297"/>
              </w:tabs>
              <w:spacing w:before="0" w:after="60" w:line="360" w:lineRule="exact"/>
              <w:jc w:val="both"/>
              <w:rPr>
                <w:rFonts w:hint="cs"/>
                <w:sz w:val="24"/>
                <w:szCs w:val="24"/>
              </w:rPr>
            </w:pPr>
            <w:r>
              <w:rPr>
                <w:rFonts w:hint="cs"/>
                <w:sz w:val="24"/>
                <w:szCs w:val="24"/>
                <w:rtl/>
              </w:rPr>
              <w:t>34.03</w:t>
            </w:r>
          </w:p>
        </w:tc>
        <w:tc>
          <w:tcPr>
            <w:tcW w:w="957" w:type="dxa"/>
            <w:tcBorders>
              <w:top w:val="nil"/>
              <w:bottom w:val="nil"/>
            </w:tcBorders>
          </w:tcPr>
          <w:p w:rsidR="00443EC1" w:rsidRDefault="00443EC1">
            <w:pPr>
              <w:tabs>
                <w:tab w:val="decimal" w:pos="343"/>
              </w:tabs>
              <w:spacing w:before="0" w:after="60" w:line="360" w:lineRule="exact"/>
              <w:jc w:val="both"/>
              <w:rPr>
                <w:rFonts w:hint="cs"/>
                <w:sz w:val="24"/>
                <w:szCs w:val="24"/>
              </w:rPr>
            </w:pPr>
            <w:r>
              <w:rPr>
                <w:rFonts w:hint="cs"/>
                <w:sz w:val="24"/>
                <w:szCs w:val="24"/>
                <w:rtl/>
              </w:rPr>
              <w:t>10.80</w:t>
            </w:r>
          </w:p>
        </w:tc>
        <w:tc>
          <w:tcPr>
            <w:tcW w:w="957" w:type="dxa"/>
            <w:tcBorders>
              <w:top w:val="nil"/>
              <w:bottom w:val="nil"/>
            </w:tcBorders>
          </w:tcPr>
          <w:p w:rsidR="00443EC1" w:rsidRDefault="00443EC1">
            <w:pPr>
              <w:tabs>
                <w:tab w:val="decimal" w:pos="338"/>
              </w:tabs>
              <w:spacing w:before="0" w:after="60" w:line="360" w:lineRule="exact"/>
              <w:jc w:val="both"/>
              <w:rPr>
                <w:rFonts w:hint="cs"/>
                <w:sz w:val="24"/>
                <w:szCs w:val="24"/>
              </w:rPr>
            </w:pPr>
            <w:r>
              <w:rPr>
                <w:rFonts w:hint="cs"/>
                <w:sz w:val="24"/>
                <w:szCs w:val="24"/>
                <w:rtl/>
              </w:rPr>
              <w:t>23.23</w:t>
            </w:r>
          </w:p>
        </w:tc>
        <w:tc>
          <w:tcPr>
            <w:tcW w:w="957" w:type="dxa"/>
            <w:tcBorders>
              <w:top w:val="nil"/>
              <w:bottom w:val="nil"/>
            </w:tcBorders>
          </w:tcPr>
          <w:p w:rsidR="00443EC1" w:rsidRDefault="00443EC1">
            <w:pPr>
              <w:tabs>
                <w:tab w:val="decimal" w:pos="306"/>
              </w:tabs>
              <w:spacing w:before="0" w:after="60" w:line="360" w:lineRule="exact"/>
              <w:jc w:val="both"/>
              <w:rPr>
                <w:rFonts w:hint="cs"/>
                <w:sz w:val="24"/>
                <w:szCs w:val="24"/>
              </w:rPr>
            </w:pPr>
            <w:r>
              <w:rPr>
                <w:rFonts w:hint="cs"/>
                <w:sz w:val="24"/>
                <w:szCs w:val="24"/>
                <w:rtl/>
              </w:rPr>
              <w:t>44.48</w:t>
            </w:r>
          </w:p>
        </w:tc>
        <w:tc>
          <w:tcPr>
            <w:tcW w:w="957" w:type="dxa"/>
            <w:tcBorders>
              <w:top w:val="nil"/>
              <w:bottom w:val="nil"/>
            </w:tcBorders>
          </w:tcPr>
          <w:p w:rsidR="00443EC1" w:rsidRDefault="00443EC1">
            <w:pPr>
              <w:tabs>
                <w:tab w:val="decimal" w:pos="285"/>
              </w:tabs>
              <w:spacing w:before="0" w:after="60" w:line="360" w:lineRule="exact"/>
              <w:jc w:val="both"/>
              <w:rPr>
                <w:rFonts w:hint="cs"/>
                <w:sz w:val="24"/>
                <w:szCs w:val="24"/>
              </w:rPr>
            </w:pPr>
            <w:r>
              <w:rPr>
                <w:rFonts w:hint="cs"/>
                <w:sz w:val="24"/>
                <w:szCs w:val="24"/>
                <w:rtl/>
              </w:rPr>
              <w:t>8.47</w:t>
            </w:r>
          </w:p>
        </w:tc>
        <w:tc>
          <w:tcPr>
            <w:tcW w:w="957" w:type="dxa"/>
            <w:tcBorders>
              <w:top w:val="nil"/>
              <w:bottom w:val="nil"/>
            </w:tcBorders>
          </w:tcPr>
          <w:p w:rsidR="00443EC1" w:rsidRDefault="00443EC1">
            <w:pPr>
              <w:tabs>
                <w:tab w:val="decimal" w:pos="294"/>
              </w:tabs>
              <w:spacing w:before="0" w:after="60" w:line="360" w:lineRule="exact"/>
              <w:jc w:val="both"/>
              <w:rPr>
                <w:rFonts w:hint="cs"/>
                <w:sz w:val="24"/>
                <w:szCs w:val="24"/>
              </w:rPr>
            </w:pPr>
            <w:r>
              <w:rPr>
                <w:rFonts w:hint="cs"/>
                <w:sz w:val="24"/>
                <w:szCs w:val="24"/>
                <w:rtl/>
              </w:rPr>
              <w:t>36.01</w:t>
            </w:r>
          </w:p>
        </w:tc>
        <w:tc>
          <w:tcPr>
            <w:tcW w:w="957" w:type="dxa"/>
            <w:tcBorders>
              <w:top w:val="nil"/>
              <w:bottom w:val="nil"/>
            </w:tcBorders>
          </w:tcPr>
          <w:p w:rsidR="00443EC1" w:rsidRDefault="00443EC1">
            <w:pPr>
              <w:tabs>
                <w:tab w:val="decimal" w:pos="315"/>
              </w:tabs>
              <w:spacing w:before="0" w:after="60" w:line="360" w:lineRule="exact"/>
              <w:jc w:val="both"/>
              <w:rPr>
                <w:rFonts w:hint="cs"/>
                <w:sz w:val="24"/>
                <w:szCs w:val="24"/>
              </w:rPr>
            </w:pPr>
            <w:r>
              <w:rPr>
                <w:rFonts w:hint="cs"/>
                <w:sz w:val="24"/>
                <w:szCs w:val="24"/>
                <w:rtl/>
              </w:rPr>
              <w:t>32.81</w:t>
            </w:r>
          </w:p>
        </w:tc>
        <w:tc>
          <w:tcPr>
            <w:tcW w:w="957" w:type="dxa"/>
            <w:tcBorders>
              <w:top w:val="nil"/>
              <w:bottom w:val="nil"/>
            </w:tcBorders>
          </w:tcPr>
          <w:p w:rsidR="00443EC1" w:rsidRDefault="00443EC1">
            <w:pPr>
              <w:tabs>
                <w:tab w:val="decimal" w:pos="258"/>
              </w:tabs>
              <w:spacing w:before="0" w:after="60" w:line="360" w:lineRule="exact"/>
              <w:jc w:val="both"/>
              <w:rPr>
                <w:rFonts w:hint="cs"/>
                <w:sz w:val="24"/>
                <w:szCs w:val="24"/>
              </w:rPr>
            </w:pPr>
            <w:r>
              <w:rPr>
                <w:rFonts w:hint="cs"/>
                <w:sz w:val="24"/>
                <w:szCs w:val="24"/>
                <w:rtl/>
              </w:rPr>
              <w:t>11.07</w:t>
            </w:r>
          </w:p>
        </w:tc>
        <w:tc>
          <w:tcPr>
            <w:tcW w:w="957" w:type="dxa"/>
            <w:tcBorders>
              <w:top w:val="nil"/>
              <w:bottom w:val="nil"/>
            </w:tcBorders>
          </w:tcPr>
          <w:p w:rsidR="00443EC1" w:rsidRDefault="00443EC1">
            <w:pPr>
              <w:tabs>
                <w:tab w:val="decimal" w:pos="265"/>
              </w:tabs>
              <w:spacing w:before="0" w:after="60" w:line="360" w:lineRule="exact"/>
              <w:jc w:val="both"/>
              <w:rPr>
                <w:rFonts w:hint="cs"/>
                <w:sz w:val="24"/>
                <w:szCs w:val="24"/>
              </w:rPr>
            </w:pPr>
            <w:r>
              <w:rPr>
                <w:rFonts w:hint="cs"/>
                <w:sz w:val="24"/>
                <w:szCs w:val="24"/>
                <w:rtl/>
              </w:rPr>
              <w:t>21.74</w:t>
            </w:r>
          </w:p>
        </w:tc>
      </w:tr>
      <w:tr w:rsidR="00443EC1" w:rsidTr="00443EC1">
        <w:tblPrEx>
          <w:tblCellMar>
            <w:top w:w="0" w:type="dxa"/>
            <w:bottom w:w="0" w:type="dxa"/>
          </w:tblCellMar>
        </w:tblPrEx>
        <w:trPr>
          <w:jc w:val="center"/>
        </w:trPr>
        <w:tc>
          <w:tcPr>
            <w:tcW w:w="957" w:type="dxa"/>
            <w:tcBorders>
              <w:top w:val="nil"/>
              <w:bottom w:val="nil"/>
            </w:tcBorders>
          </w:tcPr>
          <w:p w:rsidR="00443EC1" w:rsidRDefault="00443EC1">
            <w:pPr>
              <w:spacing w:before="0" w:after="60" w:line="360" w:lineRule="exact"/>
              <w:jc w:val="both"/>
              <w:rPr>
                <w:rFonts w:hint="cs"/>
                <w:sz w:val="24"/>
                <w:szCs w:val="24"/>
              </w:rPr>
            </w:pPr>
            <w:r>
              <w:rPr>
                <w:rFonts w:hint="cs"/>
                <w:sz w:val="24"/>
                <w:szCs w:val="24"/>
                <w:rtl/>
              </w:rPr>
              <w:t>1965</w:t>
            </w:r>
          </w:p>
        </w:tc>
        <w:tc>
          <w:tcPr>
            <w:tcW w:w="957" w:type="dxa"/>
            <w:tcBorders>
              <w:top w:val="nil"/>
              <w:bottom w:val="nil"/>
            </w:tcBorders>
          </w:tcPr>
          <w:p w:rsidR="00443EC1" w:rsidRDefault="00443EC1">
            <w:pPr>
              <w:tabs>
                <w:tab w:val="decimal" w:pos="297"/>
              </w:tabs>
              <w:spacing w:before="0" w:after="60" w:line="360" w:lineRule="exact"/>
              <w:jc w:val="both"/>
              <w:rPr>
                <w:rFonts w:hint="cs"/>
                <w:sz w:val="24"/>
                <w:szCs w:val="24"/>
              </w:rPr>
            </w:pPr>
            <w:r>
              <w:rPr>
                <w:rFonts w:hint="cs"/>
                <w:sz w:val="24"/>
                <w:szCs w:val="24"/>
                <w:rtl/>
              </w:rPr>
              <w:t>37.88</w:t>
            </w:r>
          </w:p>
        </w:tc>
        <w:tc>
          <w:tcPr>
            <w:tcW w:w="957" w:type="dxa"/>
            <w:tcBorders>
              <w:top w:val="nil"/>
              <w:bottom w:val="nil"/>
            </w:tcBorders>
          </w:tcPr>
          <w:p w:rsidR="00443EC1" w:rsidRDefault="00443EC1">
            <w:pPr>
              <w:tabs>
                <w:tab w:val="decimal" w:pos="343"/>
              </w:tabs>
              <w:spacing w:before="0" w:after="60" w:line="360" w:lineRule="exact"/>
              <w:jc w:val="both"/>
              <w:rPr>
                <w:rFonts w:hint="cs"/>
                <w:sz w:val="24"/>
                <w:szCs w:val="24"/>
              </w:rPr>
            </w:pPr>
            <w:r>
              <w:rPr>
                <w:rFonts w:hint="cs"/>
                <w:sz w:val="24"/>
                <w:szCs w:val="24"/>
                <w:rtl/>
              </w:rPr>
              <w:t>9.50</w:t>
            </w:r>
          </w:p>
        </w:tc>
        <w:tc>
          <w:tcPr>
            <w:tcW w:w="957" w:type="dxa"/>
            <w:tcBorders>
              <w:top w:val="nil"/>
              <w:bottom w:val="nil"/>
            </w:tcBorders>
          </w:tcPr>
          <w:p w:rsidR="00443EC1" w:rsidRDefault="00443EC1">
            <w:pPr>
              <w:tabs>
                <w:tab w:val="decimal" w:pos="338"/>
              </w:tabs>
              <w:spacing w:before="0" w:after="60" w:line="360" w:lineRule="exact"/>
              <w:jc w:val="both"/>
              <w:rPr>
                <w:rFonts w:hint="cs"/>
                <w:sz w:val="24"/>
                <w:szCs w:val="24"/>
              </w:rPr>
            </w:pPr>
            <w:r>
              <w:rPr>
                <w:rFonts w:hint="cs"/>
                <w:sz w:val="24"/>
                <w:szCs w:val="24"/>
                <w:rtl/>
              </w:rPr>
              <w:t>28.38</w:t>
            </w:r>
          </w:p>
        </w:tc>
        <w:tc>
          <w:tcPr>
            <w:tcW w:w="957" w:type="dxa"/>
            <w:tcBorders>
              <w:top w:val="nil"/>
              <w:bottom w:val="nil"/>
            </w:tcBorders>
          </w:tcPr>
          <w:p w:rsidR="00443EC1" w:rsidRDefault="00443EC1">
            <w:pPr>
              <w:tabs>
                <w:tab w:val="decimal" w:pos="306"/>
              </w:tabs>
              <w:spacing w:before="0" w:after="60" w:line="360" w:lineRule="exact"/>
              <w:jc w:val="both"/>
              <w:rPr>
                <w:rFonts w:hint="cs"/>
                <w:sz w:val="24"/>
                <w:szCs w:val="24"/>
              </w:rPr>
            </w:pPr>
            <w:r>
              <w:rPr>
                <w:rFonts w:hint="cs"/>
                <w:sz w:val="24"/>
                <w:szCs w:val="24"/>
                <w:rtl/>
              </w:rPr>
              <w:t>26.59</w:t>
            </w:r>
          </w:p>
        </w:tc>
        <w:tc>
          <w:tcPr>
            <w:tcW w:w="957" w:type="dxa"/>
            <w:tcBorders>
              <w:top w:val="nil"/>
              <w:bottom w:val="nil"/>
            </w:tcBorders>
          </w:tcPr>
          <w:p w:rsidR="00443EC1" w:rsidRDefault="00443EC1">
            <w:pPr>
              <w:tabs>
                <w:tab w:val="decimal" w:pos="285"/>
              </w:tabs>
              <w:spacing w:before="0" w:after="60" w:line="360" w:lineRule="exact"/>
              <w:jc w:val="both"/>
              <w:rPr>
                <w:rFonts w:hint="cs"/>
                <w:sz w:val="24"/>
                <w:szCs w:val="24"/>
              </w:rPr>
            </w:pPr>
            <w:r>
              <w:rPr>
                <w:rFonts w:hint="cs"/>
                <w:sz w:val="24"/>
                <w:szCs w:val="24"/>
                <w:rtl/>
              </w:rPr>
              <w:t>5.69</w:t>
            </w:r>
          </w:p>
        </w:tc>
        <w:tc>
          <w:tcPr>
            <w:tcW w:w="957" w:type="dxa"/>
            <w:tcBorders>
              <w:top w:val="nil"/>
              <w:bottom w:val="nil"/>
            </w:tcBorders>
          </w:tcPr>
          <w:p w:rsidR="00443EC1" w:rsidRDefault="00443EC1">
            <w:pPr>
              <w:tabs>
                <w:tab w:val="decimal" w:pos="294"/>
              </w:tabs>
              <w:spacing w:before="0" w:after="60" w:line="360" w:lineRule="exact"/>
              <w:jc w:val="both"/>
              <w:rPr>
                <w:rFonts w:hint="cs"/>
                <w:sz w:val="24"/>
                <w:szCs w:val="24"/>
              </w:rPr>
            </w:pPr>
            <w:r>
              <w:rPr>
                <w:rFonts w:hint="cs"/>
                <w:sz w:val="24"/>
                <w:szCs w:val="24"/>
                <w:rtl/>
              </w:rPr>
              <w:t>20.90</w:t>
            </w:r>
          </w:p>
        </w:tc>
        <w:tc>
          <w:tcPr>
            <w:tcW w:w="957" w:type="dxa"/>
            <w:tcBorders>
              <w:top w:val="nil"/>
              <w:bottom w:val="nil"/>
            </w:tcBorders>
          </w:tcPr>
          <w:p w:rsidR="00443EC1" w:rsidRDefault="00443EC1">
            <w:pPr>
              <w:tabs>
                <w:tab w:val="decimal" w:pos="315"/>
              </w:tabs>
              <w:spacing w:before="0" w:after="60" w:line="360" w:lineRule="exact"/>
              <w:jc w:val="both"/>
              <w:rPr>
                <w:rFonts w:hint="cs"/>
                <w:sz w:val="24"/>
                <w:szCs w:val="24"/>
              </w:rPr>
            </w:pPr>
            <w:r>
              <w:rPr>
                <w:rFonts w:hint="cs"/>
                <w:sz w:val="24"/>
                <w:szCs w:val="24"/>
                <w:rtl/>
              </w:rPr>
              <w:t>39.53</w:t>
            </w:r>
          </w:p>
        </w:tc>
        <w:tc>
          <w:tcPr>
            <w:tcW w:w="957" w:type="dxa"/>
            <w:tcBorders>
              <w:top w:val="nil"/>
              <w:bottom w:val="nil"/>
            </w:tcBorders>
          </w:tcPr>
          <w:p w:rsidR="00443EC1" w:rsidRDefault="00443EC1">
            <w:pPr>
              <w:tabs>
                <w:tab w:val="decimal" w:pos="258"/>
              </w:tabs>
              <w:spacing w:before="0" w:after="60" w:line="360" w:lineRule="exact"/>
              <w:jc w:val="both"/>
              <w:rPr>
                <w:rFonts w:hint="cs"/>
                <w:sz w:val="24"/>
                <w:szCs w:val="24"/>
              </w:rPr>
            </w:pPr>
            <w:r>
              <w:rPr>
                <w:rFonts w:hint="cs"/>
                <w:sz w:val="24"/>
                <w:szCs w:val="24"/>
                <w:rtl/>
              </w:rPr>
              <w:t>10.06</w:t>
            </w:r>
          </w:p>
        </w:tc>
        <w:tc>
          <w:tcPr>
            <w:tcW w:w="957" w:type="dxa"/>
            <w:tcBorders>
              <w:top w:val="nil"/>
              <w:bottom w:val="nil"/>
            </w:tcBorders>
          </w:tcPr>
          <w:p w:rsidR="00443EC1" w:rsidRDefault="00443EC1">
            <w:pPr>
              <w:tabs>
                <w:tab w:val="decimal" w:pos="265"/>
              </w:tabs>
              <w:spacing w:before="0" w:after="60" w:line="360" w:lineRule="exact"/>
              <w:jc w:val="both"/>
              <w:rPr>
                <w:rFonts w:hint="cs"/>
                <w:sz w:val="24"/>
                <w:szCs w:val="24"/>
              </w:rPr>
            </w:pPr>
            <w:r>
              <w:rPr>
                <w:rFonts w:hint="cs"/>
                <w:sz w:val="24"/>
                <w:szCs w:val="24"/>
                <w:rtl/>
              </w:rPr>
              <w:t>29.47</w:t>
            </w:r>
          </w:p>
        </w:tc>
      </w:tr>
      <w:tr w:rsidR="00443EC1" w:rsidTr="00443EC1">
        <w:tblPrEx>
          <w:tblCellMar>
            <w:top w:w="0" w:type="dxa"/>
            <w:bottom w:w="0" w:type="dxa"/>
          </w:tblCellMar>
        </w:tblPrEx>
        <w:trPr>
          <w:jc w:val="center"/>
        </w:trPr>
        <w:tc>
          <w:tcPr>
            <w:tcW w:w="957" w:type="dxa"/>
            <w:tcBorders>
              <w:top w:val="nil"/>
              <w:bottom w:val="nil"/>
            </w:tcBorders>
          </w:tcPr>
          <w:p w:rsidR="00443EC1" w:rsidRDefault="00443EC1">
            <w:pPr>
              <w:spacing w:before="0" w:after="60" w:line="360" w:lineRule="exact"/>
              <w:jc w:val="both"/>
              <w:rPr>
                <w:rFonts w:hint="cs"/>
                <w:sz w:val="24"/>
                <w:szCs w:val="24"/>
              </w:rPr>
            </w:pPr>
            <w:r>
              <w:rPr>
                <w:rFonts w:hint="cs"/>
                <w:sz w:val="24"/>
                <w:szCs w:val="24"/>
                <w:rtl/>
              </w:rPr>
              <w:t>1970</w:t>
            </w:r>
          </w:p>
        </w:tc>
        <w:tc>
          <w:tcPr>
            <w:tcW w:w="957" w:type="dxa"/>
            <w:tcBorders>
              <w:top w:val="nil"/>
              <w:bottom w:val="nil"/>
            </w:tcBorders>
          </w:tcPr>
          <w:p w:rsidR="00443EC1" w:rsidRDefault="00443EC1">
            <w:pPr>
              <w:tabs>
                <w:tab w:val="decimal" w:pos="297"/>
              </w:tabs>
              <w:spacing w:before="0" w:after="60" w:line="360" w:lineRule="exact"/>
              <w:jc w:val="both"/>
              <w:rPr>
                <w:rFonts w:hint="cs"/>
                <w:sz w:val="24"/>
                <w:szCs w:val="24"/>
              </w:rPr>
            </w:pPr>
            <w:r>
              <w:rPr>
                <w:rFonts w:hint="cs"/>
                <w:sz w:val="24"/>
                <w:szCs w:val="24"/>
                <w:rtl/>
              </w:rPr>
              <w:t>33.43</w:t>
            </w:r>
          </w:p>
        </w:tc>
        <w:tc>
          <w:tcPr>
            <w:tcW w:w="957" w:type="dxa"/>
            <w:tcBorders>
              <w:top w:val="nil"/>
              <w:bottom w:val="nil"/>
            </w:tcBorders>
          </w:tcPr>
          <w:p w:rsidR="00443EC1" w:rsidRDefault="00443EC1">
            <w:pPr>
              <w:tabs>
                <w:tab w:val="decimal" w:pos="343"/>
              </w:tabs>
              <w:spacing w:before="0" w:after="60" w:line="360" w:lineRule="exact"/>
              <w:jc w:val="both"/>
              <w:rPr>
                <w:rFonts w:hint="cs"/>
                <w:sz w:val="24"/>
                <w:szCs w:val="24"/>
              </w:rPr>
            </w:pPr>
            <w:r>
              <w:rPr>
                <w:rFonts w:hint="cs"/>
                <w:sz w:val="24"/>
                <w:szCs w:val="24"/>
                <w:rtl/>
              </w:rPr>
              <w:t>7.60</w:t>
            </w:r>
          </w:p>
        </w:tc>
        <w:tc>
          <w:tcPr>
            <w:tcW w:w="957" w:type="dxa"/>
            <w:tcBorders>
              <w:top w:val="nil"/>
              <w:bottom w:val="nil"/>
            </w:tcBorders>
          </w:tcPr>
          <w:p w:rsidR="00443EC1" w:rsidRDefault="00443EC1">
            <w:pPr>
              <w:tabs>
                <w:tab w:val="decimal" w:pos="338"/>
              </w:tabs>
              <w:spacing w:before="0" w:after="60" w:line="360" w:lineRule="exact"/>
              <w:jc w:val="both"/>
              <w:rPr>
                <w:rFonts w:hint="cs"/>
                <w:sz w:val="24"/>
                <w:szCs w:val="24"/>
              </w:rPr>
            </w:pPr>
            <w:r>
              <w:rPr>
                <w:rFonts w:hint="cs"/>
                <w:sz w:val="24"/>
                <w:szCs w:val="24"/>
                <w:rtl/>
              </w:rPr>
              <w:t>25.83</w:t>
            </w:r>
          </w:p>
        </w:tc>
        <w:tc>
          <w:tcPr>
            <w:tcW w:w="957" w:type="dxa"/>
            <w:tcBorders>
              <w:top w:val="nil"/>
              <w:bottom w:val="nil"/>
            </w:tcBorders>
          </w:tcPr>
          <w:p w:rsidR="00443EC1" w:rsidRDefault="00443EC1">
            <w:pPr>
              <w:tabs>
                <w:tab w:val="decimal" w:pos="306"/>
              </w:tabs>
              <w:spacing w:before="0" w:after="60" w:line="360" w:lineRule="exact"/>
              <w:jc w:val="both"/>
              <w:rPr>
                <w:rFonts w:hint="cs"/>
                <w:sz w:val="24"/>
                <w:szCs w:val="24"/>
              </w:rPr>
            </w:pPr>
            <w:r>
              <w:rPr>
                <w:rFonts w:hint="cs"/>
                <w:sz w:val="24"/>
                <w:szCs w:val="24"/>
                <w:rtl/>
              </w:rPr>
              <w:t>...</w:t>
            </w:r>
          </w:p>
        </w:tc>
        <w:tc>
          <w:tcPr>
            <w:tcW w:w="957" w:type="dxa"/>
            <w:tcBorders>
              <w:top w:val="nil"/>
              <w:bottom w:val="nil"/>
            </w:tcBorders>
          </w:tcPr>
          <w:p w:rsidR="00443EC1" w:rsidRDefault="00443EC1">
            <w:pPr>
              <w:tabs>
                <w:tab w:val="decimal" w:pos="285"/>
              </w:tabs>
              <w:spacing w:before="0" w:after="60" w:line="360" w:lineRule="exact"/>
              <w:jc w:val="both"/>
              <w:rPr>
                <w:rFonts w:hint="cs"/>
                <w:sz w:val="24"/>
                <w:szCs w:val="24"/>
              </w:rPr>
            </w:pPr>
            <w:r>
              <w:rPr>
                <w:rFonts w:hint="cs"/>
                <w:sz w:val="24"/>
                <w:szCs w:val="24"/>
                <w:rtl/>
              </w:rPr>
              <w:t>...</w:t>
            </w:r>
          </w:p>
        </w:tc>
        <w:tc>
          <w:tcPr>
            <w:tcW w:w="957" w:type="dxa"/>
            <w:tcBorders>
              <w:top w:val="nil"/>
              <w:bottom w:val="nil"/>
            </w:tcBorders>
          </w:tcPr>
          <w:p w:rsidR="00443EC1" w:rsidRDefault="00443EC1">
            <w:pPr>
              <w:tabs>
                <w:tab w:val="decimal" w:pos="294"/>
              </w:tabs>
              <w:spacing w:before="0" w:after="60" w:line="360" w:lineRule="exact"/>
              <w:jc w:val="both"/>
              <w:rPr>
                <w:rFonts w:hint="cs"/>
                <w:sz w:val="24"/>
                <w:szCs w:val="24"/>
              </w:rPr>
            </w:pPr>
            <w:r>
              <w:rPr>
                <w:rFonts w:hint="cs"/>
                <w:sz w:val="24"/>
                <w:szCs w:val="24"/>
                <w:rtl/>
              </w:rPr>
              <w:t>...</w:t>
            </w:r>
          </w:p>
        </w:tc>
        <w:tc>
          <w:tcPr>
            <w:tcW w:w="957" w:type="dxa"/>
            <w:tcBorders>
              <w:top w:val="nil"/>
              <w:bottom w:val="nil"/>
            </w:tcBorders>
          </w:tcPr>
          <w:p w:rsidR="00443EC1" w:rsidRDefault="00443EC1">
            <w:pPr>
              <w:tabs>
                <w:tab w:val="decimal" w:pos="315"/>
              </w:tabs>
              <w:spacing w:before="0" w:after="60" w:line="360" w:lineRule="exact"/>
              <w:jc w:val="both"/>
              <w:rPr>
                <w:rFonts w:hint="cs"/>
                <w:sz w:val="24"/>
                <w:szCs w:val="24"/>
              </w:rPr>
            </w:pPr>
            <w:r>
              <w:rPr>
                <w:rFonts w:hint="cs"/>
                <w:sz w:val="24"/>
                <w:szCs w:val="24"/>
                <w:rtl/>
              </w:rPr>
              <w:t>...</w:t>
            </w:r>
          </w:p>
        </w:tc>
        <w:tc>
          <w:tcPr>
            <w:tcW w:w="957" w:type="dxa"/>
            <w:tcBorders>
              <w:top w:val="nil"/>
              <w:bottom w:val="nil"/>
            </w:tcBorders>
          </w:tcPr>
          <w:p w:rsidR="00443EC1" w:rsidRDefault="00443EC1">
            <w:pPr>
              <w:tabs>
                <w:tab w:val="decimal" w:pos="258"/>
              </w:tabs>
              <w:spacing w:before="0" w:after="60" w:line="360" w:lineRule="exact"/>
              <w:jc w:val="both"/>
              <w:rPr>
                <w:rFonts w:hint="cs"/>
                <w:sz w:val="24"/>
                <w:szCs w:val="24"/>
              </w:rPr>
            </w:pPr>
            <w:r>
              <w:rPr>
                <w:rFonts w:hint="cs"/>
                <w:sz w:val="24"/>
                <w:szCs w:val="24"/>
                <w:rtl/>
              </w:rPr>
              <w:t>...</w:t>
            </w:r>
          </w:p>
        </w:tc>
        <w:tc>
          <w:tcPr>
            <w:tcW w:w="957" w:type="dxa"/>
            <w:tcBorders>
              <w:top w:val="nil"/>
              <w:bottom w:val="nil"/>
            </w:tcBorders>
          </w:tcPr>
          <w:p w:rsidR="00443EC1" w:rsidRDefault="00443EC1">
            <w:pPr>
              <w:tabs>
                <w:tab w:val="decimal" w:pos="265"/>
              </w:tabs>
              <w:spacing w:before="0" w:after="60" w:line="360" w:lineRule="exact"/>
              <w:jc w:val="both"/>
              <w:rPr>
                <w:rFonts w:hint="cs"/>
                <w:sz w:val="24"/>
                <w:szCs w:val="24"/>
              </w:rPr>
            </w:pPr>
            <w:r>
              <w:rPr>
                <w:rFonts w:hint="cs"/>
                <w:sz w:val="24"/>
                <w:szCs w:val="24"/>
                <w:rtl/>
              </w:rPr>
              <w:t>...</w:t>
            </w:r>
          </w:p>
        </w:tc>
      </w:tr>
      <w:tr w:rsidR="00443EC1" w:rsidTr="00443EC1">
        <w:tblPrEx>
          <w:tblCellMar>
            <w:top w:w="0" w:type="dxa"/>
            <w:bottom w:w="0" w:type="dxa"/>
          </w:tblCellMar>
        </w:tblPrEx>
        <w:trPr>
          <w:jc w:val="center"/>
        </w:trPr>
        <w:tc>
          <w:tcPr>
            <w:tcW w:w="957" w:type="dxa"/>
            <w:tcBorders>
              <w:top w:val="nil"/>
              <w:bottom w:val="nil"/>
            </w:tcBorders>
          </w:tcPr>
          <w:p w:rsidR="00443EC1" w:rsidRDefault="00443EC1">
            <w:pPr>
              <w:spacing w:before="0" w:after="60" w:line="360" w:lineRule="exact"/>
              <w:jc w:val="both"/>
              <w:rPr>
                <w:rFonts w:hint="cs"/>
                <w:sz w:val="24"/>
                <w:szCs w:val="24"/>
              </w:rPr>
            </w:pPr>
            <w:r>
              <w:rPr>
                <w:rFonts w:hint="cs"/>
                <w:sz w:val="24"/>
                <w:szCs w:val="24"/>
                <w:rtl/>
              </w:rPr>
              <w:t>1975</w:t>
            </w:r>
          </w:p>
        </w:tc>
        <w:tc>
          <w:tcPr>
            <w:tcW w:w="957" w:type="dxa"/>
            <w:tcBorders>
              <w:top w:val="nil"/>
              <w:bottom w:val="nil"/>
            </w:tcBorders>
          </w:tcPr>
          <w:p w:rsidR="00443EC1" w:rsidRDefault="00443EC1">
            <w:pPr>
              <w:tabs>
                <w:tab w:val="decimal" w:pos="297"/>
              </w:tabs>
              <w:spacing w:before="0" w:after="60" w:line="360" w:lineRule="exact"/>
              <w:jc w:val="both"/>
              <w:rPr>
                <w:rFonts w:hint="cs"/>
                <w:sz w:val="24"/>
                <w:szCs w:val="24"/>
              </w:rPr>
            </w:pPr>
            <w:r>
              <w:rPr>
                <w:rFonts w:hint="cs"/>
                <w:sz w:val="24"/>
                <w:szCs w:val="24"/>
                <w:rtl/>
              </w:rPr>
              <w:t>23.01</w:t>
            </w:r>
          </w:p>
        </w:tc>
        <w:tc>
          <w:tcPr>
            <w:tcW w:w="957" w:type="dxa"/>
            <w:tcBorders>
              <w:top w:val="nil"/>
              <w:bottom w:val="nil"/>
            </w:tcBorders>
          </w:tcPr>
          <w:p w:rsidR="00443EC1" w:rsidRDefault="00443EC1">
            <w:pPr>
              <w:tabs>
                <w:tab w:val="decimal" w:pos="343"/>
              </w:tabs>
              <w:spacing w:before="0" w:after="60" w:line="360" w:lineRule="exact"/>
              <w:jc w:val="both"/>
              <w:rPr>
                <w:rFonts w:hint="cs"/>
                <w:sz w:val="24"/>
                <w:szCs w:val="24"/>
              </w:rPr>
            </w:pPr>
            <w:r>
              <w:rPr>
                <w:rFonts w:hint="cs"/>
                <w:sz w:val="24"/>
                <w:szCs w:val="24"/>
                <w:rtl/>
              </w:rPr>
              <w:t>7.32</w:t>
            </w:r>
          </w:p>
        </w:tc>
        <w:tc>
          <w:tcPr>
            <w:tcW w:w="957" w:type="dxa"/>
            <w:tcBorders>
              <w:top w:val="nil"/>
              <w:bottom w:val="nil"/>
            </w:tcBorders>
          </w:tcPr>
          <w:p w:rsidR="00443EC1" w:rsidRDefault="00443EC1">
            <w:pPr>
              <w:tabs>
                <w:tab w:val="decimal" w:pos="338"/>
              </w:tabs>
              <w:spacing w:before="0" w:after="60" w:line="360" w:lineRule="exact"/>
              <w:jc w:val="both"/>
              <w:rPr>
                <w:rFonts w:hint="cs"/>
                <w:sz w:val="24"/>
                <w:szCs w:val="24"/>
              </w:rPr>
            </w:pPr>
            <w:r>
              <w:rPr>
                <w:rFonts w:hint="cs"/>
                <w:sz w:val="24"/>
                <w:szCs w:val="24"/>
                <w:rtl/>
              </w:rPr>
              <w:t>15.69</w:t>
            </w:r>
          </w:p>
        </w:tc>
        <w:tc>
          <w:tcPr>
            <w:tcW w:w="957" w:type="dxa"/>
            <w:tcBorders>
              <w:top w:val="nil"/>
              <w:bottom w:val="nil"/>
            </w:tcBorders>
          </w:tcPr>
          <w:p w:rsidR="00443EC1" w:rsidRDefault="00443EC1">
            <w:pPr>
              <w:tabs>
                <w:tab w:val="decimal" w:pos="306"/>
              </w:tabs>
              <w:spacing w:before="0" w:after="60" w:line="360" w:lineRule="exact"/>
              <w:jc w:val="both"/>
              <w:rPr>
                <w:rFonts w:hint="cs"/>
                <w:sz w:val="24"/>
                <w:szCs w:val="24"/>
              </w:rPr>
            </w:pPr>
            <w:r>
              <w:rPr>
                <w:rFonts w:hint="cs"/>
                <w:sz w:val="24"/>
                <w:szCs w:val="24"/>
                <w:rtl/>
              </w:rPr>
              <w:t>14.71</w:t>
            </w:r>
          </w:p>
        </w:tc>
        <w:tc>
          <w:tcPr>
            <w:tcW w:w="957" w:type="dxa"/>
            <w:tcBorders>
              <w:top w:val="nil"/>
              <w:bottom w:val="nil"/>
            </w:tcBorders>
          </w:tcPr>
          <w:p w:rsidR="00443EC1" w:rsidRDefault="00443EC1">
            <w:pPr>
              <w:tabs>
                <w:tab w:val="decimal" w:pos="285"/>
              </w:tabs>
              <w:spacing w:before="0" w:after="60" w:line="360" w:lineRule="exact"/>
              <w:jc w:val="both"/>
              <w:rPr>
                <w:rFonts w:hint="cs"/>
                <w:sz w:val="24"/>
                <w:szCs w:val="24"/>
              </w:rPr>
            </w:pPr>
            <w:r>
              <w:rPr>
                <w:rFonts w:hint="cs"/>
                <w:sz w:val="24"/>
                <w:szCs w:val="24"/>
                <w:rtl/>
              </w:rPr>
              <w:t>5.39</w:t>
            </w:r>
          </w:p>
        </w:tc>
        <w:tc>
          <w:tcPr>
            <w:tcW w:w="957" w:type="dxa"/>
            <w:tcBorders>
              <w:top w:val="nil"/>
              <w:bottom w:val="nil"/>
            </w:tcBorders>
          </w:tcPr>
          <w:p w:rsidR="00443EC1" w:rsidRDefault="00443EC1">
            <w:pPr>
              <w:tabs>
                <w:tab w:val="decimal" w:pos="294"/>
              </w:tabs>
              <w:spacing w:before="0" w:after="60" w:line="360" w:lineRule="exact"/>
              <w:jc w:val="both"/>
              <w:rPr>
                <w:rFonts w:hint="cs"/>
                <w:sz w:val="24"/>
                <w:szCs w:val="24"/>
              </w:rPr>
            </w:pPr>
            <w:r>
              <w:rPr>
                <w:rFonts w:hint="cs"/>
                <w:sz w:val="24"/>
                <w:szCs w:val="24"/>
                <w:rtl/>
              </w:rPr>
              <w:t>9.32</w:t>
            </w:r>
          </w:p>
        </w:tc>
        <w:tc>
          <w:tcPr>
            <w:tcW w:w="957" w:type="dxa"/>
            <w:tcBorders>
              <w:top w:val="nil"/>
              <w:bottom w:val="nil"/>
            </w:tcBorders>
          </w:tcPr>
          <w:p w:rsidR="00443EC1" w:rsidRDefault="00443EC1">
            <w:pPr>
              <w:tabs>
                <w:tab w:val="decimal" w:pos="315"/>
              </w:tabs>
              <w:spacing w:before="0" w:after="60" w:line="360" w:lineRule="exact"/>
              <w:jc w:val="both"/>
              <w:rPr>
                <w:rFonts w:hint="cs"/>
                <w:sz w:val="24"/>
                <w:szCs w:val="24"/>
              </w:rPr>
            </w:pPr>
            <w:r>
              <w:rPr>
                <w:rFonts w:hint="cs"/>
                <w:sz w:val="24"/>
                <w:szCs w:val="24"/>
                <w:rtl/>
              </w:rPr>
              <w:t>24.17</w:t>
            </w:r>
          </w:p>
        </w:tc>
        <w:tc>
          <w:tcPr>
            <w:tcW w:w="957" w:type="dxa"/>
            <w:tcBorders>
              <w:top w:val="nil"/>
              <w:bottom w:val="nil"/>
            </w:tcBorders>
          </w:tcPr>
          <w:p w:rsidR="00443EC1" w:rsidRDefault="00443EC1">
            <w:pPr>
              <w:tabs>
                <w:tab w:val="decimal" w:pos="258"/>
              </w:tabs>
              <w:spacing w:before="0" w:after="60" w:line="360" w:lineRule="exact"/>
              <w:jc w:val="both"/>
              <w:rPr>
                <w:rFonts w:hint="cs"/>
                <w:sz w:val="24"/>
                <w:szCs w:val="24"/>
              </w:rPr>
            </w:pPr>
            <w:r>
              <w:rPr>
                <w:rFonts w:hint="cs"/>
                <w:sz w:val="24"/>
                <w:szCs w:val="24"/>
                <w:rtl/>
              </w:rPr>
              <w:t>7.59</w:t>
            </w:r>
          </w:p>
        </w:tc>
        <w:tc>
          <w:tcPr>
            <w:tcW w:w="957" w:type="dxa"/>
            <w:tcBorders>
              <w:top w:val="nil"/>
              <w:bottom w:val="nil"/>
            </w:tcBorders>
          </w:tcPr>
          <w:p w:rsidR="00443EC1" w:rsidRDefault="00443EC1">
            <w:pPr>
              <w:tabs>
                <w:tab w:val="decimal" w:pos="265"/>
              </w:tabs>
              <w:spacing w:before="0" w:after="60" w:line="360" w:lineRule="exact"/>
              <w:jc w:val="both"/>
              <w:rPr>
                <w:rFonts w:hint="cs"/>
                <w:sz w:val="24"/>
                <w:szCs w:val="24"/>
              </w:rPr>
            </w:pPr>
            <w:r>
              <w:rPr>
                <w:rFonts w:hint="cs"/>
                <w:sz w:val="24"/>
                <w:szCs w:val="24"/>
                <w:rtl/>
              </w:rPr>
              <w:t>16.58</w:t>
            </w:r>
          </w:p>
        </w:tc>
      </w:tr>
      <w:tr w:rsidR="00443EC1" w:rsidTr="00443EC1">
        <w:tblPrEx>
          <w:tblCellMar>
            <w:top w:w="0" w:type="dxa"/>
            <w:bottom w:w="0" w:type="dxa"/>
          </w:tblCellMar>
        </w:tblPrEx>
        <w:trPr>
          <w:jc w:val="center"/>
        </w:trPr>
        <w:tc>
          <w:tcPr>
            <w:tcW w:w="957" w:type="dxa"/>
            <w:tcBorders>
              <w:top w:val="nil"/>
              <w:bottom w:val="nil"/>
            </w:tcBorders>
          </w:tcPr>
          <w:p w:rsidR="00443EC1" w:rsidRDefault="00443EC1">
            <w:pPr>
              <w:spacing w:before="0" w:after="60" w:line="360" w:lineRule="exact"/>
              <w:jc w:val="both"/>
              <w:rPr>
                <w:rFonts w:hint="cs"/>
                <w:sz w:val="24"/>
                <w:szCs w:val="24"/>
              </w:rPr>
            </w:pPr>
            <w:r>
              <w:rPr>
                <w:rFonts w:hint="cs"/>
                <w:sz w:val="24"/>
                <w:szCs w:val="24"/>
                <w:rtl/>
              </w:rPr>
              <w:t>1980</w:t>
            </w:r>
          </w:p>
        </w:tc>
        <w:tc>
          <w:tcPr>
            <w:tcW w:w="957" w:type="dxa"/>
            <w:tcBorders>
              <w:top w:val="nil"/>
              <w:bottom w:val="nil"/>
            </w:tcBorders>
          </w:tcPr>
          <w:p w:rsidR="00443EC1" w:rsidRDefault="00443EC1">
            <w:pPr>
              <w:tabs>
                <w:tab w:val="decimal" w:pos="297"/>
              </w:tabs>
              <w:spacing w:before="0" w:after="60" w:line="360" w:lineRule="exact"/>
              <w:jc w:val="both"/>
              <w:rPr>
                <w:rFonts w:hint="cs"/>
                <w:sz w:val="24"/>
                <w:szCs w:val="24"/>
              </w:rPr>
            </w:pPr>
            <w:r>
              <w:rPr>
                <w:rFonts w:hint="cs"/>
                <w:sz w:val="24"/>
                <w:szCs w:val="24"/>
                <w:rtl/>
              </w:rPr>
              <w:t>18.21</w:t>
            </w:r>
          </w:p>
        </w:tc>
        <w:tc>
          <w:tcPr>
            <w:tcW w:w="957" w:type="dxa"/>
            <w:tcBorders>
              <w:top w:val="nil"/>
              <w:bottom w:val="nil"/>
            </w:tcBorders>
          </w:tcPr>
          <w:p w:rsidR="00443EC1" w:rsidRDefault="00443EC1">
            <w:pPr>
              <w:tabs>
                <w:tab w:val="decimal" w:pos="343"/>
              </w:tabs>
              <w:spacing w:before="0" w:after="60" w:line="360" w:lineRule="exact"/>
              <w:jc w:val="both"/>
              <w:rPr>
                <w:rFonts w:hint="cs"/>
                <w:sz w:val="24"/>
                <w:szCs w:val="24"/>
              </w:rPr>
            </w:pPr>
            <w:r>
              <w:rPr>
                <w:rFonts w:hint="cs"/>
                <w:sz w:val="24"/>
                <w:szCs w:val="24"/>
                <w:rtl/>
              </w:rPr>
              <w:t>6.34</w:t>
            </w:r>
          </w:p>
        </w:tc>
        <w:tc>
          <w:tcPr>
            <w:tcW w:w="957" w:type="dxa"/>
            <w:tcBorders>
              <w:top w:val="nil"/>
              <w:bottom w:val="nil"/>
            </w:tcBorders>
          </w:tcPr>
          <w:p w:rsidR="00443EC1" w:rsidRDefault="00443EC1">
            <w:pPr>
              <w:tabs>
                <w:tab w:val="decimal" w:pos="338"/>
              </w:tabs>
              <w:spacing w:before="0" w:after="60" w:line="360" w:lineRule="exact"/>
              <w:jc w:val="both"/>
              <w:rPr>
                <w:rFonts w:hint="cs"/>
                <w:sz w:val="24"/>
                <w:szCs w:val="24"/>
              </w:rPr>
            </w:pPr>
            <w:r>
              <w:rPr>
                <w:rFonts w:hint="cs"/>
                <w:sz w:val="24"/>
                <w:szCs w:val="24"/>
                <w:rtl/>
              </w:rPr>
              <w:t>11.87</w:t>
            </w:r>
          </w:p>
        </w:tc>
        <w:tc>
          <w:tcPr>
            <w:tcW w:w="957" w:type="dxa"/>
            <w:tcBorders>
              <w:top w:val="nil"/>
              <w:bottom w:val="nil"/>
            </w:tcBorders>
          </w:tcPr>
          <w:p w:rsidR="00443EC1" w:rsidRDefault="00443EC1">
            <w:pPr>
              <w:tabs>
                <w:tab w:val="decimal" w:pos="306"/>
              </w:tabs>
              <w:spacing w:before="0" w:after="60" w:line="360" w:lineRule="exact"/>
              <w:jc w:val="both"/>
              <w:rPr>
                <w:rFonts w:hint="cs"/>
                <w:sz w:val="24"/>
                <w:szCs w:val="24"/>
              </w:rPr>
            </w:pPr>
            <w:r>
              <w:rPr>
                <w:rFonts w:hint="cs"/>
                <w:sz w:val="24"/>
                <w:szCs w:val="24"/>
                <w:rtl/>
              </w:rPr>
              <w:t>14.17</w:t>
            </w:r>
          </w:p>
        </w:tc>
        <w:tc>
          <w:tcPr>
            <w:tcW w:w="957" w:type="dxa"/>
            <w:tcBorders>
              <w:top w:val="nil"/>
              <w:bottom w:val="nil"/>
            </w:tcBorders>
          </w:tcPr>
          <w:p w:rsidR="00443EC1" w:rsidRDefault="00443EC1">
            <w:pPr>
              <w:tabs>
                <w:tab w:val="decimal" w:pos="285"/>
              </w:tabs>
              <w:spacing w:before="0" w:after="60" w:line="360" w:lineRule="exact"/>
              <w:jc w:val="both"/>
              <w:rPr>
                <w:rFonts w:hint="cs"/>
                <w:sz w:val="24"/>
                <w:szCs w:val="24"/>
              </w:rPr>
            </w:pPr>
            <w:r>
              <w:rPr>
                <w:rFonts w:hint="cs"/>
                <w:sz w:val="24"/>
                <w:szCs w:val="24"/>
                <w:rtl/>
              </w:rPr>
              <w:t>5.48</w:t>
            </w:r>
          </w:p>
        </w:tc>
        <w:tc>
          <w:tcPr>
            <w:tcW w:w="957" w:type="dxa"/>
            <w:tcBorders>
              <w:top w:val="nil"/>
              <w:bottom w:val="nil"/>
            </w:tcBorders>
          </w:tcPr>
          <w:p w:rsidR="00443EC1" w:rsidRDefault="00443EC1">
            <w:pPr>
              <w:tabs>
                <w:tab w:val="decimal" w:pos="294"/>
              </w:tabs>
              <w:spacing w:before="0" w:after="60" w:line="360" w:lineRule="exact"/>
              <w:jc w:val="both"/>
              <w:rPr>
                <w:rFonts w:hint="cs"/>
                <w:sz w:val="24"/>
                <w:szCs w:val="24"/>
              </w:rPr>
            </w:pPr>
            <w:r>
              <w:rPr>
                <w:rFonts w:hint="cs"/>
                <w:sz w:val="24"/>
                <w:szCs w:val="24"/>
                <w:rtl/>
              </w:rPr>
              <w:t>8.69</w:t>
            </w:r>
          </w:p>
        </w:tc>
        <w:tc>
          <w:tcPr>
            <w:tcW w:w="957" w:type="dxa"/>
            <w:tcBorders>
              <w:top w:val="nil"/>
              <w:bottom w:val="nil"/>
            </w:tcBorders>
          </w:tcPr>
          <w:p w:rsidR="00443EC1" w:rsidRDefault="00443EC1">
            <w:pPr>
              <w:tabs>
                <w:tab w:val="decimal" w:pos="315"/>
              </w:tabs>
              <w:spacing w:before="0" w:after="60" w:line="360" w:lineRule="exact"/>
              <w:jc w:val="both"/>
              <w:rPr>
                <w:rFonts w:hint="cs"/>
                <w:sz w:val="24"/>
                <w:szCs w:val="24"/>
              </w:rPr>
            </w:pPr>
            <w:r>
              <w:rPr>
                <w:rFonts w:hint="cs"/>
                <w:sz w:val="24"/>
                <w:szCs w:val="24"/>
                <w:rtl/>
              </w:rPr>
              <w:t>18.82</w:t>
            </w:r>
          </w:p>
        </w:tc>
        <w:tc>
          <w:tcPr>
            <w:tcW w:w="957" w:type="dxa"/>
            <w:tcBorders>
              <w:top w:val="nil"/>
              <w:bottom w:val="nil"/>
            </w:tcBorders>
          </w:tcPr>
          <w:p w:rsidR="00443EC1" w:rsidRDefault="00443EC1">
            <w:pPr>
              <w:tabs>
                <w:tab w:val="decimal" w:pos="258"/>
              </w:tabs>
              <w:spacing w:before="0" w:after="60" w:line="360" w:lineRule="exact"/>
              <w:jc w:val="both"/>
              <w:rPr>
                <w:rFonts w:hint="cs"/>
                <w:sz w:val="24"/>
                <w:szCs w:val="24"/>
              </w:rPr>
            </w:pPr>
            <w:r>
              <w:rPr>
                <w:rFonts w:hint="cs"/>
                <w:sz w:val="24"/>
                <w:szCs w:val="24"/>
                <w:rtl/>
              </w:rPr>
              <w:t>6.47</w:t>
            </w:r>
          </w:p>
        </w:tc>
        <w:tc>
          <w:tcPr>
            <w:tcW w:w="957" w:type="dxa"/>
            <w:tcBorders>
              <w:top w:val="nil"/>
              <w:bottom w:val="nil"/>
            </w:tcBorders>
          </w:tcPr>
          <w:p w:rsidR="00443EC1" w:rsidRDefault="00443EC1">
            <w:pPr>
              <w:tabs>
                <w:tab w:val="decimal" w:pos="265"/>
              </w:tabs>
              <w:spacing w:before="0" w:after="60" w:line="360" w:lineRule="exact"/>
              <w:jc w:val="both"/>
              <w:rPr>
                <w:rFonts w:hint="cs"/>
                <w:sz w:val="24"/>
                <w:szCs w:val="24"/>
              </w:rPr>
            </w:pPr>
            <w:r>
              <w:rPr>
                <w:rFonts w:hint="cs"/>
                <w:sz w:val="24"/>
                <w:szCs w:val="24"/>
                <w:rtl/>
              </w:rPr>
              <w:t>12.35</w:t>
            </w:r>
          </w:p>
        </w:tc>
      </w:tr>
      <w:tr w:rsidR="00443EC1" w:rsidTr="00443EC1">
        <w:tblPrEx>
          <w:tblCellMar>
            <w:top w:w="0" w:type="dxa"/>
            <w:bottom w:w="0" w:type="dxa"/>
          </w:tblCellMar>
        </w:tblPrEx>
        <w:trPr>
          <w:jc w:val="center"/>
        </w:trPr>
        <w:tc>
          <w:tcPr>
            <w:tcW w:w="957" w:type="dxa"/>
            <w:tcBorders>
              <w:top w:val="nil"/>
              <w:bottom w:val="nil"/>
            </w:tcBorders>
          </w:tcPr>
          <w:p w:rsidR="00443EC1" w:rsidRDefault="00443EC1">
            <w:pPr>
              <w:spacing w:before="0" w:after="60" w:line="360" w:lineRule="exact"/>
              <w:jc w:val="both"/>
              <w:rPr>
                <w:rFonts w:hint="cs"/>
                <w:sz w:val="24"/>
                <w:szCs w:val="24"/>
              </w:rPr>
            </w:pPr>
            <w:r>
              <w:rPr>
                <w:rFonts w:hint="cs"/>
                <w:sz w:val="24"/>
                <w:szCs w:val="24"/>
                <w:rtl/>
              </w:rPr>
              <w:t>1985</w:t>
            </w:r>
          </w:p>
        </w:tc>
        <w:tc>
          <w:tcPr>
            <w:tcW w:w="957" w:type="dxa"/>
            <w:tcBorders>
              <w:top w:val="nil"/>
              <w:bottom w:val="nil"/>
            </w:tcBorders>
          </w:tcPr>
          <w:p w:rsidR="00443EC1" w:rsidRDefault="00443EC1">
            <w:pPr>
              <w:tabs>
                <w:tab w:val="decimal" w:pos="297"/>
              </w:tabs>
              <w:spacing w:before="0" w:after="60" w:line="360" w:lineRule="exact"/>
              <w:jc w:val="both"/>
              <w:rPr>
                <w:rFonts w:hint="cs"/>
                <w:sz w:val="24"/>
                <w:szCs w:val="24"/>
              </w:rPr>
            </w:pPr>
            <w:r>
              <w:rPr>
                <w:rFonts w:hint="cs"/>
                <w:sz w:val="24"/>
                <w:szCs w:val="24"/>
                <w:rtl/>
              </w:rPr>
              <w:t>21.04</w:t>
            </w:r>
          </w:p>
        </w:tc>
        <w:tc>
          <w:tcPr>
            <w:tcW w:w="957" w:type="dxa"/>
            <w:tcBorders>
              <w:top w:val="nil"/>
              <w:bottom w:val="nil"/>
            </w:tcBorders>
          </w:tcPr>
          <w:p w:rsidR="00443EC1" w:rsidRDefault="00443EC1">
            <w:pPr>
              <w:tabs>
                <w:tab w:val="decimal" w:pos="343"/>
              </w:tabs>
              <w:spacing w:before="0" w:after="60" w:line="360" w:lineRule="exact"/>
              <w:jc w:val="both"/>
              <w:rPr>
                <w:rFonts w:hint="cs"/>
                <w:sz w:val="24"/>
                <w:szCs w:val="24"/>
              </w:rPr>
            </w:pPr>
            <w:r>
              <w:rPr>
                <w:rFonts w:hint="cs"/>
                <w:sz w:val="24"/>
                <w:szCs w:val="24"/>
                <w:rtl/>
              </w:rPr>
              <w:t>6.78</w:t>
            </w:r>
          </w:p>
        </w:tc>
        <w:tc>
          <w:tcPr>
            <w:tcW w:w="957" w:type="dxa"/>
            <w:tcBorders>
              <w:top w:val="nil"/>
              <w:bottom w:val="nil"/>
            </w:tcBorders>
          </w:tcPr>
          <w:p w:rsidR="00443EC1" w:rsidRDefault="00443EC1">
            <w:pPr>
              <w:tabs>
                <w:tab w:val="decimal" w:pos="338"/>
              </w:tabs>
              <w:spacing w:before="0" w:after="60" w:line="360" w:lineRule="exact"/>
              <w:jc w:val="both"/>
              <w:rPr>
                <w:rFonts w:hint="cs"/>
                <w:sz w:val="24"/>
                <w:szCs w:val="24"/>
              </w:rPr>
            </w:pPr>
            <w:r>
              <w:rPr>
                <w:rFonts w:hint="cs"/>
                <w:sz w:val="24"/>
                <w:szCs w:val="24"/>
                <w:rtl/>
              </w:rPr>
              <w:t>14.26</w:t>
            </w:r>
          </w:p>
        </w:tc>
        <w:tc>
          <w:tcPr>
            <w:tcW w:w="957" w:type="dxa"/>
            <w:tcBorders>
              <w:top w:val="nil"/>
              <w:bottom w:val="nil"/>
            </w:tcBorders>
          </w:tcPr>
          <w:p w:rsidR="00443EC1" w:rsidRDefault="00443EC1">
            <w:pPr>
              <w:tabs>
                <w:tab w:val="decimal" w:pos="306"/>
              </w:tabs>
              <w:spacing w:before="0" w:after="60" w:line="360" w:lineRule="exact"/>
              <w:jc w:val="both"/>
              <w:rPr>
                <w:rFonts w:hint="cs"/>
                <w:sz w:val="24"/>
                <w:szCs w:val="24"/>
              </w:rPr>
            </w:pPr>
            <w:r>
              <w:rPr>
                <w:rFonts w:hint="cs"/>
                <w:sz w:val="24"/>
                <w:szCs w:val="24"/>
                <w:rtl/>
              </w:rPr>
              <w:t>14.02</w:t>
            </w:r>
          </w:p>
        </w:tc>
        <w:tc>
          <w:tcPr>
            <w:tcW w:w="957" w:type="dxa"/>
            <w:tcBorders>
              <w:top w:val="nil"/>
              <w:bottom w:val="nil"/>
            </w:tcBorders>
          </w:tcPr>
          <w:p w:rsidR="00443EC1" w:rsidRDefault="00443EC1">
            <w:pPr>
              <w:tabs>
                <w:tab w:val="decimal" w:pos="285"/>
              </w:tabs>
              <w:spacing w:before="0" w:after="60" w:line="360" w:lineRule="exact"/>
              <w:jc w:val="both"/>
              <w:rPr>
                <w:rFonts w:hint="cs"/>
                <w:sz w:val="24"/>
                <w:szCs w:val="24"/>
              </w:rPr>
            </w:pPr>
            <w:r>
              <w:rPr>
                <w:rFonts w:hint="cs"/>
                <w:sz w:val="24"/>
                <w:szCs w:val="24"/>
                <w:rtl/>
              </w:rPr>
              <w:t>5.96</w:t>
            </w:r>
          </w:p>
        </w:tc>
        <w:tc>
          <w:tcPr>
            <w:tcW w:w="957" w:type="dxa"/>
            <w:tcBorders>
              <w:top w:val="nil"/>
              <w:bottom w:val="nil"/>
            </w:tcBorders>
          </w:tcPr>
          <w:p w:rsidR="00443EC1" w:rsidRDefault="00443EC1">
            <w:pPr>
              <w:tabs>
                <w:tab w:val="decimal" w:pos="294"/>
              </w:tabs>
              <w:spacing w:before="0" w:after="60" w:line="360" w:lineRule="exact"/>
              <w:jc w:val="both"/>
              <w:rPr>
                <w:rFonts w:hint="cs"/>
                <w:sz w:val="24"/>
                <w:szCs w:val="24"/>
              </w:rPr>
            </w:pPr>
            <w:r>
              <w:rPr>
                <w:rFonts w:hint="cs"/>
                <w:sz w:val="24"/>
                <w:szCs w:val="24"/>
                <w:rtl/>
              </w:rPr>
              <w:t>8.06</w:t>
            </w:r>
          </w:p>
        </w:tc>
        <w:tc>
          <w:tcPr>
            <w:tcW w:w="957" w:type="dxa"/>
            <w:tcBorders>
              <w:top w:val="nil"/>
              <w:bottom w:val="nil"/>
            </w:tcBorders>
          </w:tcPr>
          <w:p w:rsidR="00443EC1" w:rsidRDefault="00443EC1">
            <w:pPr>
              <w:tabs>
                <w:tab w:val="decimal" w:pos="315"/>
              </w:tabs>
              <w:spacing w:before="0" w:after="60" w:line="360" w:lineRule="exact"/>
              <w:jc w:val="both"/>
              <w:rPr>
                <w:rFonts w:hint="cs"/>
                <w:sz w:val="24"/>
                <w:szCs w:val="24"/>
              </w:rPr>
            </w:pPr>
            <w:r>
              <w:rPr>
                <w:rFonts w:hint="cs"/>
                <w:sz w:val="24"/>
                <w:szCs w:val="24"/>
                <w:rtl/>
              </w:rPr>
              <w:t>19.17</w:t>
            </w:r>
          </w:p>
        </w:tc>
        <w:tc>
          <w:tcPr>
            <w:tcW w:w="957" w:type="dxa"/>
            <w:tcBorders>
              <w:top w:val="nil"/>
              <w:bottom w:val="nil"/>
            </w:tcBorders>
          </w:tcPr>
          <w:p w:rsidR="00443EC1" w:rsidRDefault="00443EC1">
            <w:pPr>
              <w:tabs>
                <w:tab w:val="decimal" w:pos="258"/>
              </w:tabs>
              <w:spacing w:before="0" w:after="60" w:line="360" w:lineRule="exact"/>
              <w:jc w:val="both"/>
              <w:rPr>
                <w:rFonts w:hint="cs"/>
                <w:sz w:val="24"/>
                <w:szCs w:val="24"/>
              </w:rPr>
            </w:pPr>
            <w:r>
              <w:rPr>
                <w:rFonts w:hint="cs"/>
                <w:sz w:val="24"/>
                <w:szCs w:val="24"/>
                <w:rtl/>
              </w:rPr>
              <w:t>6.66</w:t>
            </w:r>
          </w:p>
        </w:tc>
        <w:tc>
          <w:tcPr>
            <w:tcW w:w="957" w:type="dxa"/>
            <w:tcBorders>
              <w:top w:val="nil"/>
              <w:bottom w:val="nil"/>
            </w:tcBorders>
          </w:tcPr>
          <w:p w:rsidR="00443EC1" w:rsidRDefault="00443EC1">
            <w:pPr>
              <w:tabs>
                <w:tab w:val="decimal" w:pos="265"/>
              </w:tabs>
              <w:spacing w:before="0" w:after="60" w:line="360" w:lineRule="exact"/>
              <w:jc w:val="both"/>
              <w:rPr>
                <w:rFonts w:hint="cs"/>
                <w:sz w:val="24"/>
                <w:szCs w:val="24"/>
              </w:rPr>
            </w:pPr>
            <w:r>
              <w:rPr>
                <w:rFonts w:hint="cs"/>
                <w:sz w:val="24"/>
                <w:szCs w:val="24"/>
                <w:rtl/>
              </w:rPr>
              <w:t>12.51</w:t>
            </w:r>
          </w:p>
        </w:tc>
      </w:tr>
      <w:tr w:rsidR="00443EC1" w:rsidTr="00443EC1">
        <w:tblPrEx>
          <w:tblCellMar>
            <w:top w:w="0" w:type="dxa"/>
            <w:bottom w:w="0" w:type="dxa"/>
          </w:tblCellMar>
        </w:tblPrEx>
        <w:trPr>
          <w:jc w:val="center"/>
        </w:trPr>
        <w:tc>
          <w:tcPr>
            <w:tcW w:w="957" w:type="dxa"/>
            <w:tcBorders>
              <w:top w:val="nil"/>
              <w:bottom w:val="nil"/>
            </w:tcBorders>
          </w:tcPr>
          <w:p w:rsidR="00443EC1" w:rsidRDefault="00443EC1">
            <w:pPr>
              <w:spacing w:before="0" w:after="60" w:line="360" w:lineRule="exact"/>
              <w:jc w:val="both"/>
              <w:rPr>
                <w:rFonts w:hint="cs"/>
                <w:sz w:val="24"/>
                <w:szCs w:val="24"/>
              </w:rPr>
            </w:pPr>
            <w:r>
              <w:rPr>
                <w:rFonts w:hint="cs"/>
                <w:sz w:val="24"/>
                <w:szCs w:val="24"/>
                <w:rtl/>
              </w:rPr>
              <w:t>1990</w:t>
            </w:r>
          </w:p>
        </w:tc>
        <w:tc>
          <w:tcPr>
            <w:tcW w:w="957" w:type="dxa"/>
            <w:tcBorders>
              <w:top w:val="nil"/>
              <w:bottom w:val="nil"/>
            </w:tcBorders>
          </w:tcPr>
          <w:p w:rsidR="00443EC1" w:rsidRDefault="00443EC1">
            <w:pPr>
              <w:tabs>
                <w:tab w:val="decimal" w:pos="297"/>
              </w:tabs>
              <w:spacing w:before="0" w:after="60" w:line="360" w:lineRule="exact"/>
              <w:jc w:val="both"/>
              <w:rPr>
                <w:rFonts w:hint="cs"/>
                <w:sz w:val="24"/>
                <w:szCs w:val="24"/>
              </w:rPr>
            </w:pPr>
            <w:r>
              <w:rPr>
                <w:rFonts w:hint="cs"/>
                <w:sz w:val="24"/>
                <w:szCs w:val="24"/>
                <w:rtl/>
              </w:rPr>
              <w:t>21.06</w:t>
            </w:r>
          </w:p>
        </w:tc>
        <w:tc>
          <w:tcPr>
            <w:tcW w:w="957" w:type="dxa"/>
            <w:tcBorders>
              <w:top w:val="nil"/>
              <w:bottom w:val="nil"/>
            </w:tcBorders>
          </w:tcPr>
          <w:p w:rsidR="00443EC1" w:rsidRDefault="00443EC1">
            <w:pPr>
              <w:tabs>
                <w:tab w:val="decimal" w:pos="343"/>
              </w:tabs>
              <w:spacing w:before="0" w:after="60" w:line="360" w:lineRule="exact"/>
              <w:jc w:val="both"/>
              <w:rPr>
                <w:rFonts w:hint="cs"/>
                <w:sz w:val="24"/>
                <w:szCs w:val="24"/>
              </w:rPr>
            </w:pPr>
            <w:r>
              <w:rPr>
                <w:rFonts w:hint="cs"/>
                <w:sz w:val="24"/>
                <w:szCs w:val="24"/>
                <w:rtl/>
              </w:rPr>
              <w:t>6.67</w:t>
            </w:r>
          </w:p>
        </w:tc>
        <w:tc>
          <w:tcPr>
            <w:tcW w:w="957" w:type="dxa"/>
            <w:tcBorders>
              <w:top w:val="nil"/>
              <w:bottom w:val="nil"/>
            </w:tcBorders>
          </w:tcPr>
          <w:p w:rsidR="00443EC1" w:rsidRDefault="00443EC1">
            <w:pPr>
              <w:tabs>
                <w:tab w:val="decimal" w:pos="338"/>
              </w:tabs>
              <w:spacing w:before="0" w:after="60" w:line="360" w:lineRule="exact"/>
              <w:jc w:val="both"/>
              <w:rPr>
                <w:rFonts w:hint="cs"/>
                <w:sz w:val="24"/>
                <w:szCs w:val="24"/>
              </w:rPr>
            </w:pPr>
            <w:r>
              <w:rPr>
                <w:rFonts w:hint="cs"/>
                <w:sz w:val="24"/>
                <w:szCs w:val="24"/>
                <w:rtl/>
              </w:rPr>
              <w:t>14.39</w:t>
            </w:r>
          </w:p>
        </w:tc>
        <w:tc>
          <w:tcPr>
            <w:tcW w:w="957" w:type="dxa"/>
            <w:tcBorders>
              <w:top w:val="nil"/>
              <w:bottom w:val="nil"/>
            </w:tcBorders>
          </w:tcPr>
          <w:p w:rsidR="00443EC1" w:rsidRDefault="00443EC1">
            <w:pPr>
              <w:tabs>
                <w:tab w:val="decimal" w:pos="306"/>
              </w:tabs>
              <w:spacing w:before="0" w:after="60" w:line="360" w:lineRule="exact"/>
              <w:jc w:val="both"/>
              <w:rPr>
                <w:rFonts w:hint="cs"/>
                <w:sz w:val="24"/>
                <w:szCs w:val="24"/>
              </w:rPr>
            </w:pPr>
            <w:r>
              <w:rPr>
                <w:rFonts w:hint="cs"/>
                <w:sz w:val="24"/>
                <w:szCs w:val="24"/>
                <w:rtl/>
              </w:rPr>
              <w:t>16.14</w:t>
            </w:r>
          </w:p>
        </w:tc>
        <w:tc>
          <w:tcPr>
            <w:tcW w:w="957" w:type="dxa"/>
            <w:tcBorders>
              <w:top w:val="nil"/>
              <w:bottom w:val="nil"/>
            </w:tcBorders>
          </w:tcPr>
          <w:p w:rsidR="00443EC1" w:rsidRDefault="00443EC1">
            <w:pPr>
              <w:tabs>
                <w:tab w:val="decimal" w:pos="285"/>
              </w:tabs>
              <w:spacing w:before="0" w:after="60" w:line="360" w:lineRule="exact"/>
              <w:jc w:val="both"/>
              <w:rPr>
                <w:rFonts w:hint="cs"/>
                <w:sz w:val="24"/>
                <w:szCs w:val="24"/>
              </w:rPr>
            </w:pPr>
            <w:r>
              <w:rPr>
                <w:rFonts w:hint="cs"/>
                <w:sz w:val="24"/>
                <w:szCs w:val="24"/>
                <w:rtl/>
              </w:rPr>
              <w:t>5.71</w:t>
            </w:r>
          </w:p>
        </w:tc>
        <w:tc>
          <w:tcPr>
            <w:tcW w:w="957" w:type="dxa"/>
            <w:tcBorders>
              <w:top w:val="nil"/>
              <w:bottom w:val="nil"/>
            </w:tcBorders>
          </w:tcPr>
          <w:p w:rsidR="00443EC1" w:rsidRDefault="00443EC1">
            <w:pPr>
              <w:tabs>
                <w:tab w:val="decimal" w:pos="294"/>
              </w:tabs>
              <w:spacing w:before="0" w:after="60" w:line="360" w:lineRule="exact"/>
              <w:jc w:val="both"/>
              <w:rPr>
                <w:rFonts w:hint="cs"/>
                <w:sz w:val="24"/>
                <w:szCs w:val="24"/>
              </w:rPr>
            </w:pPr>
            <w:r>
              <w:rPr>
                <w:rFonts w:hint="cs"/>
                <w:sz w:val="24"/>
                <w:szCs w:val="24"/>
                <w:rtl/>
              </w:rPr>
              <w:t>10.43</w:t>
            </w:r>
          </w:p>
        </w:tc>
        <w:tc>
          <w:tcPr>
            <w:tcW w:w="957" w:type="dxa"/>
            <w:tcBorders>
              <w:top w:val="nil"/>
              <w:bottom w:val="nil"/>
            </w:tcBorders>
          </w:tcPr>
          <w:p w:rsidR="00443EC1" w:rsidRDefault="00443EC1">
            <w:pPr>
              <w:tabs>
                <w:tab w:val="decimal" w:pos="315"/>
              </w:tabs>
              <w:spacing w:before="0" w:after="60" w:line="360" w:lineRule="exact"/>
              <w:jc w:val="both"/>
              <w:rPr>
                <w:rFonts w:hint="cs"/>
                <w:sz w:val="24"/>
                <w:szCs w:val="24"/>
              </w:rPr>
            </w:pPr>
            <w:r>
              <w:rPr>
                <w:rFonts w:hint="cs"/>
                <w:sz w:val="24"/>
                <w:szCs w:val="24"/>
                <w:rtl/>
              </w:rPr>
              <w:t>22.80</w:t>
            </w:r>
          </w:p>
        </w:tc>
        <w:tc>
          <w:tcPr>
            <w:tcW w:w="957" w:type="dxa"/>
            <w:tcBorders>
              <w:top w:val="nil"/>
              <w:bottom w:val="nil"/>
            </w:tcBorders>
          </w:tcPr>
          <w:p w:rsidR="00443EC1" w:rsidRDefault="00443EC1">
            <w:pPr>
              <w:tabs>
                <w:tab w:val="decimal" w:pos="258"/>
              </w:tabs>
              <w:spacing w:before="0" w:after="60" w:line="360" w:lineRule="exact"/>
              <w:jc w:val="both"/>
              <w:rPr>
                <w:rFonts w:hint="cs"/>
                <w:sz w:val="24"/>
                <w:szCs w:val="24"/>
              </w:rPr>
            </w:pPr>
            <w:r>
              <w:rPr>
                <w:rFonts w:hint="cs"/>
                <w:sz w:val="24"/>
                <w:szCs w:val="24"/>
                <w:rtl/>
              </w:rPr>
              <w:t>7.01</w:t>
            </w:r>
          </w:p>
        </w:tc>
        <w:tc>
          <w:tcPr>
            <w:tcW w:w="957" w:type="dxa"/>
            <w:tcBorders>
              <w:top w:val="nil"/>
              <w:bottom w:val="nil"/>
            </w:tcBorders>
          </w:tcPr>
          <w:p w:rsidR="00443EC1" w:rsidRDefault="00443EC1">
            <w:pPr>
              <w:tabs>
                <w:tab w:val="decimal" w:pos="265"/>
              </w:tabs>
              <w:spacing w:before="0" w:after="60" w:line="360" w:lineRule="exact"/>
              <w:jc w:val="both"/>
              <w:rPr>
                <w:rFonts w:hint="cs"/>
                <w:sz w:val="24"/>
                <w:szCs w:val="24"/>
              </w:rPr>
            </w:pPr>
            <w:r>
              <w:rPr>
                <w:rFonts w:hint="cs"/>
                <w:sz w:val="24"/>
                <w:szCs w:val="24"/>
                <w:rtl/>
              </w:rPr>
              <w:t>15.79</w:t>
            </w:r>
          </w:p>
        </w:tc>
      </w:tr>
      <w:tr w:rsidR="00443EC1" w:rsidTr="00443EC1">
        <w:tblPrEx>
          <w:tblCellMar>
            <w:top w:w="0" w:type="dxa"/>
            <w:bottom w:w="0" w:type="dxa"/>
          </w:tblCellMar>
        </w:tblPrEx>
        <w:trPr>
          <w:jc w:val="center"/>
        </w:trPr>
        <w:tc>
          <w:tcPr>
            <w:tcW w:w="957" w:type="dxa"/>
            <w:tcBorders>
              <w:top w:val="nil"/>
              <w:bottom w:val="nil"/>
            </w:tcBorders>
          </w:tcPr>
          <w:p w:rsidR="00443EC1" w:rsidRDefault="00443EC1">
            <w:pPr>
              <w:spacing w:before="0" w:after="60" w:line="360" w:lineRule="exact"/>
              <w:jc w:val="both"/>
              <w:rPr>
                <w:rFonts w:hint="cs"/>
                <w:sz w:val="24"/>
                <w:szCs w:val="24"/>
              </w:rPr>
            </w:pPr>
            <w:r>
              <w:rPr>
                <w:rFonts w:hint="cs"/>
                <w:sz w:val="24"/>
                <w:szCs w:val="24"/>
                <w:rtl/>
              </w:rPr>
              <w:t>1995</w:t>
            </w:r>
          </w:p>
        </w:tc>
        <w:tc>
          <w:tcPr>
            <w:tcW w:w="957" w:type="dxa"/>
            <w:tcBorders>
              <w:top w:val="nil"/>
              <w:bottom w:val="nil"/>
            </w:tcBorders>
          </w:tcPr>
          <w:p w:rsidR="00443EC1" w:rsidRDefault="00443EC1">
            <w:pPr>
              <w:tabs>
                <w:tab w:val="decimal" w:pos="297"/>
              </w:tabs>
              <w:spacing w:before="0" w:after="60" w:line="360" w:lineRule="exact"/>
              <w:jc w:val="both"/>
              <w:rPr>
                <w:rFonts w:hint="cs"/>
                <w:sz w:val="24"/>
                <w:szCs w:val="24"/>
              </w:rPr>
            </w:pPr>
            <w:r>
              <w:rPr>
                <w:rFonts w:hint="cs"/>
                <w:sz w:val="24"/>
                <w:szCs w:val="24"/>
                <w:rtl/>
              </w:rPr>
              <w:t>17.12</w:t>
            </w:r>
          </w:p>
        </w:tc>
        <w:tc>
          <w:tcPr>
            <w:tcW w:w="957" w:type="dxa"/>
            <w:tcBorders>
              <w:top w:val="nil"/>
              <w:bottom w:val="nil"/>
            </w:tcBorders>
          </w:tcPr>
          <w:p w:rsidR="00443EC1" w:rsidRDefault="00443EC1">
            <w:pPr>
              <w:tabs>
                <w:tab w:val="decimal" w:pos="343"/>
              </w:tabs>
              <w:spacing w:before="0" w:after="60" w:line="360" w:lineRule="exact"/>
              <w:jc w:val="both"/>
              <w:rPr>
                <w:rFonts w:hint="cs"/>
                <w:sz w:val="24"/>
                <w:szCs w:val="24"/>
              </w:rPr>
            </w:pPr>
            <w:r>
              <w:rPr>
                <w:rFonts w:hint="cs"/>
                <w:sz w:val="24"/>
                <w:szCs w:val="24"/>
                <w:rtl/>
              </w:rPr>
              <w:t>6.57</w:t>
            </w:r>
          </w:p>
        </w:tc>
        <w:tc>
          <w:tcPr>
            <w:tcW w:w="957" w:type="dxa"/>
            <w:tcBorders>
              <w:top w:val="nil"/>
              <w:bottom w:val="nil"/>
            </w:tcBorders>
          </w:tcPr>
          <w:p w:rsidR="00443EC1" w:rsidRDefault="00443EC1">
            <w:pPr>
              <w:tabs>
                <w:tab w:val="decimal" w:pos="338"/>
              </w:tabs>
              <w:spacing w:before="0" w:after="60" w:line="360" w:lineRule="exact"/>
              <w:jc w:val="both"/>
              <w:rPr>
                <w:rFonts w:hint="cs"/>
                <w:sz w:val="24"/>
                <w:szCs w:val="24"/>
              </w:rPr>
            </w:pPr>
            <w:r>
              <w:rPr>
                <w:rFonts w:hint="cs"/>
                <w:sz w:val="24"/>
                <w:szCs w:val="24"/>
                <w:rtl/>
              </w:rPr>
              <w:t>10.55</w:t>
            </w:r>
          </w:p>
        </w:tc>
        <w:tc>
          <w:tcPr>
            <w:tcW w:w="957" w:type="dxa"/>
            <w:tcBorders>
              <w:top w:val="nil"/>
              <w:bottom w:val="nil"/>
            </w:tcBorders>
          </w:tcPr>
          <w:p w:rsidR="00443EC1" w:rsidRDefault="00443EC1">
            <w:pPr>
              <w:tabs>
                <w:tab w:val="decimal" w:pos="306"/>
              </w:tabs>
              <w:spacing w:before="0" w:after="60" w:line="360" w:lineRule="exact"/>
              <w:jc w:val="both"/>
              <w:rPr>
                <w:rFonts w:hint="cs"/>
                <w:sz w:val="24"/>
                <w:szCs w:val="24"/>
              </w:rPr>
            </w:pPr>
            <w:r>
              <w:rPr>
                <w:rFonts w:hint="cs"/>
                <w:sz w:val="24"/>
                <w:szCs w:val="24"/>
                <w:rtl/>
              </w:rPr>
              <w:t>14.76</w:t>
            </w:r>
          </w:p>
        </w:tc>
        <w:tc>
          <w:tcPr>
            <w:tcW w:w="957" w:type="dxa"/>
            <w:tcBorders>
              <w:top w:val="nil"/>
              <w:bottom w:val="nil"/>
            </w:tcBorders>
          </w:tcPr>
          <w:p w:rsidR="00443EC1" w:rsidRDefault="00443EC1">
            <w:pPr>
              <w:tabs>
                <w:tab w:val="decimal" w:pos="285"/>
              </w:tabs>
              <w:spacing w:before="0" w:after="60" w:line="360" w:lineRule="exact"/>
              <w:jc w:val="both"/>
              <w:rPr>
                <w:rFonts w:hint="cs"/>
                <w:sz w:val="24"/>
                <w:szCs w:val="24"/>
              </w:rPr>
            </w:pPr>
            <w:r>
              <w:rPr>
                <w:rFonts w:hint="cs"/>
                <w:sz w:val="24"/>
                <w:szCs w:val="24"/>
                <w:rtl/>
              </w:rPr>
              <w:t>5.53</w:t>
            </w:r>
          </w:p>
        </w:tc>
        <w:tc>
          <w:tcPr>
            <w:tcW w:w="957" w:type="dxa"/>
            <w:tcBorders>
              <w:top w:val="nil"/>
              <w:bottom w:val="nil"/>
            </w:tcBorders>
          </w:tcPr>
          <w:p w:rsidR="00443EC1" w:rsidRDefault="00443EC1">
            <w:pPr>
              <w:tabs>
                <w:tab w:val="decimal" w:pos="294"/>
              </w:tabs>
              <w:spacing w:before="0" w:after="60" w:line="360" w:lineRule="exact"/>
              <w:jc w:val="both"/>
              <w:rPr>
                <w:rFonts w:hint="cs"/>
                <w:sz w:val="24"/>
                <w:szCs w:val="24"/>
              </w:rPr>
            </w:pPr>
            <w:r>
              <w:rPr>
                <w:rFonts w:hint="cs"/>
                <w:sz w:val="24"/>
                <w:szCs w:val="24"/>
                <w:rtl/>
              </w:rPr>
              <w:t>9.23</w:t>
            </w:r>
          </w:p>
        </w:tc>
        <w:tc>
          <w:tcPr>
            <w:tcW w:w="957" w:type="dxa"/>
            <w:tcBorders>
              <w:top w:val="nil"/>
              <w:bottom w:val="nil"/>
            </w:tcBorders>
          </w:tcPr>
          <w:p w:rsidR="00443EC1" w:rsidRDefault="00443EC1">
            <w:pPr>
              <w:tabs>
                <w:tab w:val="decimal" w:pos="315"/>
              </w:tabs>
              <w:spacing w:before="0" w:after="60" w:line="360" w:lineRule="exact"/>
              <w:jc w:val="both"/>
              <w:rPr>
                <w:rFonts w:hint="cs"/>
                <w:sz w:val="24"/>
                <w:szCs w:val="24"/>
              </w:rPr>
            </w:pPr>
            <w:r>
              <w:rPr>
                <w:rFonts w:hint="cs"/>
                <w:sz w:val="24"/>
                <w:szCs w:val="24"/>
                <w:rtl/>
              </w:rPr>
              <w:t>18.08</w:t>
            </w:r>
          </w:p>
        </w:tc>
        <w:tc>
          <w:tcPr>
            <w:tcW w:w="957" w:type="dxa"/>
            <w:tcBorders>
              <w:top w:val="nil"/>
              <w:bottom w:val="nil"/>
            </w:tcBorders>
          </w:tcPr>
          <w:p w:rsidR="00443EC1" w:rsidRDefault="00443EC1">
            <w:pPr>
              <w:tabs>
                <w:tab w:val="decimal" w:pos="258"/>
              </w:tabs>
              <w:spacing w:before="0" w:after="60" w:line="360" w:lineRule="exact"/>
              <w:jc w:val="both"/>
              <w:rPr>
                <w:rFonts w:hint="cs"/>
                <w:sz w:val="24"/>
                <w:szCs w:val="24"/>
              </w:rPr>
            </w:pPr>
            <w:r>
              <w:rPr>
                <w:rFonts w:hint="cs"/>
                <w:sz w:val="24"/>
                <w:szCs w:val="24"/>
                <w:rtl/>
              </w:rPr>
              <w:t>6.99</w:t>
            </w:r>
          </w:p>
        </w:tc>
        <w:tc>
          <w:tcPr>
            <w:tcW w:w="957" w:type="dxa"/>
            <w:tcBorders>
              <w:top w:val="nil"/>
              <w:bottom w:val="nil"/>
            </w:tcBorders>
          </w:tcPr>
          <w:p w:rsidR="00443EC1" w:rsidRDefault="00443EC1">
            <w:pPr>
              <w:tabs>
                <w:tab w:val="decimal" w:pos="265"/>
              </w:tabs>
              <w:spacing w:before="0" w:after="60" w:line="360" w:lineRule="exact"/>
              <w:jc w:val="both"/>
              <w:rPr>
                <w:rFonts w:hint="cs"/>
                <w:sz w:val="24"/>
                <w:szCs w:val="24"/>
              </w:rPr>
            </w:pPr>
            <w:r>
              <w:rPr>
                <w:rFonts w:hint="cs"/>
                <w:sz w:val="24"/>
                <w:szCs w:val="24"/>
                <w:rtl/>
              </w:rPr>
              <w:t>11.09</w:t>
            </w:r>
          </w:p>
        </w:tc>
      </w:tr>
      <w:tr w:rsidR="00443EC1" w:rsidTr="00443EC1">
        <w:tblPrEx>
          <w:tblCellMar>
            <w:top w:w="0" w:type="dxa"/>
            <w:bottom w:w="0" w:type="dxa"/>
          </w:tblCellMar>
        </w:tblPrEx>
        <w:trPr>
          <w:jc w:val="center"/>
        </w:trPr>
        <w:tc>
          <w:tcPr>
            <w:tcW w:w="957" w:type="dxa"/>
            <w:tcBorders>
              <w:top w:val="nil"/>
              <w:bottom w:val="nil"/>
            </w:tcBorders>
          </w:tcPr>
          <w:p w:rsidR="00443EC1" w:rsidRDefault="00443EC1">
            <w:pPr>
              <w:spacing w:before="0" w:after="60" w:line="360" w:lineRule="exact"/>
              <w:jc w:val="both"/>
              <w:rPr>
                <w:rFonts w:hint="cs"/>
                <w:sz w:val="24"/>
                <w:szCs w:val="24"/>
              </w:rPr>
            </w:pPr>
            <w:r>
              <w:rPr>
                <w:rFonts w:hint="cs"/>
                <w:sz w:val="24"/>
                <w:szCs w:val="24"/>
                <w:rtl/>
              </w:rPr>
              <w:t>1996</w:t>
            </w:r>
          </w:p>
        </w:tc>
        <w:tc>
          <w:tcPr>
            <w:tcW w:w="957" w:type="dxa"/>
            <w:tcBorders>
              <w:top w:val="nil"/>
              <w:bottom w:val="nil"/>
            </w:tcBorders>
          </w:tcPr>
          <w:p w:rsidR="00443EC1" w:rsidRDefault="00443EC1">
            <w:pPr>
              <w:tabs>
                <w:tab w:val="decimal" w:pos="297"/>
              </w:tabs>
              <w:spacing w:before="0" w:after="60" w:line="360" w:lineRule="exact"/>
              <w:jc w:val="both"/>
              <w:rPr>
                <w:rFonts w:hint="cs"/>
                <w:sz w:val="24"/>
                <w:szCs w:val="24"/>
              </w:rPr>
            </w:pPr>
            <w:r>
              <w:rPr>
                <w:rFonts w:hint="cs"/>
                <w:sz w:val="24"/>
                <w:szCs w:val="24"/>
                <w:rtl/>
              </w:rPr>
              <w:t>16.98</w:t>
            </w:r>
          </w:p>
        </w:tc>
        <w:tc>
          <w:tcPr>
            <w:tcW w:w="957" w:type="dxa"/>
            <w:tcBorders>
              <w:top w:val="nil"/>
              <w:bottom w:val="nil"/>
            </w:tcBorders>
          </w:tcPr>
          <w:p w:rsidR="00443EC1" w:rsidRDefault="00443EC1">
            <w:pPr>
              <w:tabs>
                <w:tab w:val="decimal" w:pos="343"/>
              </w:tabs>
              <w:spacing w:before="0" w:after="60" w:line="360" w:lineRule="exact"/>
              <w:jc w:val="both"/>
              <w:rPr>
                <w:rFonts w:hint="cs"/>
                <w:sz w:val="24"/>
                <w:szCs w:val="24"/>
              </w:rPr>
            </w:pPr>
            <w:r>
              <w:rPr>
                <w:rFonts w:hint="cs"/>
                <w:sz w:val="24"/>
                <w:szCs w:val="24"/>
                <w:rtl/>
              </w:rPr>
              <w:t>6.56</w:t>
            </w:r>
          </w:p>
        </w:tc>
        <w:tc>
          <w:tcPr>
            <w:tcW w:w="957" w:type="dxa"/>
            <w:tcBorders>
              <w:top w:val="nil"/>
              <w:bottom w:val="nil"/>
            </w:tcBorders>
          </w:tcPr>
          <w:p w:rsidR="00443EC1" w:rsidRDefault="00443EC1">
            <w:pPr>
              <w:tabs>
                <w:tab w:val="decimal" w:pos="338"/>
              </w:tabs>
              <w:spacing w:before="0" w:after="60" w:line="360" w:lineRule="exact"/>
              <w:jc w:val="both"/>
              <w:rPr>
                <w:rFonts w:hint="cs"/>
                <w:sz w:val="24"/>
                <w:szCs w:val="24"/>
              </w:rPr>
            </w:pPr>
            <w:r>
              <w:rPr>
                <w:rFonts w:hint="cs"/>
                <w:sz w:val="24"/>
                <w:szCs w:val="24"/>
                <w:rtl/>
              </w:rPr>
              <w:t>10.42</w:t>
            </w:r>
          </w:p>
        </w:tc>
        <w:tc>
          <w:tcPr>
            <w:tcW w:w="957" w:type="dxa"/>
            <w:tcBorders>
              <w:top w:val="nil"/>
              <w:bottom w:val="nil"/>
            </w:tcBorders>
          </w:tcPr>
          <w:p w:rsidR="00443EC1" w:rsidRDefault="00443EC1">
            <w:pPr>
              <w:tabs>
                <w:tab w:val="decimal" w:pos="306"/>
              </w:tabs>
              <w:spacing w:before="0" w:after="60" w:line="360" w:lineRule="exact"/>
              <w:jc w:val="both"/>
              <w:rPr>
                <w:rFonts w:hint="cs"/>
                <w:sz w:val="24"/>
                <w:szCs w:val="24"/>
              </w:rPr>
            </w:pPr>
            <w:r>
              <w:rPr>
                <w:rFonts w:hint="cs"/>
                <w:sz w:val="24"/>
                <w:szCs w:val="24"/>
                <w:rtl/>
              </w:rPr>
              <w:t>14.67</w:t>
            </w:r>
          </w:p>
        </w:tc>
        <w:tc>
          <w:tcPr>
            <w:tcW w:w="957" w:type="dxa"/>
            <w:tcBorders>
              <w:top w:val="nil"/>
              <w:bottom w:val="nil"/>
            </w:tcBorders>
          </w:tcPr>
          <w:p w:rsidR="00443EC1" w:rsidRDefault="00443EC1">
            <w:pPr>
              <w:tabs>
                <w:tab w:val="decimal" w:pos="285"/>
              </w:tabs>
              <w:spacing w:before="0" w:after="60" w:line="360" w:lineRule="exact"/>
              <w:jc w:val="both"/>
              <w:rPr>
                <w:rFonts w:hint="cs"/>
                <w:sz w:val="24"/>
                <w:szCs w:val="24"/>
              </w:rPr>
            </w:pPr>
            <w:r>
              <w:rPr>
                <w:rFonts w:hint="cs"/>
                <w:sz w:val="24"/>
                <w:szCs w:val="24"/>
                <w:rtl/>
              </w:rPr>
              <w:t>5.65</w:t>
            </w:r>
          </w:p>
        </w:tc>
        <w:tc>
          <w:tcPr>
            <w:tcW w:w="957" w:type="dxa"/>
            <w:tcBorders>
              <w:top w:val="nil"/>
              <w:bottom w:val="nil"/>
            </w:tcBorders>
          </w:tcPr>
          <w:p w:rsidR="00443EC1" w:rsidRDefault="00443EC1">
            <w:pPr>
              <w:tabs>
                <w:tab w:val="decimal" w:pos="294"/>
              </w:tabs>
              <w:spacing w:before="0" w:after="60" w:line="360" w:lineRule="exact"/>
              <w:jc w:val="both"/>
              <w:rPr>
                <w:rFonts w:hint="cs"/>
                <w:sz w:val="24"/>
                <w:szCs w:val="24"/>
              </w:rPr>
            </w:pPr>
            <w:r>
              <w:rPr>
                <w:rFonts w:hint="cs"/>
                <w:sz w:val="24"/>
                <w:szCs w:val="24"/>
                <w:rtl/>
              </w:rPr>
              <w:t>8.82</w:t>
            </w:r>
          </w:p>
        </w:tc>
        <w:tc>
          <w:tcPr>
            <w:tcW w:w="957" w:type="dxa"/>
            <w:tcBorders>
              <w:top w:val="nil"/>
              <w:bottom w:val="nil"/>
            </w:tcBorders>
          </w:tcPr>
          <w:p w:rsidR="00443EC1" w:rsidRDefault="00443EC1">
            <w:pPr>
              <w:tabs>
                <w:tab w:val="decimal" w:pos="315"/>
              </w:tabs>
              <w:spacing w:before="0" w:after="60" w:line="360" w:lineRule="exact"/>
              <w:jc w:val="both"/>
              <w:rPr>
                <w:rFonts w:hint="cs"/>
                <w:sz w:val="24"/>
                <w:szCs w:val="24"/>
              </w:rPr>
            </w:pPr>
            <w:r>
              <w:rPr>
                <w:rFonts w:hint="cs"/>
                <w:sz w:val="24"/>
                <w:szCs w:val="24"/>
                <w:rtl/>
              </w:rPr>
              <w:t>18.02</w:t>
            </w:r>
          </w:p>
        </w:tc>
        <w:tc>
          <w:tcPr>
            <w:tcW w:w="957" w:type="dxa"/>
            <w:tcBorders>
              <w:top w:val="nil"/>
              <w:bottom w:val="nil"/>
            </w:tcBorders>
          </w:tcPr>
          <w:p w:rsidR="00443EC1" w:rsidRDefault="00443EC1">
            <w:pPr>
              <w:tabs>
                <w:tab w:val="decimal" w:pos="258"/>
              </w:tabs>
              <w:spacing w:before="0" w:after="60" w:line="360" w:lineRule="exact"/>
              <w:jc w:val="both"/>
              <w:rPr>
                <w:rFonts w:hint="cs"/>
                <w:sz w:val="24"/>
                <w:szCs w:val="24"/>
              </w:rPr>
            </w:pPr>
            <w:r>
              <w:rPr>
                <w:rFonts w:hint="cs"/>
                <w:sz w:val="24"/>
                <w:szCs w:val="24"/>
                <w:rtl/>
              </w:rPr>
              <w:t>6.94</w:t>
            </w:r>
          </w:p>
        </w:tc>
        <w:tc>
          <w:tcPr>
            <w:tcW w:w="957" w:type="dxa"/>
            <w:tcBorders>
              <w:top w:val="nil"/>
              <w:bottom w:val="nil"/>
            </w:tcBorders>
          </w:tcPr>
          <w:p w:rsidR="00443EC1" w:rsidRDefault="00443EC1">
            <w:pPr>
              <w:tabs>
                <w:tab w:val="decimal" w:pos="265"/>
              </w:tabs>
              <w:spacing w:before="0" w:after="60" w:line="360" w:lineRule="exact"/>
              <w:jc w:val="both"/>
              <w:rPr>
                <w:rFonts w:hint="cs"/>
                <w:sz w:val="24"/>
                <w:szCs w:val="24"/>
              </w:rPr>
            </w:pPr>
            <w:r>
              <w:rPr>
                <w:rFonts w:hint="cs"/>
                <w:sz w:val="24"/>
                <w:szCs w:val="24"/>
                <w:rtl/>
              </w:rPr>
              <w:t>11.08</w:t>
            </w:r>
          </w:p>
        </w:tc>
      </w:tr>
      <w:tr w:rsidR="00443EC1" w:rsidTr="00443EC1">
        <w:tblPrEx>
          <w:tblCellMar>
            <w:top w:w="0" w:type="dxa"/>
            <w:bottom w:w="0" w:type="dxa"/>
          </w:tblCellMar>
        </w:tblPrEx>
        <w:trPr>
          <w:jc w:val="center"/>
        </w:trPr>
        <w:tc>
          <w:tcPr>
            <w:tcW w:w="957" w:type="dxa"/>
            <w:tcBorders>
              <w:top w:val="nil"/>
              <w:bottom w:val="nil"/>
            </w:tcBorders>
          </w:tcPr>
          <w:p w:rsidR="00443EC1" w:rsidRDefault="00443EC1">
            <w:pPr>
              <w:spacing w:before="0" w:after="60" w:line="360" w:lineRule="exact"/>
              <w:jc w:val="both"/>
              <w:rPr>
                <w:rFonts w:hint="cs"/>
                <w:sz w:val="24"/>
                <w:szCs w:val="24"/>
              </w:rPr>
            </w:pPr>
            <w:r>
              <w:rPr>
                <w:rFonts w:hint="cs"/>
                <w:sz w:val="24"/>
                <w:szCs w:val="24"/>
                <w:rtl/>
              </w:rPr>
              <w:t>1997</w:t>
            </w:r>
          </w:p>
        </w:tc>
        <w:tc>
          <w:tcPr>
            <w:tcW w:w="957" w:type="dxa"/>
            <w:tcBorders>
              <w:top w:val="nil"/>
              <w:bottom w:val="nil"/>
            </w:tcBorders>
          </w:tcPr>
          <w:p w:rsidR="00443EC1" w:rsidRDefault="00443EC1">
            <w:pPr>
              <w:tabs>
                <w:tab w:val="decimal" w:pos="297"/>
              </w:tabs>
              <w:spacing w:before="0" w:after="60" w:line="360" w:lineRule="exact"/>
              <w:jc w:val="both"/>
              <w:rPr>
                <w:rFonts w:hint="cs"/>
                <w:sz w:val="24"/>
                <w:szCs w:val="24"/>
              </w:rPr>
            </w:pPr>
            <w:r>
              <w:rPr>
                <w:rFonts w:hint="cs"/>
                <w:sz w:val="24"/>
                <w:szCs w:val="24"/>
                <w:rtl/>
              </w:rPr>
              <w:t>16.57</w:t>
            </w:r>
          </w:p>
        </w:tc>
        <w:tc>
          <w:tcPr>
            <w:tcW w:w="957" w:type="dxa"/>
            <w:tcBorders>
              <w:top w:val="nil"/>
              <w:bottom w:val="nil"/>
            </w:tcBorders>
          </w:tcPr>
          <w:p w:rsidR="00443EC1" w:rsidRDefault="00443EC1">
            <w:pPr>
              <w:tabs>
                <w:tab w:val="decimal" w:pos="343"/>
              </w:tabs>
              <w:spacing w:before="0" w:after="60" w:line="360" w:lineRule="exact"/>
              <w:jc w:val="both"/>
              <w:rPr>
                <w:rFonts w:hint="cs"/>
                <w:sz w:val="24"/>
                <w:szCs w:val="24"/>
              </w:rPr>
            </w:pPr>
            <w:r>
              <w:rPr>
                <w:rFonts w:hint="cs"/>
                <w:sz w:val="24"/>
                <w:szCs w:val="24"/>
                <w:rtl/>
              </w:rPr>
              <w:t>6.51</w:t>
            </w:r>
          </w:p>
        </w:tc>
        <w:tc>
          <w:tcPr>
            <w:tcW w:w="957" w:type="dxa"/>
            <w:tcBorders>
              <w:top w:val="nil"/>
              <w:bottom w:val="nil"/>
            </w:tcBorders>
          </w:tcPr>
          <w:p w:rsidR="00443EC1" w:rsidRDefault="00443EC1">
            <w:pPr>
              <w:tabs>
                <w:tab w:val="decimal" w:pos="338"/>
              </w:tabs>
              <w:spacing w:before="0" w:after="60" w:line="360" w:lineRule="exact"/>
              <w:jc w:val="both"/>
              <w:rPr>
                <w:rFonts w:hint="cs"/>
                <w:sz w:val="24"/>
                <w:szCs w:val="24"/>
              </w:rPr>
            </w:pPr>
            <w:r>
              <w:rPr>
                <w:rFonts w:hint="cs"/>
                <w:sz w:val="24"/>
                <w:szCs w:val="24"/>
                <w:rtl/>
              </w:rPr>
              <w:t>10.06</w:t>
            </w:r>
          </w:p>
        </w:tc>
        <w:tc>
          <w:tcPr>
            <w:tcW w:w="957" w:type="dxa"/>
            <w:tcBorders>
              <w:top w:val="nil"/>
              <w:bottom w:val="nil"/>
            </w:tcBorders>
          </w:tcPr>
          <w:p w:rsidR="00443EC1" w:rsidRDefault="00443EC1">
            <w:pPr>
              <w:tabs>
                <w:tab w:val="decimal" w:pos="306"/>
              </w:tabs>
              <w:spacing w:before="0" w:after="60" w:line="360" w:lineRule="exact"/>
              <w:jc w:val="both"/>
              <w:rPr>
                <w:rFonts w:hint="cs"/>
                <w:sz w:val="24"/>
                <w:szCs w:val="24"/>
              </w:rPr>
            </w:pPr>
            <w:r>
              <w:rPr>
                <w:rFonts w:hint="cs"/>
                <w:sz w:val="24"/>
                <w:szCs w:val="24"/>
                <w:rtl/>
              </w:rPr>
              <w:t>14.52</w:t>
            </w:r>
          </w:p>
        </w:tc>
        <w:tc>
          <w:tcPr>
            <w:tcW w:w="957" w:type="dxa"/>
            <w:tcBorders>
              <w:top w:val="nil"/>
              <w:bottom w:val="nil"/>
            </w:tcBorders>
          </w:tcPr>
          <w:p w:rsidR="00443EC1" w:rsidRDefault="00443EC1">
            <w:pPr>
              <w:tabs>
                <w:tab w:val="decimal" w:pos="285"/>
              </w:tabs>
              <w:spacing w:before="0" w:after="60" w:line="360" w:lineRule="exact"/>
              <w:jc w:val="both"/>
              <w:rPr>
                <w:rFonts w:hint="cs"/>
                <w:sz w:val="24"/>
                <w:szCs w:val="24"/>
              </w:rPr>
            </w:pPr>
            <w:r>
              <w:rPr>
                <w:rFonts w:hint="cs"/>
                <w:sz w:val="24"/>
                <w:szCs w:val="24"/>
                <w:rtl/>
              </w:rPr>
              <w:t>5.58</w:t>
            </w:r>
          </w:p>
        </w:tc>
        <w:tc>
          <w:tcPr>
            <w:tcW w:w="957" w:type="dxa"/>
            <w:tcBorders>
              <w:top w:val="nil"/>
              <w:bottom w:val="nil"/>
            </w:tcBorders>
          </w:tcPr>
          <w:p w:rsidR="00443EC1" w:rsidRDefault="00443EC1">
            <w:pPr>
              <w:tabs>
                <w:tab w:val="decimal" w:pos="294"/>
              </w:tabs>
              <w:spacing w:before="0" w:after="60" w:line="360" w:lineRule="exact"/>
              <w:jc w:val="both"/>
              <w:rPr>
                <w:rFonts w:hint="cs"/>
                <w:sz w:val="24"/>
                <w:szCs w:val="24"/>
              </w:rPr>
            </w:pPr>
            <w:r>
              <w:rPr>
                <w:rFonts w:hint="cs"/>
                <w:sz w:val="24"/>
                <w:szCs w:val="24"/>
                <w:rtl/>
              </w:rPr>
              <w:t>8.94</w:t>
            </w:r>
          </w:p>
        </w:tc>
        <w:tc>
          <w:tcPr>
            <w:tcW w:w="957" w:type="dxa"/>
            <w:tcBorders>
              <w:top w:val="nil"/>
              <w:bottom w:val="nil"/>
            </w:tcBorders>
          </w:tcPr>
          <w:p w:rsidR="00443EC1" w:rsidRDefault="00443EC1">
            <w:pPr>
              <w:tabs>
                <w:tab w:val="decimal" w:pos="315"/>
              </w:tabs>
              <w:spacing w:before="0" w:after="60" w:line="360" w:lineRule="exact"/>
              <w:jc w:val="both"/>
              <w:rPr>
                <w:rFonts w:hint="cs"/>
                <w:sz w:val="24"/>
                <w:szCs w:val="24"/>
              </w:rPr>
            </w:pPr>
            <w:r>
              <w:rPr>
                <w:rFonts w:hint="cs"/>
                <w:sz w:val="24"/>
                <w:szCs w:val="24"/>
                <w:rtl/>
              </w:rPr>
              <w:t>17.43</w:t>
            </w:r>
          </w:p>
        </w:tc>
        <w:tc>
          <w:tcPr>
            <w:tcW w:w="957" w:type="dxa"/>
            <w:tcBorders>
              <w:top w:val="nil"/>
              <w:bottom w:val="nil"/>
            </w:tcBorders>
          </w:tcPr>
          <w:p w:rsidR="00443EC1" w:rsidRDefault="00443EC1">
            <w:pPr>
              <w:tabs>
                <w:tab w:val="decimal" w:pos="258"/>
              </w:tabs>
              <w:spacing w:before="0" w:after="60" w:line="360" w:lineRule="exact"/>
              <w:jc w:val="both"/>
              <w:rPr>
                <w:rFonts w:hint="cs"/>
                <w:sz w:val="24"/>
                <w:szCs w:val="24"/>
              </w:rPr>
            </w:pPr>
            <w:r>
              <w:rPr>
                <w:rFonts w:hint="cs"/>
                <w:sz w:val="24"/>
                <w:szCs w:val="24"/>
                <w:rtl/>
              </w:rPr>
              <w:t>6.90</w:t>
            </w:r>
          </w:p>
        </w:tc>
        <w:tc>
          <w:tcPr>
            <w:tcW w:w="957" w:type="dxa"/>
            <w:tcBorders>
              <w:top w:val="nil"/>
              <w:bottom w:val="nil"/>
            </w:tcBorders>
          </w:tcPr>
          <w:p w:rsidR="00443EC1" w:rsidRDefault="00443EC1">
            <w:pPr>
              <w:tabs>
                <w:tab w:val="decimal" w:pos="265"/>
              </w:tabs>
              <w:spacing w:before="0" w:after="60" w:line="360" w:lineRule="exact"/>
              <w:jc w:val="both"/>
              <w:rPr>
                <w:rFonts w:hint="cs"/>
                <w:sz w:val="24"/>
                <w:szCs w:val="24"/>
              </w:rPr>
            </w:pPr>
            <w:r>
              <w:rPr>
                <w:rFonts w:hint="cs"/>
                <w:sz w:val="24"/>
                <w:szCs w:val="24"/>
                <w:rtl/>
              </w:rPr>
              <w:t>10.53</w:t>
            </w:r>
          </w:p>
        </w:tc>
      </w:tr>
      <w:tr w:rsidR="00443EC1" w:rsidTr="00443EC1">
        <w:tblPrEx>
          <w:tblCellMar>
            <w:top w:w="0" w:type="dxa"/>
            <w:bottom w:w="0" w:type="dxa"/>
          </w:tblCellMar>
        </w:tblPrEx>
        <w:trPr>
          <w:jc w:val="center"/>
        </w:trPr>
        <w:tc>
          <w:tcPr>
            <w:tcW w:w="957" w:type="dxa"/>
            <w:tcBorders>
              <w:top w:val="nil"/>
              <w:bottom w:val="nil"/>
            </w:tcBorders>
          </w:tcPr>
          <w:p w:rsidR="00443EC1" w:rsidRDefault="00443EC1">
            <w:pPr>
              <w:spacing w:before="0" w:after="60" w:line="360" w:lineRule="exact"/>
              <w:jc w:val="both"/>
              <w:rPr>
                <w:rFonts w:hint="cs"/>
                <w:sz w:val="24"/>
                <w:szCs w:val="24"/>
              </w:rPr>
            </w:pPr>
            <w:r>
              <w:rPr>
                <w:rFonts w:hint="cs"/>
                <w:sz w:val="24"/>
                <w:szCs w:val="24"/>
                <w:rtl/>
              </w:rPr>
              <w:t>1998</w:t>
            </w:r>
          </w:p>
        </w:tc>
        <w:tc>
          <w:tcPr>
            <w:tcW w:w="957" w:type="dxa"/>
            <w:tcBorders>
              <w:top w:val="nil"/>
              <w:bottom w:val="nil"/>
            </w:tcBorders>
          </w:tcPr>
          <w:p w:rsidR="00443EC1" w:rsidRDefault="00443EC1">
            <w:pPr>
              <w:tabs>
                <w:tab w:val="decimal" w:pos="297"/>
              </w:tabs>
              <w:spacing w:before="0" w:after="60" w:line="360" w:lineRule="exact"/>
              <w:jc w:val="both"/>
              <w:rPr>
                <w:rFonts w:hint="cs"/>
                <w:sz w:val="24"/>
                <w:szCs w:val="24"/>
              </w:rPr>
            </w:pPr>
            <w:r>
              <w:rPr>
                <w:rFonts w:hint="cs"/>
                <w:sz w:val="24"/>
                <w:szCs w:val="24"/>
                <w:rtl/>
              </w:rPr>
              <w:t>16.03</w:t>
            </w:r>
          </w:p>
        </w:tc>
        <w:tc>
          <w:tcPr>
            <w:tcW w:w="957" w:type="dxa"/>
            <w:tcBorders>
              <w:top w:val="nil"/>
              <w:bottom w:val="nil"/>
            </w:tcBorders>
          </w:tcPr>
          <w:p w:rsidR="00443EC1" w:rsidRDefault="00443EC1">
            <w:pPr>
              <w:tabs>
                <w:tab w:val="decimal" w:pos="343"/>
              </w:tabs>
              <w:spacing w:before="0" w:after="60" w:line="360" w:lineRule="exact"/>
              <w:jc w:val="both"/>
              <w:rPr>
                <w:rFonts w:hint="cs"/>
                <w:sz w:val="24"/>
                <w:szCs w:val="24"/>
              </w:rPr>
            </w:pPr>
            <w:r>
              <w:rPr>
                <w:rFonts w:hint="cs"/>
                <w:sz w:val="24"/>
                <w:szCs w:val="24"/>
                <w:rtl/>
              </w:rPr>
              <w:t>6.50</w:t>
            </w:r>
          </w:p>
        </w:tc>
        <w:tc>
          <w:tcPr>
            <w:tcW w:w="957" w:type="dxa"/>
            <w:tcBorders>
              <w:top w:val="nil"/>
              <w:bottom w:val="nil"/>
            </w:tcBorders>
          </w:tcPr>
          <w:p w:rsidR="00443EC1" w:rsidRDefault="00443EC1">
            <w:pPr>
              <w:tabs>
                <w:tab w:val="decimal" w:pos="338"/>
              </w:tabs>
              <w:spacing w:before="0" w:after="60" w:line="360" w:lineRule="exact"/>
              <w:jc w:val="both"/>
              <w:rPr>
                <w:rFonts w:hint="cs"/>
                <w:sz w:val="24"/>
                <w:szCs w:val="24"/>
              </w:rPr>
            </w:pPr>
            <w:r>
              <w:rPr>
                <w:rFonts w:hint="cs"/>
                <w:sz w:val="24"/>
                <w:szCs w:val="24"/>
                <w:rtl/>
              </w:rPr>
              <w:t>9.53</w:t>
            </w:r>
          </w:p>
        </w:tc>
        <w:tc>
          <w:tcPr>
            <w:tcW w:w="957" w:type="dxa"/>
            <w:tcBorders>
              <w:top w:val="nil"/>
              <w:bottom w:val="nil"/>
            </w:tcBorders>
          </w:tcPr>
          <w:p w:rsidR="00443EC1" w:rsidRDefault="00443EC1">
            <w:pPr>
              <w:tabs>
                <w:tab w:val="decimal" w:pos="306"/>
              </w:tabs>
              <w:spacing w:before="0" w:after="60" w:line="360" w:lineRule="exact"/>
              <w:jc w:val="both"/>
              <w:rPr>
                <w:rFonts w:hint="cs"/>
                <w:sz w:val="24"/>
                <w:szCs w:val="24"/>
              </w:rPr>
            </w:pPr>
            <w:r>
              <w:rPr>
                <w:rFonts w:hint="cs"/>
                <w:sz w:val="24"/>
                <w:szCs w:val="24"/>
                <w:rtl/>
              </w:rPr>
              <w:t>13.67</w:t>
            </w:r>
          </w:p>
        </w:tc>
        <w:tc>
          <w:tcPr>
            <w:tcW w:w="957" w:type="dxa"/>
            <w:tcBorders>
              <w:top w:val="nil"/>
              <w:bottom w:val="nil"/>
            </w:tcBorders>
          </w:tcPr>
          <w:p w:rsidR="00443EC1" w:rsidRDefault="00443EC1">
            <w:pPr>
              <w:tabs>
                <w:tab w:val="decimal" w:pos="285"/>
              </w:tabs>
              <w:spacing w:before="0" w:after="60" w:line="360" w:lineRule="exact"/>
              <w:jc w:val="both"/>
              <w:rPr>
                <w:rFonts w:hint="cs"/>
                <w:sz w:val="24"/>
                <w:szCs w:val="24"/>
              </w:rPr>
            </w:pPr>
            <w:r>
              <w:rPr>
                <w:rFonts w:hint="cs"/>
                <w:sz w:val="24"/>
                <w:szCs w:val="24"/>
                <w:rtl/>
              </w:rPr>
              <w:t>5.31</w:t>
            </w:r>
          </w:p>
        </w:tc>
        <w:tc>
          <w:tcPr>
            <w:tcW w:w="957" w:type="dxa"/>
            <w:tcBorders>
              <w:top w:val="nil"/>
              <w:bottom w:val="nil"/>
            </w:tcBorders>
          </w:tcPr>
          <w:p w:rsidR="00443EC1" w:rsidRDefault="00443EC1">
            <w:pPr>
              <w:tabs>
                <w:tab w:val="decimal" w:pos="294"/>
              </w:tabs>
              <w:spacing w:before="0" w:after="60" w:line="360" w:lineRule="exact"/>
              <w:jc w:val="both"/>
              <w:rPr>
                <w:rFonts w:hint="cs"/>
                <w:sz w:val="24"/>
                <w:szCs w:val="24"/>
              </w:rPr>
            </w:pPr>
            <w:r>
              <w:rPr>
                <w:rFonts w:hint="cs"/>
                <w:sz w:val="24"/>
                <w:szCs w:val="24"/>
                <w:rtl/>
              </w:rPr>
              <w:t>8.36</w:t>
            </w:r>
          </w:p>
        </w:tc>
        <w:tc>
          <w:tcPr>
            <w:tcW w:w="957" w:type="dxa"/>
            <w:tcBorders>
              <w:top w:val="nil"/>
              <w:bottom w:val="nil"/>
            </w:tcBorders>
          </w:tcPr>
          <w:p w:rsidR="00443EC1" w:rsidRDefault="00443EC1">
            <w:pPr>
              <w:tabs>
                <w:tab w:val="decimal" w:pos="315"/>
              </w:tabs>
              <w:spacing w:before="0" w:after="60" w:line="360" w:lineRule="exact"/>
              <w:jc w:val="both"/>
              <w:rPr>
                <w:rFonts w:hint="cs"/>
                <w:sz w:val="24"/>
                <w:szCs w:val="24"/>
              </w:rPr>
            </w:pPr>
            <w:r>
              <w:rPr>
                <w:rFonts w:hint="cs"/>
                <w:sz w:val="24"/>
                <w:szCs w:val="24"/>
                <w:rtl/>
              </w:rPr>
              <w:t>17.05</w:t>
            </w:r>
          </w:p>
        </w:tc>
        <w:tc>
          <w:tcPr>
            <w:tcW w:w="957" w:type="dxa"/>
            <w:tcBorders>
              <w:top w:val="nil"/>
              <w:bottom w:val="nil"/>
            </w:tcBorders>
          </w:tcPr>
          <w:p w:rsidR="00443EC1" w:rsidRDefault="00443EC1">
            <w:pPr>
              <w:tabs>
                <w:tab w:val="decimal" w:pos="258"/>
              </w:tabs>
              <w:spacing w:before="0" w:after="60" w:line="360" w:lineRule="exact"/>
              <w:jc w:val="both"/>
              <w:rPr>
                <w:rFonts w:hint="cs"/>
                <w:sz w:val="24"/>
                <w:szCs w:val="24"/>
              </w:rPr>
            </w:pPr>
            <w:r>
              <w:rPr>
                <w:rFonts w:hint="cs"/>
                <w:sz w:val="24"/>
                <w:szCs w:val="24"/>
                <w:rtl/>
              </w:rPr>
              <w:t>7.01</w:t>
            </w:r>
          </w:p>
        </w:tc>
        <w:tc>
          <w:tcPr>
            <w:tcW w:w="957" w:type="dxa"/>
            <w:tcBorders>
              <w:top w:val="nil"/>
              <w:bottom w:val="nil"/>
            </w:tcBorders>
          </w:tcPr>
          <w:p w:rsidR="00443EC1" w:rsidRDefault="00443EC1">
            <w:pPr>
              <w:tabs>
                <w:tab w:val="decimal" w:pos="265"/>
              </w:tabs>
              <w:spacing w:before="0" w:after="60" w:line="360" w:lineRule="exact"/>
              <w:jc w:val="both"/>
              <w:rPr>
                <w:rFonts w:hint="cs"/>
                <w:sz w:val="24"/>
                <w:szCs w:val="24"/>
              </w:rPr>
            </w:pPr>
            <w:r>
              <w:rPr>
                <w:rFonts w:hint="cs"/>
                <w:sz w:val="24"/>
                <w:szCs w:val="24"/>
                <w:rtl/>
              </w:rPr>
              <w:t>10.04</w:t>
            </w:r>
          </w:p>
        </w:tc>
      </w:tr>
      <w:tr w:rsidR="00443EC1" w:rsidTr="00443EC1">
        <w:tblPrEx>
          <w:tblCellMar>
            <w:top w:w="0" w:type="dxa"/>
            <w:bottom w:w="0" w:type="dxa"/>
          </w:tblCellMar>
        </w:tblPrEx>
        <w:trPr>
          <w:jc w:val="center"/>
        </w:trPr>
        <w:tc>
          <w:tcPr>
            <w:tcW w:w="957" w:type="dxa"/>
            <w:tcBorders>
              <w:top w:val="nil"/>
              <w:bottom w:val="nil"/>
            </w:tcBorders>
          </w:tcPr>
          <w:p w:rsidR="00443EC1" w:rsidRDefault="00443EC1">
            <w:pPr>
              <w:spacing w:before="0" w:after="60" w:line="360" w:lineRule="exact"/>
              <w:jc w:val="both"/>
              <w:rPr>
                <w:rFonts w:hint="cs"/>
                <w:sz w:val="24"/>
                <w:szCs w:val="24"/>
                <w:rtl/>
              </w:rPr>
            </w:pPr>
            <w:r>
              <w:rPr>
                <w:rFonts w:hint="cs"/>
                <w:sz w:val="24"/>
                <w:szCs w:val="24"/>
                <w:rtl/>
              </w:rPr>
              <w:t>1999</w:t>
            </w:r>
          </w:p>
        </w:tc>
        <w:tc>
          <w:tcPr>
            <w:tcW w:w="957" w:type="dxa"/>
            <w:tcBorders>
              <w:top w:val="nil"/>
              <w:bottom w:val="nil"/>
            </w:tcBorders>
          </w:tcPr>
          <w:p w:rsidR="00443EC1" w:rsidRDefault="00443EC1">
            <w:pPr>
              <w:tabs>
                <w:tab w:val="decimal" w:pos="297"/>
              </w:tabs>
              <w:spacing w:before="0" w:after="60" w:line="360" w:lineRule="exact"/>
              <w:jc w:val="both"/>
              <w:rPr>
                <w:rFonts w:hint="cs"/>
                <w:sz w:val="24"/>
                <w:szCs w:val="24"/>
              </w:rPr>
            </w:pPr>
            <w:r>
              <w:rPr>
                <w:rFonts w:hint="cs"/>
                <w:sz w:val="24"/>
                <w:szCs w:val="24"/>
                <w:rtl/>
              </w:rPr>
              <w:t>15.23</w:t>
            </w:r>
          </w:p>
        </w:tc>
        <w:tc>
          <w:tcPr>
            <w:tcW w:w="957" w:type="dxa"/>
            <w:tcBorders>
              <w:top w:val="nil"/>
              <w:bottom w:val="nil"/>
            </w:tcBorders>
          </w:tcPr>
          <w:p w:rsidR="00443EC1" w:rsidRDefault="00443EC1">
            <w:pPr>
              <w:tabs>
                <w:tab w:val="decimal" w:pos="343"/>
              </w:tabs>
              <w:spacing w:before="0" w:after="60" w:line="360" w:lineRule="exact"/>
              <w:jc w:val="both"/>
              <w:rPr>
                <w:rFonts w:hint="cs"/>
                <w:sz w:val="24"/>
                <w:szCs w:val="24"/>
              </w:rPr>
            </w:pPr>
            <w:r>
              <w:rPr>
                <w:rFonts w:hint="cs"/>
                <w:sz w:val="24"/>
                <w:szCs w:val="24"/>
                <w:rtl/>
              </w:rPr>
              <w:t>6.46</w:t>
            </w:r>
          </w:p>
        </w:tc>
        <w:tc>
          <w:tcPr>
            <w:tcW w:w="957" w:type="dxa"/>
            <w:tcBorders>
              <w:top w:val="nil"/>
              <w:bottom w:val="nil"/>
            </w:tcBorders>
          </w:tcPr>
          <w:p w:rsidR="00443EC1" w:rsidRDefault="00443EC1">
            <w:pPr>
              <w:tabs>
                <w:tab w:val="decimal" w:pos="338"/>
              </w:tabs>
              <w:spacing w:before="0" w:after="60" w:line="360" w:lineRule="exact"/>
              <w:jc w:val="both"/>
              <w:rPr>
                <w:rFonts w:hint="cs"/>
                <w:sz w:val="24"/>
                <w:szCs w:val="24"/>
              </w:rPr>
            </w:pPr>
            <w:r>
              <w:rPr>
                <w:rFonts w:hint="cs"/>
                <w:sz w:val="24"/>
                <w:szCs w:val="24"/>
                <w:rtl/>
              </w:rPr>
              <w:t>8.77</w:t>
            </w:r>
          </w:p>
        </w:tc>
        <w:tc>
          <w:tcPr>
            <w:tcW w:w="957" w:type="dxa"/>
            <w:tcBorders>
              <w:top w:val="nil"/>
              <w:bottom w:val="nil"/>
            </w:tcBorders>
          </w:tcPr>
          <w:p w:rsidR="00443EC1" w:rsidRDefault="00443EC1">
            <w:pPr>
              <w:tabs>
                <w:tab w:val="decimal" w:pos="306"/>
              </w:tabs>
              <w:spacing w:before="0" w:after="60" w:line="360" w:lineRule="exact"/>
              <w:jc w:val="both"/>
              <w:rPr>
                <w:rFonts w:hint="cs"/>
                <w:sz w:val="24"/>
                <w:szCs w:val="24"/>
              </w:rPr>
            </w:pPr>
            <w:r>
              <w:rPr>
                <w:rFonts w:hint="cs"/>
                <w:sz w:val="24"/>
                <w:szCs w:val="24"/>
                <w:rtl/>
              </w:rPr>
              <w:t>13.18</w:t>
            </w:r>
          </w:p>
        </w:tc>
        <w:tc>
          <w:tcPr>
            <w:tcW w:w="957" w:type="dxa"/>
            <w:tcBorders>
              <w:top w:val="nil"/>
              <w:bottom w:val="nil"/>
            </w:tcBorders>
          </w:tcPr>
          <w:p w:rsidR="00443EC1" w:rsidRDefault="00443EC1">
            <w:pPr>
              <w:tabs>
                <w:tab w:val="decimal" w:pos="285"/>
              </w:tabs>
              <w:spacing w:before="0" w:after="60" w:line="360" w:lineRule="exact"/>
              <w:jc w:val="both"/>
              <w:rPr>
                <w:rFonts w:hint="cs"/>
                <w:sz w:val="24"/>
                <w:szCs w:val="24"/>
              </w:rPr>
            </w:pPr>
            <w:r>
              <w:rPr>
                <w:rFonts w:hint="cs"/>
                <w:sz w:val="24"/>
                <w:szCs w:val="24"/>
                <w:rtl/>
              </w:rPr>
              <w:t>5.51</w:t>
            </w:r>
          </w:p>
        </w:tc>
        <w:tc>
          <w:tcPr>
            <w:tcW w:w="957" w:type="dxa"/>
            <w:tcBorders>
              <w:top w:val="nil"/>
              <w:bottom w:val="nil"/>
            </w:tcBorders>
          </w:tcPr>
          <w:p w:rsidR="00443EC1" w:rsidRDefault="00443EC1">
            <w:pPr>
              <w:tabs>
                <w:tab w:val="decimal" w:pos="294"/>
              </w:tabs>
              <w:spacing w:before="0" w:after="60" w:line="360" w:lineRule="exact"/>
              <w:jc w:val="both"/>
              <w:rPr>
                <w:rFonts w:hint="cs"/>
                <w:sz w:val="24"/>
                <w:szCs w:val="24"/>
              </w:rPr>
            </w:pPr>
            <w:r>
              <w:rPr>
                <w:rFonts w:hint="cs"/>
                <w:sz w:val="24"/>
                <w:szCs w:val="24"/>
                <w:rtl/>
              </w:rPr>
              <w:t>7.67</w:t>
            </w:r>
          </w:p>
        </w:tc>
        <w:tc>
          <w:tcPr>
            <w:tcW w:w="957" w:type="dxa"/>
            <w:tcBorders>
              <w:top w:val="nil"/>
              <w:bottom w:val="nil"/>
            </w:tcBorders>
          </w:tcPr>
          <w:p w:rsidR="00443EC1" w:rsidRDefault="00443EC1">
            <w:pPr>
              <w:tabs>
                <w:tab w:val="decimal" w:pos="315"/>
              </w:tabs>
              <w:spacing w:before="0" w:after="60" w:line="360" w:lineRule="exact"/>
              <w:jc w:val="both"/>
              <w:rPr>
                <w:rFonts w:hint="cs"/>
                <w:sz w:val="24"/>
                <w:szCs w:val="24"/>
              </w:rPr>
            </w:pPr>
            <w:r>
              <w:rPr>
                <w:rFonts w:hint="cs"/>
                <w:sz w:val="24"/>
                <w:szCs w:val="24"/>
                <w:rtl/>
              </w:rPr>
              <w:t>16.13</w:t>
            </w:r>
          </w:p>
        </w:tc>
        <w:tc>
          <w:tcPr>
            <w:tcW w:w="957" w:type="dxa"/>
            <w:tcBorders>
              <w:top w:val="nil"/>
              <w:bottom w:val="nil"/>
            </w:tcBorders>
          </w:tcPr>
          <w:p w:rsidR="00443EC1" w:rsidRDefault="00443EC1">
            <w:pPr>
              <w:tabs>
                <w:tab w:val="decimal" w:pos="258"/>
              </w:tabs>
              <w:spacing w:before="0" w:after="60" w:line="360" w:lineRule="exact"/>
              <w:jc w:val="both"/>
              <w:rPr>
                <w:rFonts w:hint="cs"/>
                <w:sz w:val="24"/>
                <w:szCs w:val="24"/>
              </w:rPr>
            </w:pPr>
            <w:r>
              <w:rPr>
                <w:rFonts w:hint="cs"/>
                <w:sz w:val="24"/>
                <w:szCs w:val="24"/>
                <w:rtl/>
              </w:rPr>
              <w:t>6.88</w:t>
            </w:r>
          </w:p>
        </w:tc>
        <w:tc>
          <w:tcPr>
            <w:tcW w:w="957" w:type="dxa"/>
            <w:tcBorders>
              <w:top w:val="nil"/>
              <w:bottom w:val="nil"/>
            </w:tcBorders>
          </w:tcPr>
          <w:p w:rsidR="00443EC1" w:rsidRDefault="00443EC1">
            <w:pPr>
              <w:tabs>
                <w:tab w:val="decimal" w:pos="265"/>
              </w:tabs>
              <w:spacing w:before="0" w:after="60" w:line="360" w:lineRule="exact"/>
              <w:jc w:val="both"/>
              <w:rPr>
                <w:rFonts w:hint="cs"/>
                <w:sz w:val="24"/>
                <w:szCs w:val="24"/>
              </w:rPr>
            </w:pPr>
            <w:r>
              <w:rPr>
                <w:rFonts w:hint="cs"/>
                <w:sz w:val="24"/>
                <w:szCs w:val="24"/>
                <w:rtl/>
              </w:rPr>
              <w:t>9.25</w:t>
            </w:r>
          </w:p>
        </w:tc>
      </w:tr>
      <w:tr w:rsidR="00443EC1" w:rsidTr="00443EC1">
        <w:tblPrEx>
          <w:tblCellMar>
            <w:top w:w="0" w:type="dxa"/>
            <w:bottom w:w="0" w:type="dxa"/>
          </w:tblCellMar>
        </w:tblPrEx>
        <w:trPr>
          <w:jc w:val="center"/>
        </w:trPr>
        <w:tc>
          <w:tcPr>
            <w:tcW w:w="957" w:type="dxa"/>
            <w:tcBorders>
              <w:top w:val="nil"/>
            </w:tcBorders>
          </w:tcPr>
          <w:p w:rsidR="00443EC1" w:rsidRDefault="00443EC1">
            <w:pPr>
              <w:spacing w:before="0" w:after="60" w:line="360" w:lineRule="exact"/>
              <w:jc w:val="both"/>
              <w:rPr>
                <w:rFonts w:hint="cs"/>
                <w:sz w:val="24"/>
                <w:szCs w:val="24"/>
                <w:rtl/>
              </w:rPr>
            </w:pPr>
            <w:r>
              <w:rPr>
                <w:rFonts w:hint="cs"/>
                <w:sz w:val="24"/>
                <w:szCs w:val="24"/>
                <w:rtl/>
              </w:rPr>
              <w:t>2001</w:t>
            </w:r>
          </w:p>
        </w:tc>
        <w:tc>
          <w:tcPr>
            <w:tcW w:w="957" w:type="dxa"/>
            <w:tcBorders>
              <w:top w:val="nil"/>
            </w:tcBorders>
          </w:tcPr>
          <w:p w:rsidR="00443EC1" w:rsidRDefault="00443EC1">
            <w:pPr>
              <w:tabs>
                <w:tab w:val="decimal" w:pos="297"/>
              </w:tabs>
              <w:spacing w:before="0" w:after="60" w:line="360" w:lineRule="exact"/>
              <w:jc w:val="both"/>
              <w:rPr>
                <w:rFonts w:hint="cs"/>
                <w:sz w:val="24"/>
                <w:szCs w:val="24"/>
              </w:rPr>
            </w:pPr>
            <w:r>
              <w:rPr>
                <w:rFonts w:hint="cs"/>
                <w:sz w:val="24"/>
                <w:szCs w:val="24"/>
                <w:rtl/>
              </w:rPr>
              <w:t>13.38</w:t>
            </w:r>
          </w:p>
        </w:tc>
        <w:tc>
          <w:tcPr>
            <w:tcW w:w="957" w:type="dxa"/>
            <w:tcBorders>
              <w:top w:val="nil"/>
            </w:tcBorders>
          </w:tcPr>
          <w:p w:rsidR="00443EC1" w:rsidRDefault="00443EC1">
            <w:pPr>
              <w:tabs>
                <w:tab w:val="decimal" w:pos="343"/>
              </w:tabs>
              <w:spacing w:before="0" w:after="60" w:line="360" w:lineRule="exact"/>
              <w:jc w:val="both"/>
              <w:rPr>
                <w:rFonts w:hint="cs"/>
                <w:sz w:val="24"/>
                <w:szCs w:val="24"/>
              </w:rPr>
            </w:pPr>
            <w:r>
              <w:rPr>
                <w:rFonts w:hint="cs"/>
                <w:sz w:val="24"/>
                <w:szCs w:val="24"/>
                <w:rtl/>
              </w:rPr>
              <w:t>6.43</w:t>
            </w:r>
          </w:p>
        </w:tc>
        <w:tc>
          <w:tcPr>
            <w:tcW w:w="957" w:type="dxa"/>
            <w:tcBorders>
              <w:top w:val="nil"/>
            </w:tcBorders>
          </w:tcPr>
          <w:p w:rsidR="00443EC1" w:rsidRDefault="00443EC1">
            <w:pPr>
              <w:tabs>
                <w:tab w:val="decimal" w:pos="338"/>
              </w:tabs>
              <w:spacing w:before="0" w:after="60" w:line="360" w:lineRule="exact"/>
              <w:jc w:val="both"/>
              <w:rPr>
                <w:rFonts w:hint="cs"/>
                <w:sz w:val="24"/>
                <w:szCs w:val="24"/>
              </w:rPr>
            </w:pPr>
            <w:r>
              <w:rPr>
                <w:rFonts w:hint="cs"/>
                <w:sz w:val="24"/>
                <w:szCs w:val="24"/>
                <w:rtl/>
              </w:rPr>
              <w:t>6.95</w:t>
            </w:r>
          </w:p>
        </w:tc>
        <w:tc>
          <w:tcPr>
            <w:tcW w:w="957" w:type="dxa"/>
            <w:tcBorders>
              <w:top w:val="nil"/>
            </w:tcBorders>
          </w:tcPr>
          <w:p w:rsidR="00443EC1" w:rsidRDefault="00443EC1">
            <w:pPr>
              <w:tabs>
                <w:tab w:val="decimal" w:pos="306"/>
              </w:tabs>
              <w:spacing w:before="0" w:after="60" w:line="360" w:lineRule="exact"/>
              <w:jc w:val="both"/>
              <w:rPr>
                <w:rFonts w:hint="cs"/>
                <w:sz w:val="24"/>
                <w:szCs w:val="24"/>
              </w:rPr>
            </w:pPr>
            <w:r>
              <w:rPr>
                <w:rFonts w:hint="cs"/>
                <w:sz w:val="24"/>
                <w:szCs w:val="24"/>
                <w:rtl/>
              </w:rPr>
              <w:t>...</w:t>
            </w:r>
          </w:p>
        </w:tc>
        <w:tc>
          <w:tcPr>
            <w:tcW w:w="957" w:type="dxa"/>
            <w:tcBorders>
              <w:top w:val="nil"/>
            </w:tcBorders>
          </w:tcPr>
          <w:p w:rsidR="00443EC1" w:rsidRDefault="00443EC1">
            <w:pPr>
              <w:tabs>
                <w:tab w:val="decimal" w:pos="285"/>
              </w:tabs>
              <w:spacing w:before="0" w:after="60" w:line="360" w:lineRule="exact"/>
              <w:jc w:val="both"/>
              <w:rPr>
                <w:rFonts w:hint="cs"/>
                <w:sz w:val="24"/>
                <w:szCs w:val="24"/>
              </w:rPr>
            </w:pPr>
            <w:r>
              <w:rPr>
                <w:rFonts w:hint="cs"/>
                <w:sz w:val="24"/>
                <w:szCs w:val="24"/>
                <w:rtl/>
              </w:rPr>
              <w:t>...</w:t>
            </w:r>
          </w:p>
        </w:tc>
        <w:tc>
          <w:tcPr>
            <w:tcW w:w="957" w:type="dxa"/>
            <w:tcBorders>
              <w:top w:val="nil"/>
            </w:tcBorders>
          </w:tcPr>
          <w:p w:rsidR="00443EC1" w:rsidRDefault="00443EC1">
            <w:pPr>
              <w:tabs>
                <w:tab w:val="decimal" w:pos="294"/>
              </w:tabs>
              <w:spacing w:before="0" w:after="60" w:line="360" w:lineRule="exact"/>
              <w:jc w:val="both"/>
              <w:rPr>
                <w:rFonts w:hint="cs"/>
                <w:sz w:val="24"/>
                <w:szCs w:val="24"/>
              </w:rPr>
            </w:pPr>
            <w:r>
              <w:rPr>
                <w:rFonts w:hint="cs"/>
                <w:sz w:val="24"/>
                <w:szCs w:val="24"/>
                <w:rtl/>
              </w:rPr>
              <w:t>...</w:t>
            </w:r>
          </w:p>
        </w:tc>
        <w:tc>
          <w:tcPr>
            <w:tcW w:w="957" w:type="dxa"/>
            <w:tcBorders>
              <w:top w:val="nil"/>
            </w:tcBorders>
          </w:tcPr>
          <w:p w:rsidR="00443EC1" w:rsidRDefault="00443EC1">
            <w:pPr>
              <w:tabs>
                <w:tab w:val="decimal" w:pos="315"/>
              </w:tabs>
              <w:spacing w:before="0" w:after="60" w:line="360" w:lineRule="exact"/>
              <w:jc w:val="both"/>
              <w:rPr>
                <w:rFonts w:hint="cs"/>
                <w:sz w:val="24"/>
                <w:szCs w:val="24"/>
              </w:rPr>
            </w:pPr>
            <w:r>
              <w:rPr>
                <w:rFonts w:hint="cs"/>
                <w:sz w:val="24"/>
                <w:szCs w:val="24"/>
                <w:rtl/>
              </w:rPr>
              <w:t>...</w:t>
            </w:r>
          </w:p>
        </w:tc>
        <w:tc>
          <w:tcPr>
            <w:tcW w:w="957" w:type="dxa"/>
            <w:tcBorders>
              <w:top w:val="nil"/>
            </w:tcBorders>
          </w:tcPr>
          <w:p w:rsidR="00443EC1" w:rsidRDefault="00443EC1">
            <w:pPr>
              <w:tabs>
                <w:tab w:val="decimal" w:pos="258"/>
              </w:tabs>
              <w:spacing w:before="0" w:after="60" w:line="360" w:lineRule="exact"/>
              <w:jc w:val="both"/>
              <w:rPr>
                <w:rFonts w:hint="cs"/>
                <w:sz w:val="24"/>
                <w:szCs w:val="24"/>
              </w:rPr>
            </w:pPr>
            <w:r>
              <w:rPr>
                <w:rFonts w:hint="cs"/>
                <w:sz w:val="24"/>
                <w:szCs w:val="24"/>
                <w:rtl/>
              </w:rPr>
              <w:t>...</w:t>
            </w:r>
          </w:p>
        </w:tc>
        <w:tc>
          <w:tcPr>
            <w:tcW w:w="957" w:type="dxa"/>
            <w:tcBorders>
              <w:top w:val="nil"/>
            </w:tcBorders>
          </w:tcPr>
          <w:p w:rsidR="00443EC1" w:rsidRDefault="00443EC1">
            <w:pPr>
              <w:tabs>
                <w:tab w:val="decimal" w:pos="265"/>
              </w:tabs>
              <w:spacing w:before="0" w:after="60" w:line="360" w:lineRule="exact"/>
              <w:jc w:val="both"/>
              <w:rPr>
                <w:rFonts w:hint="cs"/>
                <w:sz w:val="24"/>
                <w:szCs w:val="24"/>
              </w:rPr>
            </w:pPr>
            <w:r>
              <w:rPr>
                <w:rFonts w:hint="cs"/>
                <w:sz w:val="24"/>
                <w:szCs w:val="24"/>
                <w:rtl/>
              </w:rPr>
              <w:t>...</w:t>
            </w:r>
          </w:p>
        </w:tc>
      </w:tr>
    </w:tbl>
    <w:p w:rsidR="00000000" w:rsidRDefault="00443EC1">
      <w:pPr>
        <w:spacing w:line="360" w:lineRule="exact"/>
        <w:ind w:left="1440" w:hanging="720"/>
        <w:jc w:val="both"/>
        <w:rPr>
          <w:rFonts w:hint="cs"/>
          <w:rtl/>
        </w:rPr>
      </w:pPr>
      <w:r>
        <w:rPr>
          <w:rFonts w:hint="cs"/>
          <w:i/>
          <w:iCs/>
          <w:rtl/>
        </w:rPr>
        <w:t>المصدر:</w:t>
      </w:r>
      <w:r>
        <w:rPr>
          <w:rFonts w:hint="cs"/>
          <w:i/>
          <w:iCs/>
          <w:rtl/>
        </w:rPr>
        <w:tab/>
        <w:t>الحولية الإحصائية الوطنية الصينية</w:t>
      </w:r>
      <w:r>
        <w:rPr>
          <w:rFonts w:hint="cs"/>
          <w:rtl/>
        </w:rPr>
        <w:t xml:space="preserve">، 2000؛ أرقام عام 2001 مستمدة من </w:t>
      </w:r>
      <w:r>
        <w:rPr>
          <w:rFonts w:hint="cs"/>
          <w:i/>
          <w:iCs/>
          <w:rtl/>
        </w:rPr>
        <w:t xml:space="preserve">التقرير الإحصائي لعام 2001 بشأن التنمية الاقتصادية والاجتماعية </w:t>
      </w:r>
      <w:r>
        <w:rPr>
          <w:rFonts w:hint="cs"/>
          <w:i/>
          <w:iCs/>
          <w:rtl/>
        </w:rPr>
        <w:t>الوطنية</w:t>
      </w:r>
      <w:r>
        <w:rPr>
          <w:rFonts w:hint="cs"/>
          <w:rtl/>
        </w:rPr>
        <w:t>.</w:t>
      </w:r>
    </w:p>
    <w:p w:rsidR="00000000" w:rsidRDefault="00443EC1">
      <w:pPr>
        <w:spacing w:line="360" w:lineRule="exact"/>
        <w:jc w:val="center"/>
        <w:rPr>
          <w:rFonts w:hint="cs"/>
          <w:b/>
          <w:bCs/>
          <w:rtl/>
        </w:rPr>
      </w:pPr>
      <w:r>
        <w:rPr>
          <w:b/>
          <w:bCs/>
          <w:rtl/>
        </w:rPr>
        <w:br w:type="page"/>
      </w:r>
      <w:r>
        <w:rPr>
          <w:rFonts w:hint="cs"/>
          <w:b/>
          <w:bCs/>
          <w:rtl/>
        </w:rPr>
        <w:t>الجدول 13</w:t>
      </w:r>
    </w:p>
    <w:p w:rsidR="00000000" w:rsidRDefault="00443EC1">
      <w:pPr>
        <w:spacing w:line="360" w:lineRule="exact"/>
        <w:jc w:val="center"/>
        <w:rPr>
          <w:rFonts w:hint="cs"/>
          <w:b/>
          <w:bCs/>
          <w:rtl/>
        </w:rPr>
      </w:pPr>
      <w:r>
        <w:rPr>
          <w:rFonts w:hint="cs"/>
          <w:b/>
          <w:bCs/>
          <w:rtl/>
        </w:rPr>
        <w:t>النفقات الصحية في الصين</w:t>
      </w:r>
    </w:p>
    <w:tbl>
      <w:tblPr>
        <w:bidiVisual/>
        <w:tblW w:w="9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5"/>
        <w:gridCol w:w="1217"/>
        <w:gridCol w:w="1260"/>
        <w:gridCol w:w="1090"/>
        <w:gridCol w:w="1063"/>
        <w:gridCol w:w="1267"/>
        <w:gridCol w:w="1080"/>
        <w:gridCol w:w="844"/>
        <w:gridCol w:w="1064"/>
      </w:tblGrid>
      <w:tr w:rsidR="00443EC1" w:rsidTr="00443EC1">
        <w:tblPrEx>
          <w:tblCellMar>
            <w:top w:w="0" w:type="dxa"/>
            <w:bottom w:w="0" w:type="dxa"/>
          </w:tblCellMar>
        </w:tblPrEx>
        <w:trPr>
          <w:cantSplit/>
          <w:jc w:val="center"/>
        </w:trPr>
        <w:tc>
          <w:tcPr>
            <w:tcW w:w="685" w:type="dxa"/>
            <w:vMerge w:val="restart"/>
            <w:vAlign w:val="bottom"/>
          </w:tcPr>
          <w:p w:rsidR="00443EC1" w:rsidRDefault="00443EC1">
            <w:pPr>
              <w:spacing w:before="40" w:after="60" w:line="280" w:lineRule="exact"/>
              <w:jc w:val="center"/>
              <w:rPr>
                <w:rFonts w:hint="cs"/>
                <w:sz w:val="20"/>
                <w:szCs w:val="20"/>
              </w:rPr>
            </w:pPr>
            <w:r>
              <w:rPr>
                <w:rFonts w:hint="cs"/>
                <w:sz w:val="20"/>
                <w:szCs w:val="20"/>
                <w:rtl/>
              </w:rPr>
              <w:t>السنة</w:t>
            </w:r>
          </w:p>
        </w:tc>
        <w:tc>
          <w:tcPr>
            <w:tcW w:w="3567" w:type="dxa"/>
            <w:gridSpan w:val="3"/>
            <w:vAlign w:val="bottom"/>
          </w:tcPr>
          <w:p w:rsidR="00443EC1" w:rsidRDefault="00443EC1">
            <w:pPr>
              <w:spacing w:before="40" w:after="60" w:line="280" w:lineRule="exact"/>
              <w:jc w:val="center"/>
              <w:rPr>
                <w:rFonts w:hint="cs"/>
                <w:sz w:val="20"/>
                <w:szCs w:val="20"/>
              </w:rPr>
            </w:pPr>
            <w:r>
              <w:rPr>
                <w:rFonts w:hint="cs"/>
                <w:sz w:val="20"/>
                <w:szCs w:val="20"/>
                <w:rtl/>
              </w:rPr>
              <w:t>الناتج المحلي الإجمالي</w:t>
            </w:r>
          </w:p>
        </w:tc>
        <w:tc>
          <w:tcPr>
            <w:tcW w:w="3410" w:type="dxa"/>
            <w:gridSpan w:val="3"/>
            <w:vAlign w:val="bottom"/>
          </w:tcPr>
          <w:p w:rsidR="00443EC1" w:rsidRDefault="00443EC1">
            <w:pPr>
              <w:spacing w:before="40" w:after="60" w:line="280" w:lineRule="exact"/>
              <w:jc w:val="center"/>
              <w:rPr>
                <w:rFonts w:hint="cs"/>
                <w:sz w:val="20"/>
                <w:szCs w:val="20"/>
              </w:rPr>
            </w:pPr>
            <w:r>
              <w:rPr>
                <w:rFonts w:hint="cs"/>
                <w:sz w:val="20"/>
                <w:szCs w:val="20"/>
                <w:rtl/>
              </w:rPr>
              <w:t>النفقات الصحية الإجمالية</w:t>
            </w:r>
          </w:p>
        </w:tc>
        <w:tc>
          <w:tcPr>
            <w:tcW w:w="844" w:type="dxa"/>
            <w:vMerge w:val="restart"/>
            <w:tcMar>
              <w:left w:w="28" w:type="dxa"/>
              <w:right w:w="28" w:type="dxa"/>
            </w:tcMar>
            <w:vAlign w:val="bottom"/>
          </w:tcPr>
          <w:p w:rsidR="00443EC1" w:rsidRDefault="00443EC1">
            <w:pPr>
              <w:spacing w:before="40" w:after="60" w:line="280" w:lineRule="exact"/>
              <w:jc w:val="center"/>
              <w:rPr>
                <w:rFonts w:hint="cs"/>
                <w:spacing w:val="0"/>
                <w:sz w:val="20"/>
                <w:szCs w:val="20"/>
              </w:rPr>
            </w:pPr>
            <w:r>
              <w:rPr>
                <w:rFonts w:hint="cs"/>
                <w:spacing w:val="0"/>
                <w:sz w:val="20"/>
                <w:szCs w:val="20"/>
                <w:rtl/>
              </w:rPr>
              <w:t>النفقــات الصحيــة كنسبة مئوية من الناتج المحلي الإجمالي</w:t>
            </w:r>
          </w:p>
        </w:tc>
        <w:tc>
          <w:tcPr>
            <w:tcW w:w="1064" w:type="dxa"/>
            <w:vMerge w:val="restart"/>
            <w:tcMar>
              <w:left w:w="28" w:type="dxa"/>
              <w:right w:w="28" w:type="dxa"/>
            </w:tcMar>
            <w:vAlign w:val="bottom"/>
          </w:tcPr>
          <w:p w:rsidR="00443EC1" w:rsidRDefault="00443EC1">
            <w:pPr>
              <w:spacing w:before="40" w:after="60" w:line="280" w:lineRule="exact"/>
              <w:jc w:val="center"/>
              <w:rPr>
                <w:rFonts w:hint="cs"/>
                <w:spacing w:val="0"/>
                <w:sz w:val="20"/>
                <w:szCs w:val="20"/>
              </w:rPr>
            </w:pPr>
            <w:r>
              <w:rPr>
                <w:rFonts w:hint="cs"/>
                <w:spacing w:val="0"/>
                <w:sz w:val="20"/>
                <w:szCs w:val="20"/>
                <w:rtl/>
              </w:rPr>
              <w:t>متوسط الإنفـاق الصحي على الفرد الواحد (باليوان)</w:t>
            </w:r>
          </w:p>
        </w:tc>
      </w:tr>
      <w:tr w:rsidR="00443EC1" w:rsidTr="00443EC1">
        <w:tblPrEx>
          <w:tblCellMar>
            <w:top w:w="0" w:type="dxa"/>
            <w:bottom w:w="0" w:type="dxa"/>
          </w:tblCellMar>
        </w:tblPrEx>
        <w:trPr>
          <w:cantSplit/>
          <w:jc w:val="center"/>
        </w:trPr>
        <w:tc>
          <w:tcPr>
            <w:tcW w:w="685" w:type="dxa"/>
            <w:vMerge/>
            <w:tcBorders>
              <w:bottom w:val="single" w:sz="4" w:space="0" w:color="auto"/>
            </w:tcBorders>
            <w:vAlign w:val="bottom"/>
          </w:tcPr>
          <w:p w:rsidR="00443EC1" w:rsidRDefault="00443EC1">
            <w:pPr>
              <w:spacing w:before="40" w:after="60" w:line="280" w:lineRule="exact"/>
              <w:jc w:val="center"/>
              <w:rPr>
                <w:rFonts w:hint="cs"/>
                <w:sz w:val="20"/>
                <w:szCs w:val="20"/>
              </w:rPr>
            </w:pPr>
          </w:p>
        </w:tc>
        <w:tc>
          <w:tcPr>
            <w:tcW w:w="1217" w:type="dxa"/>
            <w:tcBorders>
              <w:bottom w:val="single" w:sz="4" w:space="0" w:color="auto"/>
            </w:tcBorders>
            <w:tcMar>
              <w:left w:w="28" w:type="dxa"/>
              <w:right w:w="28" w:type="dxa"/>
            </w:tcMar>
            <w:vAlign w:val="bottom"/>
          </w:tcPr>
          <w:p w:rsidR="00443EC1" w:rsidRDefault="00443EC1">
            <w:pPr>
              <w:spacing w:before="40" w:after="60" w:line="280" w:lineRule="exact"/>
              <w:jc w:val="center"/>
              <w:rPr>
                <w:rFonts w:hint="cs"/>
                <w:spacing w:val="0"/>
                <w:sz w:val="20"/>
                <w:szCs w:val="20"/>
                <w:rtl/>
              </w:rPr>
            </w:pPr>
            <w:r>
              <w:rPr>
                <w:rFonts w:hint="cs"/>
                <w:spacing w:val="0"/>
                <w:sz w:val="20"/>
                <w:szCs w:val="20"/>
                <w:rtl/>
              </w:rPr>
              <w:t>القيمـة السنوية</w:t>
            </w:r>
          </w:p>
          <w:p w:rsidR="00443EC1" w:rsidRDefault="00443EC1">
            <w:pPr>
              <w:spacing w:before="40" w:after="60" w:line="280" w:lineRule="exact"/>
              <w:jc w:val="center"/>
              <w:rPr>
                <w:rFonts w:hint="cs"/>
                <w:spacing w:val="0"/>
                <w:sz w:val="20"/>
                <w:szCs w:val="20"/>
              </w:rPr>
            </w:pPr>
            <w:r>
              <w:rPr>
                <w:rFonts w:hint="cs"/>
                <w:spacing w:val="0"/>
                <w:sz w:val="20"/>
                <w:szCs w:val="20"/>
                <w:rtl/>
              </w:rPr>
              <w:t>(بمليارات اليوان)</w:t>
            </w:r>
          </w:p>
        </w:tc>
        <w:tc>
          <w:tcPr>
            <w:tcW w:w="1260" w:type="dxa"/>
            <w:tcBorders>
              <w:bottom w:val="single" w:sz="4" w:space="0" w:color="auto"/>
            </w:tcBorders>
            <w:tcMar>
              <w:left w:w="28" w:type="dxa"/>
              <w:right w:w="28" w:type="dxa"/>
            </w:tcMar>
            <w:vAlign w:val="bottom"/>
          </w:tcPr>
          <w:p w:rsidR="00443EC1" w:rsidRDefault="00443EC1">
            <w:pPr>
              <w:spacing w:before="40" w:after="60" w:line="280" w:lineRule="exact"/>
              <w:jc w:val="center"/>
              <w:rPr>
                <w:rFonts w:hint="cs"/>
                <w:spacing w:val="0"/>
                <w:sz w:val="20"/>
                <w:szCs w:val="20"/>
                <w:rtl/>
              </w:rPr>
            </w:pPr>
            <w:r>
              <w:rPr>
                <w:rFonts w:hint="cs"/>
                <w:spacing w:val="0"/>
                <w:sz w:val="20"/>
                <w:szCs w:val="20"/>
                <w:rtl/>
              </w:rPr>
              <w:t>القيمـة الثابتة</w:t>
            </w:r>
          </w:p>
          <w:p w:rsidR="00443EC1" w:rsidRDefault="00443EC1">
            <w:pPr>
              <w:spacing w:before="40" w:after="60" w:line="280" w:lineRule="exact"/>
              <w:jc w:val="center"/>
              <w:rPr>
                <w:rFonts w:hint="cs"/>
                <w:spacing w:val="0"/>
                <w:sz w:val="20"/>
                <w:szCs w:val="20"/>
                <w:rtl/>
              </w:rPr>
            </w:pPr>
            <w:r>
              <w:rPr>
                <w:rFonts w:hint="cs"/>
                <w:spacing w:val="0"/>
                <w:sz w:val="20"/>
                <w:szCs w:val="20"/>
                <w:rtl/>
              </w:rPr>
              <w:t>1978=100</w:t>
            </w:r>
          </w:p>
          <w:p w:rsidR="00443EC1" w:rsidRDefault="00443EC1">
            <w:pPr>
              <w:spacing w:before="40" w:after="60" w:line="280" w:lineRule="exact"/>
              <w:jc w:val="center"/>
              <w:rPr>
                <w:rFonts w:hint="cs"/>
                <w:spacing w:val="0"/>
                <w:sz w:val="20"/>
                <w:szCs w:val="20"/>
              </w:rPr>
            </w:pPr>
            <w:r>
              <w:rPr>
                <w:rFonts w:hint="cs"/>
                <w:spacing w:val="0"/>
                <w:sz w:val="20"/>
                <w:szCs w:val="20"/>
                <w:rtl/>
              </w:rPr>
              <w:t>(بمليارات اليوان)</w:t>
            </w:r>
          </w:p>
        </w:tc>
        <w:tc>
          <w:tcPr>
            <w:tcW w:w="1090" w:type="dxa"/>
            <w:tcBorders>
              <w:bottom w:val="single" w:sz="4" w:space="0" w:color="auto"/>
            </w:tcBorders>
            <w:tcMar>
              <w:left w:w="28" w:type="dxa"/>
              <w:right w:w="28" w:type="dxa"/>
            </w:tcMar>
            <w:vAlign w:val="bottom"/>
          </w:tcPr>
          <w:p w:rsidR="00443EC1" w:rsidRDefault="00443EC1">
            <w:pPr>
              <w:spacing w:before="40" w:after="60" w:line="280" w:lineRule="exact"/>
              <w:jc w:val="center"/>
              <w:rPr>
                <w:rFonts w:hint="cs"/>
                <w:spacing w:val="0"/>
                <w:sz w:val="20"/>
                <w:szCs w:val="20"/>
              </w:rPr>
            </w:pPr>
            <w:r>
              <w:rPr>
                <w:rFonts w:hint="cs"/>
                <w:spacing w:val="0"/>
                <w:sz w:val="20"/>
                <w:szCs w:val="20"/>
                <w:rtl/>
              </w:rPr>
              <w:t>معدل التغير السنوي في النمو</w:t>
            </w:r>
          </w:p>
        </w:tc>
        <w:tc>
          <w:tcPr>
            <w:tcW w:w="1063" w:type="dxa"/>
            <w:tcBorders>
              <w:bottom w:val="single" w:sz="4" w:space="0" w:color="auto"/>
            </w:tcBorders>
            <w:tcMar>
              <w:left w:w="28" w:type="dxa"/>
              <w:right w:w="28" w:type="dxa"/>
            </w:tcMar>
            <w:vAlign w:val="bottom"/>
          </w:tcPr>
          <w:p w:rsidR="00443EC1" w:rsidRDefault="00443EC1">
            <w:pPr>
              <w:spacing w:before="40" w:after="60" w:line="280" w:lineRule="exact"/>
              <w:jc w:val="center"/>
              <w:rPr>
                <w:rFonts w:hint="cs"/>
                <w:spacing w:val="0"/>
                <w:sz w:val="20"/>
                <w:szCs w:val="20"/>
                <w:rtl/>
              </w:rPr>
            </w:pPr>
            <w:r>
              <w:rPr>
                <w:rFonts w:hint="cs"/>
                <w:spacing w:val="0"/>
                <w:sz w:val="20"/>
                <w:szCs w:val="20"/>
                <w:rtl/>
              </w:rPr>
              <w:t>القيمة السنوية</w:t>
            </w:r>
          </w:p>
          <w:p w:rsidR="00443EC1" w:rsidRDefault="00443EC1">
            <w:pPr>
              <w:spacing w:before="40" w:after="60" w:line="280" w:lineRule="exact"/>
              <w:jc w:val="center"/>
              <w:rPr>
                <w:rFonts w:hint="cs"/>
                <w:spacing w:val="0"/>
                <w:sz w:val="20"/>
                <w:szCs w:val="20"/>
              </w:rPr>
            </w:pPr>
            <w:r>
              <w:rPr>
                <w:rFonts w:hint="cs"/>
                <w:spacing w:val="0"/>
                <w:sz w:val="20"/>
                <w:szCs w:val="20"/>
                <w:rtl/>
              </w:rPr>
              <w:t>(بمليارات اليوان)</w:t>
            </w:r>
          </w:p>
        </w:tc>
        <w:tc>
          <w:tcPr>
            <w:tcW w:w="1267" w:type="dxa"/>
            <w:tcBorders>
              <w:bottom w:val="single" w:sz="4" w:space="0" w:color="auto"/>
            </w:tcBorders>
            <w:tcMar>
              <w:left w:w="28" w:type="dxa"/>
              <w:right w:w="28" w:type="dxa"/>
            </w:tcMar>
            <w:vAlign w:val="bottom"/>
          </w:tcPr>
          <w:p w:rsidR="00443EC1" w:rsidRDefault="00443EC1">
            <w:pPr>
              <w:spacing w:before="40" w:after="60" w:line="280" w:lineRule="exact"/>
              <w:jc w:val="center"/>
              <w:rPr>
                <w:rFonts w:hint="cs"/>
                <w:spacing w:val="0"/>
                <w:sz w:val="20"/>
                <w:szCs w:val="20"/>
                <w:rtl/>
              </w:rPr>
            </w:pPr>
            <w:r>
              <w:rPr>
                <w:rFonts w:hint="cs"/>
                <w:spacing w:val="0"/>
                <w:sz w:val="20"/>
                <w:szCs w:val="20"/>
                <w:rtl/>
              </w:rPr>
              <w:t>القيمـة الثابتة</w:t>
            </w:r>
          </w:p>
          <w:p w:rsidR="00443EC1" w:rsidRDefault="00443EC1">
            <w:pPr>
              <w:spacing w:before="40" w:after="60" w:line="280" w:lineRule="exact"/>
              <w:jc w:val="center"/>
              <w:rPr>
                <w:rFonts w:hint="cs"/>
                <w:spacing w:val="0"/>
                <w:sz w:val="20"/>
                <w:szCs w:val="20"/>
                <w:rtl/>
              </w:rPr>
            </w:pPr>
            <w:r>
              <w:rPr>
                <w:rFonts w:hint="cs"/>
                <w:spacing w:val="0"/>
                <w:sz w:val="20"/>
                <w:szCs w:val="20"/>
                <w:rtl/>
              </w:rPr>
              <w:t>1978=100</w:t>
            </w:r>
          </w:p>
          <w:p w:rsidR="00443EC1" w:rsidRDefault="00443EC1">
            <w:pPr>
              <w:spacing w:before="40" w:after="60" w:line="280" w:lineRule="exact"/>
              <w:jc w:val="center"/>
              <w:rPr>
                <w:rFonts w:hint="cs"/>
                <w:spacing w:val="0"/>
                <w:sz w:val="20"/>
                <w:szCs w:val="20"/>
              </w:rPr>
            </w:pPr>
            <w:r>
              <w:rPr>
                <w:rFonts w:hint="cs"/>
                <w:spacing w:val="0"/>
                <w:sz w:val="20"/>
                <w:szCs w:val="20"/>
                <w:rtl/>
              </w:rPr>
              <w:t>(بمليارات اليوان)</w:t>
            </w:r>
          </w:p>
        </w:tc>
        <w:tc>
          <w:tcPr>
            <w:tcW w:w="1080" w:type="dxa"/>
            <w:tcBorders>
              <w:bottom w:val="single" w:sz="4" w:space="0" w:color="auto"/>
            </w:tcBorders>
            <w:tcMar>
              <w:left w:w="28" w:type="dxa"/>
              <w:right w:w="28" w:type="dxa"/>
            </w:tcMar>
            <w:vAlign w:val="bottom"/>
          </w:tcPr>
          <w:p w:rsidR="00443EC1" w:rsidRDefault="00443EC1">
            <w:pPr>
              <w:spacing w:before="40" w:after="60" w:line="280" w:lineRule="exact"/>
              <w:jc w:val="center"/>
              <w:rPr>
                <w:rFonts w:hint="cs"/>
                <w:spacing w:val="0"/>
                <w:sz w:val="20"/>
                <w:szCs w:val="20"/>
              </w:rPr>
            </w:pPr>
            <w:r>
              <w:rPr>
                <w:rFonts w:hint="cs"/>
                <w:spacing w:val="0"/>
                <w:sz w:val="20"/>
                <w:szCs w:val="20"/>
                <w:rtl/>
              </w:rPr>
              <w:t>معدل التغير السنوي في النمو</w:t>
            </w:r>
          </w:p>
        </w:tc>
        <w:tc>
          <w:tcPr>
            <w:tcW w:w="844" w:type="dxa"/>
            <w:vMerge/>
            <w:tcBorders>
              <w:bottom w:val="single" w:sz="4" w:space="0" w:color="auto"/>
            </w:tcBorders>
            <w:vAlign w:val="bottom"/>
          </w:tcPr>
          <w:p w:rsidR="00443EC1" w:rsidRDefault="00443EC1">
            <w:pPr>
              <w:spacing w:before="40" w:after="60" w:line="280" w:lineRule="exact"/>
              <w:jc w:val="center"/>
              <w:rPr>
                <w:rFonts w:hint="cs"/>
                <w:sz w:val="20"/>
                <w:szCs w:val="20"/>
              </w:rPr>
            </w:pPr>
          </w:p>
        </w:tc>
        <w:tc>
          <w:tcPr>
            <w:tcW w:w="1064" w:type="dxa"/>
            <w:vMerge/>
            <w:tcBorders>
              <w:bottom w:val="single" w:sz="4" w:space="0" w:color="auto"/>
            </w:tcBorders>
            <w:vAlign w:val="bottom"/>
          </w:tcPr>
          <w:p w:rsidR="00443EC1" w:rsidRDefault="00443EC1">
            <w:pPr>
              <w:spacing w:before="40" w:after="60" w:line="280" w:lineRule="exact"/>
              <w:jc w:val="center"/>
              <w:rPr>
                <w:rFonts w:hint="cs"/>
                <w:sz w:val="20"/>
                <w:szCs w:val="20"/>
              </w:rPr>
            </w:pPr>
          </w:p>
        </w:tc>
      </w:tr>
      <w:tr w:rsidR="00443EC1" w:rsidTr="00443EC1">
        <w:tblPrEx>
          <w:tblCellMar>
            <w:top w:w="0" w:type="dxa"/>
            <w:bottom w:w="0" w:type="dxa"/>
          </w:tblCellMar>
        </w:tblPrEx>
        <w:trPr>
          <w:jc w:val="center"/>
        </w:trPr>
        <w:tc>
          <w:tcPr>
            <w:tcW w:w="685" w:type="dxa"/>
            <w:tcBorders>
              <w:bottom w:val="nil"/>
            </w:tcBorders>
          </w:tcPr>
          <w:p w:rsidR="00443EC1" w:rsidRDefault="00443EC1">
            <w:pPr>
              <w:spacing w:before="0" w:after="0" w:line="260" w:lineRule="exact"/>
              <w:jc w:val="center"/>
              <w:rPr>
                <w:rFonts w:hint="cs"/>
                <w:sz w:val="20"/>
                <w:szCs w:val="20"/>
              </w:rPr>
            </w:pPr>
            <w:r>
              <w:rPr>
                <w:rFonts w:hint="cs"/>
                <w:sz w:val="20"/>
                <w:szCs w:val="20"/>
                <w:rtl/>
              </w:rPr>
              <w:t>1990</w:t>
            </w:r>
          </w:p>
        </w:tc>
        <w:tc>
          <w:tcPr>
            <w:tcW w:w="1217" w:type="dxa"/>
            <w:tcBorders>
              <w:bottom w:val="nil"/>
            </w:tcBorders>
          </w:tcPr>
          <w:p w:rsidR="00443EC1" w:rsidRDefault="00443EC1">
            <w:pPr>
              <w:spacing w:before="0" w:after="0" w:line="260" w:lineRule="exact"/>
              <w:ind w:left="130"/>
              <w:jc w:val="both"/>
              <w:rPr>
                <w:rFonts w:hint="cs"/>
                <w:sz w:val="20"/>
                <w:szCs w:val="20"/>
              </w:rPr>
            </w:pPr>
            <w:r>
              <w:rPr>
                <w:rFonts w:hint="cs"/>
                <w:sz w:val="20"/>
                <w:szCs w:val="20"/>
                <w:rtl/>
              </w:rPr>
              <w:t>854.79 1</w:t>
            </w:r>
          </w:p>
        </w:tc>
        <w:tc>
          <w:tcPr>
            <w:tcW w:w="1260" w:type="dxa"/>
            <w:tcBorders>
              <w:bottom w:val="nil"/>
            </w:tcBorders>
          </w:tcPr>
          <w:p w:rsidR="00443EC1" w:rsidRDefault="00443EC1">
            <w:pPr>
              <w:tabs>
                <w:tab w:val="decimal" w:pos="327"/>
              </w:tabs>
              <w:spacing w:before="0" w:after="0" w:line="260" w:lineRule="exact"/>
              <w:jc w:val="both"/>
              <w:rPr>
                <w:rFonts w:hint="cs"/>
                <w:sz w:val="20"/>
                <w:szCs w:val="20"/>
              </w:rPr>
            </w:pPr>
            <w:r>
              <w:rPr>
                <w:rFonts w:hint="cs"/>
                <w:sz w:val="20"/>
                <w:szCs w:val="20"/>
                <w:rtl/>
              </w:rPr>
              <w:t>020.91 1</w:t>
            </w:r>
          </w:p>
        </w:tc>
        <w:tc>
          <w:tcPr>
            <w:tcW w:w="1090" w:type="dxa"/>
            <w:tcBorders>
              <w:bottom w:val="nil"/>
            </w:tcBorders>
          </w:tcPr>
          <w:p w:rsidR="00443EC1" w:rsidRDefault="00443EC1">
            <w:pPr>
              <w:tabs>
                <w:tab w:val="decimal" w:pos="383"/>
              </w:tabs>
              <w:spacing w:before="0" w:after="0" w:line="260" w:lineRule="exact"/>
              <w:jc w:val="both"/>
              <w:rPr>
                <w:rFonts w:hint="cs"/>
                <w:sz w:val="20"/>
                <w:szCs w:val="20"/>
              </w:rPr>
            </w:pPr>
            <w:r>
              <w:rPr>
                <w:rFonts w:hint="cs"/>
                <w:sz w:val="20"/>
                <w:szCs w:val="20"/>
                <w:rtl/>
              </w:rPr>
              <w:t>3.8</w:t>
            </w:r>
          </w:p>
        </w:tc>
        <w:tc>
          <w:tcPr>
            <w:tcW w:w="1063" w:type="dxa"/>
            <w:tcBorders>
              <w:bottom w:val="nil"/>
            </w:tcBorders>
          </w:tcPr>
          <w:p w:rsidR="00443EC1" w:rsidRDefault="00443EC1">
            <w:pPr>
              <w:tabs>
                <w:tab w:val="decimal" w:pos="398"/>
              </w:tabs>
              <w:spacing w:before="0" w:after="0" w:line="260" w:lineRule="exact"/>
              <w:jc w:val="both"/>
              <w:rPr>
                <w:rFonts w:hint="cs"/>
                <w:sz w:val="20"/>
                <w:szCs w:val="20"/>
              </w:rPr>
            </w:pPr>
            <w:r>
              <w:rPr>
                <w:rFonts w:hint="cs"/>
                <w:sz w:val="20"/>
                <w:szCs w:val="20"/>
                <w:rtl/>
              </w:rPr>
              <w:t>74.30</w:t>
            </w:r>
          </w:p>
        </w:tc>
        <w:tc>
          <w:tcPr>
            <w:tcW w:w="1267" w:type="dxa"/>
            <w:tcBorders>
              <w:bottom w:val="nil"/>
            </w:tcBorders>
          </w:tcPr>
          <w:p w:rsidR="00443EC1" w:rsidRDefault="00443EC1">
            <w:pPr>
              <w:tabs>
                <w:tab w:val="decimal" w:pos="469"/>
              </w:tabs>
              <w:spacing w:before="0" w:after="0" w:line="260" w:lineRule="exact"/>
              <w:jc w:val="both"/>
              <w:rPr>
                <w:rFonts w:hint="cs"/>
                <w:sz w:val="20"/>
                <w:szCs w:val="20"/>
              </w:rPr>
            </w:pPr>
            <w:r>
              <w:rPr>
                <w:rFonts w:hint="cs"/>
                <w:sz w:val="20"/>
                <w:szCs w:val="20"/>
                <w:rtl/>
              </w:rPr>
              <w:t>40.90</w:t>
            </w:r>
          </w:p>
        </w:tc>
        <w:tc>
          <w:tcPr>
            <w:tcW w:w="1080" w:type="dxa"/>
            <w:tcBorders>
              <w:bottom w:val="nil"/>
            </w:tcBorders>
          </w:tcPr>
          <w:p w:rsidR="00443EC1" w:rsidRDefault="00443EC1">
            <w:pPr>
              <w:tabs>
                <w:tab w:val="decimal" w:pos="378"/>
              </w:tabs>
              <w:spacing w:before="0" w:after="0" w:line="260" w:lineRule="exact"/>
              <w:jc w:val="both"/>
              <w:rPr>
                <w:rFonts w:hint="cs"/>
                <w:sz w:val="20"/>
                <w:szCs w:val="20"/>
              </w:rPr>
            </w:pPr>
            <w:r>
              <w:rPr>
                <w:rFonts w:hint="cs"/>
                <w:sz w:val="20"/>
                <w:szCs w:val="20"/>
                <w:rtl/>
              </w:rPr>
              <w:t>14.3</w:t>
            </w:r>
          </w:p>
        </w:tc>
        <w:tc>
          <w:tcPr>
            <w:tcW w:w="844" w:type="dxa"/>
            <w:tcBorders>
              <w:bottom w:val="nil"/>
            </w:tcBorders>
          </w:tcPr>
          <w:p w:rsidR="00443EC1" w:rsidRDefault="00443EC1">
            <w:pPr>
              <w:tabs>
                <w:tab w:val="decimal" w:pos="320"/>
              </w:tabs>
              <w:spacing w:before="0" w:after="0" w:line="260" w:lineRule="exact"/>
              <w:jc w:val="both"/>
              <w:rPr>
                <w:rFonts w:hint="cs"/>
                <w:sz w:val="20"/>
                <w:szCs w:val="20"/>
              </w:rPr>
            </w:pPr>
            <w:r>
              <w:rPr>
                <w:rFonts w:hint="cs"/>
                <w:sz w:val="20"/>
                <w:szCs w:val="20"/>
                <w:rtl/>
              </w:rPr>
              <w:t>4.0</w:t>
            </w:r>
          </w:p>
        </w:tc>
        <w:tc>
          <w:tcPr>
            <w:tcW w:w="1064" w:type="dxa"/>
            <w:tcBorders>
              <w:bottom w:val="nil"/>
            </w:tcBorders>
          </w:tcPr>
          <w:p w:rsidR="00443EC1" w:rsidRDefault="00443EC1">
            <w:pPr>
              <w:tabs>
                <w:tab w:val="decimal" w:pos="386"/>
              </w:tabs>
              <w:spacing w:before="0" w:after="0" w:line="260" w:lineRule="exact"/>
              <w:jc w:val="both"/>
              <w:rPr>
                <w:rFonts w:hint="cs"/>
                <w:sz w:val="20"/>
                <w:szCs w:val="20"/>
              </w:rPr>
            </w:pPr>
            <w:r>
              <w:rPr>
                <w:rFonts w:hint="cs"/>
                <w:sz w:val="20"/>
                <w:szCs w:val="20"/>
                <w:rtl/>
              </w:rPr>
              <w:t>65.6</w:t>
            </w:r>
          </w:p>
        </w:tc>
      </w:tr>
      <w:tr w:rsidR="00443EC1" w:rsidTr="00443EC1">
        <w:tblPrEx>
          <w:tblCellMar>
            <w:top w:w="0" w:type="dxa"/>
            <w:bottom w:w="0" w:type="dxa"/>
          </w:tblCellMar>
        </w:tblPrEx>
        <w:trPr>
          <w:jc w:val="center"/>
        </w:trPr>
        <w:tc>
          <w:tcPr>
            <w:tcW w:w="685" w:type="dxa"/>
            <w:tcBorders>
              <w:top w:val="nil"/>
              <w:bottom w:val="nil"/>
            </w:tcBorders>
          </w:tcPr>
          <w:p w:rsidR="00443EC1" w:rsidRDefault="00443EC1">
            <w:pPr>
              <w:spacing w:before="0" w:after="0" w:line="260" w:lineRule="exact"/>
              <w:jc w:val="center"/>
              <w:rPr>
                <w:rFonts w:hint="cs"/>
                <w:sz w:val="20"/>
                <w:szCs w:val="20"/>
              </w:rPr>
            </w:pPr>
            <w:r>
              <w:rPr>
                <w:rFonts w:hint="cs"/>
                <w:sz w:val="20"/>
                <w:szCs w:val="20"/>
                <w:rtl/>
              </w:rPr>
              <w:t>1991</w:t>
            </w:r>
          </w:p>
        </w:tc>
        <w:tc>
          <w:tcPr>
            <w:tcW w:w="1217" w:type="dxa"/>
            <w:tcBorders>
              <w:top w:val="nil"/>
              <w:bottom w:val="nil"/>
            </w:tcBorders>
          </w:tcPr>
          <w:p w:rsidR="00443EC1" w:rsidRDefault="00443EC1">
            <w:pPr>
              <w:spacing w:before="0" w:after="0" w:line="260" w:lineRule="exact"/>
              <w:ind w:left="130"/>
              <w:jc w:val="both"/>
              <w:rPr>
                <w:rFonts w:hint="cs"/>
                <w:sz w:val="20"/>
                <w:szCs w:val="20"/>
              </w:rPr>
            </w:pPr>
            <w:r>
              <w:rPr>
                <w:rFonts w:hint="cs"/>
                <w:sz w:val="20"/>
                <w:szCs w:val="20"/>
                <w:rtl/>
              </w:rPr>
              <w:t>161.78 2</w:t>
            </w:r>
          </w:p>
        </w:tc>
        <w:tc>
          <w:tcPr>
            <w:tcW w:w="1260" w:type="dxa"/>
            <w:tcBorders>
              <w:top w:val="nil"/>
              <w:bottom w:val="nil"/>
            </w:tcBorders>
          </w:tcPr>
          <w:p w:rsidR="00443EC1" w:rsidRDefault="00443EC1">
            <w:pPr>
              <w:tabs>
                <w:tab w:val="decimal" w:pos="327"/>
              </w:tabs>
              <w:spacing w:before="0" w:after="0" w:line="260" w:lineRule="exact"/>
              <w:jc w:val="both"/>
              <w:rPr>
                <w:rFonts w:hint="cs"/>
                <w:sz w:val="20"/>
                <w:szCs w:val="20"/>
              </w:rPr>
            </w:pPr>
            <w:r>
              <w:rPr>
                <w:rFonts w:hint="cs"/>
                <w:sz w:val="20"/>
                <w:szCs w:val="20"/>
                <w:rtl/>
              </w:rPr>
              <w:t>114.77 1</w:t>
            </w:r>
          </w:p>
        </w:tc>
        <w:tc>
          <w:tcPr>
            <w:tcW w:w="1090" w:type="dxa"/>
            <w:tcBorders>
              <w:top w:val="nil"/>
              <w:bottom w:val="nil"/>
            </w:tcBorders>
          </w:tcPr>
          <w:p w:rsidR="00443EC1" w:rsidRDefault="00443EC1">
            <w:pPr>
              <w:tabs>
                <w:tab w:val="decimal" w:pos="383"/>
              </w:tabs>
              <w:spacing w:before="0" w:after="0" w:line="260" w:lineRule="exact"/>
              <w:jc w:val="both"/>
              <w:rPr>
                <w:rFonts w:hint="cs"/>
                <w:sz w:val="20"/>
                <w:szCs w:val="20"/>
              </w:rPr>
            </w:pPr>
            <w:r>
              <w:rPr>
                <w:rFonts w:hint="cs"/>
                <w:sz w:val="20"/>
                <w:szCs w:val="20"/>
                <w:rtl/>
              </w:rPr>
              <w:t>9.2</w:t>
            </w:r>
          </w:p>
        </w:tc>
        <w:tc>
          <w:tcPr>
            <w:tcW w:w="1063" w:type="dxa"/>
            <w:tcBorders>
              <w:top w:val="nil"/>
              <w:bottom w:val="nil"/>
            </w:tcBorders>
          </w:tcPr>
          <w:p w:rsidR="00443EC1" w:rsidRDefault="00443EC1">
            <w:pPr>
              <w:tabs>
                <w:tab w:val="decimal" w:pos="398"/>
              </w:tabs>
              <w:spacing w:before="0" w:after="0" w:line="260" w:lineRule="exact"/>
              <w:jc w:val="both"/>
              <w:rPr>
                <w:rFonts w:hint="cs"/>
                <w:sz w:val="20"/>
                <w:szCs w:val="20"/>
              </w:rPr>
            </w:pPr>
            <w:r>
              <w:rPr>
                <w:rFonts w:hint="cs"/>
                <w:sz w:val="20"/>
                <w:szCs w:val="20"/>
                <w:rtl/>
              </w:rPr>
              <w:t>88.86</w:t>
            </w:r>
          </w:p>
        </w:tc>
        <w:tc>
          <w:tcPr>
            <w:tcW w:w="1267" w:type="dxa"/>
            <w:tcBorders>
              <w:top w:val="nil"/>
              <w:bottom w:val="nil"/>
            </w:tcBorders>
          </w:tcPr>
          <w:p w:rsidR="00443EC1" w:rsidRDefault="00443EC1">
            <w:pPr>
              <w:tabs>
                <w:tab w:val="decimal" w:pos="469"/>
              </w:tabs>
              <w:spacing w:before="0" w:after="0" w:line="260" w:lineRule="exact"/>
              <w:jc w:val="both"/>
              <w:rPr>
                <w:rFonts w:hint="cs"/>
                <w:sz w:val="20"/>
                <w:szCs w:val="20"/>
              </w:rPr>
            </w:pPr>
            <w:r>
              <w:rPr>
                <w:rFonts w:hint="cs"/>
                <w:sz w:val="20"/>
                <w:szCs w:val="20"/>
                <w:rtl/>
              </w:rPr>
              <w:t>45.82</w:t>
            </w:r>
          </w:p>
        </w:tc>
        <w:tc>
          <w:tcPr>
            <w:tcW w:w="1080" w:type="dxa"/>
            <w:tcBorders>
              <w:top w:val="nil"/>
              <w:bottom w:val="nil"/>
            </w:tcBorders>
          </w:tcPr>
          <w:p w:rsidR="00443EC1" w:rsidRDefault="00443EC1">
            <w:pPr>
              <w:tabs>
                <w:tab w:val="decimal" w:pos="378"/>
              </w:tabs>
              <w:spacing w:before="0" w:after="0" w:line="260" w:lineRule="exact"/>
              <w:jc w:val="both"/>
              <w:rPr>
                <w:rFonts w:hint="cs"/>
                <w:sz w:val="20"/>
                <w:szCs w:val="20"/>
              </w:rPr>
            </w:pPr>
            <w:r>
              <w:rPr>
                <w:rFonts w:hint="cs"/>
                <w:sz w:val="20"/>
                <w:szCs w:val="20"/>
                <w:rtl/>
              </w:rPr>
              <w:t>12.0</w:t>
            </w:r>
          </w:p>
        </w:tc>
        <w:tc>
          <w:tcPr>
            <w:tcW w:w="844" w:type="dxa"/>
            <w:tcBorders>
              <w:top w:val="nil"/>
              <w:bottom w:val="nil"/>
            </w:tcBorders>
          </w:tcPr>
          <w:p w:rsidR="00443EC1" w:rsidRDefault="00443EC1">
            <w:pPr>
              <w:tabs>
                <w:tab w:val="decimal" w:pos="320"/>
              </w:tabs>
              <w:spacing w:before="0" w:after="0" w:line="260" w:lineRule="exact"/>
              <w:jc w:val="both"/>
              <w:rPr>
                <w:rFonts w:hint="cs"/>
                <w:sz w:val="20"/>
                <w:szCs w:val="20"/>
              </w:rPr>
            </w:pPr>
            <w:r>
              <w:rPr>
                <w:rFonts w:hint="cs"/>
                <w:sz w:val="20"/>
                <w:szCs w:val="20"/>
                <w:rtl/>
              </w:rPr>
              <w:t>4.1</w:t>
            </w:r>
          </w:p>
        </w:tc>
        <w:tc>
          <w:tcPr>
            <w:tcW w:w="1064" w:type="dxa"/>
            <w:tcBorders>
              <w:top w:val="nil"/>
              <w:bottom w:val="nil"/>
            </w:tcBorders>
          </w:tcPr>
          <w:p w:rsidR="00443EC1" w:rsidRDefault="00443EC1">
            <w:pPr>
              <w:tabs>
                <w:tab w:val="decimal" w:pos="386"/>
              </w:tabs>
              <w:spacing w:before="0" w:after="0" w:line="260" w:lineRule="exact"/>
              <w:jc w:val="both"/>
              <w:rPr>
                <w:rFonts w:hint="cs"/>
                <w:sz w:val="20"/>
                <w:szCs w:val="20"/>
              </w:rPr>
            </w:pPr>
            <w:r>
              <w:rPr>
                <w:rFonts w:hint="cs"/>
                <w:sz w:val="20"/>
                <w:szCs w:val="20"/>
                <w:rtl/>
              </w:rPr>
              <w:t>76.7</w:t>
            </w:r>
          </w:p>
        </w:tc>
      </w:tr>
      <w:tr w:rsidR="00443EC1" w:rsidTr="00443EC1">
        <w:tblPrEx>
          <w:tblCellMar>
            <w:top w:w="0" w:type="dxa"/>
            <w:bottom w:w="0" w:type="dxa"/>
          </w:tblCellMar>
        </w:tblPrEx>
        <w:trPr>
          <w:jc w:val="center"/>
        </w:trPr>
        <w:tc>
          <w:tcPr>
            <w:tcW w:w="685" w:type="dxa"/>
            <w:tcBorders>
              <w:top w:val="nil"/>
              <w:bottom w:val="nil"/>
            </w:tcBorders>
          </w:tcPr>
          <w:p w:rsidR="00443EC1" w:rsidRDefault="00443EC1">
            <w:pPr>
              <w:spacing w:before="0" w:after="0" w:line="260" w:lineRule="exact"/>
              <w:jc w:val="center"/>
              <w:rPr>
                <w:rFonts w:hint="cs"/>
                <w:sz w:val="20"/>
                <w:szCs w:val="20"/>
              </w:rPr>
            </w:pPr>
            <w:r>
              <w:rPr>
                <w:rFonts w:hint="cs"/>
                <w:sz w:val="20"/>
                <w:szCs w:val="20"/>
                <w:rtl/>
              </w:rPr>
              <w:t>1992</w:t>
            </w:r>
          </w:p>
        </w:tc>
        <w:tc>
          <w:tcPr>
            <w:tcW w:w="1217" w:type="dxa"/>
            <w:tcBorders>
              <w:top w:val="nil"/>
              <w:bottom w:val="nil"/>
            </w:tcBorders>
          </w:tcPr>
          <w:p w:rsidR="00443EC1" w:rsidRDefault="00443EC1">
            <w:pPr>
              <w:spacing w:before="0" w:after="0" w:line="260" w:lineRule="exact"/>
              <w:ind w:left="130"/>
              <w:jc w:val="both"/>
              <w:rPr>
                <w:rFonts w:hint="cs"/>
                <w:sz w:val="20"/>
                <w:szCs w:val="20"/>
              </w:rPr>
            </w:pPr>
            <w:r>
              <w:rPr>
                <w:rFonts w:hint="cs"/>
                <w:sz w:val="20"/>
                <w:szCs w:val="20"/>
                <w:rtl/>
              </w:rPr>
              <w:t>663.81 2</w:t>
            </w:r>
          </w:p>
        </w:tc>
        <w:tc>
          <w:tcPr>
            <w:tcW w:w="1260" w:type="dxa"/>
            <w:tcBorders>
              <w:top w:val="nil"/>
              <w:bottom w:val="nil"/>
            </w:tcBorders>
          </w:tcPr>
          <w:p w:rsidR="00443EC1" w:rsidRDefault="00443EC1">
            <w:pPr>
              <w:tabs>
                <w:tab w:val="decimal" w:pos="327"/>
              </w:tabs>
              <w:spacing w:before="0" w:after="0" w:line="260" w:lineRule="exact"/>
              <w:jc w:val="both"/>
              <w:rPr>
                <w:rFonts w:hint="cs"/>
                <w:sz w:val="20"/>
                <w:szCs w:val="20"/>
              </w:rPr>
            </w:pPr>
            <w:r>
              <w:rPr>
                <w:rFonts w:hint="cs"/>
                <w:sz w:val="20"/>
                <w:szCs w:val="20"/>
                <w:rtl/>
              </w:rPr>
              <w:t>273.51 1</w:t>
            </w:r>
          </w:p>
        </w:tc>
        <w:tc>
          <w:tcPr>
            <w:tcW w:w="1090" w:type="dxa"/>
            <w:tcBorders>
              <w:top w:val="nil"/>
              <w:bottom w:val="nil"/>
            </w:tcBorders>
          </w:tcPr>
          <w:p w:rsidR="00443EC1" w:rsidRDefault="00443EC1">
            <w:pPr>
              <w:tabs>
                <w:tab w:val="decimal" w:pos="383"/>
              </w:tabs>
              <w:spacing w:before="0" w:after="0" w:line="260" w:lineRule="exact"/>
              <w:jc w:val="both"/>
              <w:rPr>
                <w:rFonts w:hint="cs"/>
                <w:sz w:val="20"/>
                <w:szCs w:val="20"/>
              </w:rPr>
            </w:pPr>
            <w:r>
              <w:rPr>
                <w:rFonts w:hint="cs"/>
                <w:sz w:val="20"/>
                <w:szCs w:val="20"/>
                <w:rtl/>
              </w:rPr>
              <w:t>14.2</w:t>
            </w:r>
          </w:p>
        </w:tc>
        <w:tc>
          <w:tcPr>
            <w:tcW w:w="1063" w:type="dxa"/>
            <w:tcBorders>
              <w:top w:val="nil"/>
              <w:bottom w:val="nil"/>
            </w:tcBorders>
          </w:tcPr>
          <w:p w:rsidR="00443EC1" w:rsidRDefault="00443EC1">
            <w:pPr>
              <w:tabs>
                <w:tab w:val="decimal" w:pos="398"/>
              </w:tabs>
              <w:spacing w:before="0" w:after="0" w:line="260" w:lineRule="exact"/>
              <w:jc w:val="both"/>
              <w:rPr>
                <w:rFonts w:hint="cs"/>
                <w:sz w:val="20"/>
                <w:szCs w:val="20"/>
              </w:rPr>
            </w:pPr>
            <w:r>
              <w:rPr>
                <w:rFonts w:hint="cs"/>
                <w:sz w:val="20"/>
                <w:szCs w:val="20"/>
                <w:rtl/>
              </w:rPr>
              <w:t>109.07</w:t>
            </w:r>
          </w:p>
        </w:tc>
        <w:tc>
          <w:tcPr>
            <w:tcW w:w="1267" w:type="dxa"/>
            <w:tcBorders>
              <w:top w:val="nil"/>
              <w:bottom w:val="nil"/>
            </w:tcBorders>
          </w:tcPr>
          <w:p w:rsidR="00443EC1" w:rsidRDefault="00443EC1">
            <w:pPr>
              <w:tabs>
                <w:tab w:val="decimal" w:pos="469"/>
              </w:tabs>
              <w:spacing w:before="0" w:after="0" w:line="260" w:lineRule="exact"/>
              <w:jc w:val="both"/>
              <w:rPr>
                <w:rFonts w:hint="cs"/>
                <w:sz w:val="20"/>
                <w:szCs w:val="20"/>
              </w:rPr>
            </w:pPr>
            <w:r>
              <w:rPr>
                <w:rFonts w:hint="cs"/>
                <w:sz w:val="20"/>
                <w:szCs w:val="20"/>
                <w:rtl/>
              </w:rPr>
              <w:t>52.14</w:t>
            </w:r>
          </w:p>
        </w:tc>
        <w:tc>
          <w:tcPr>
            <w:tcW w:w="1080" w:type="dxa"/>
            <w:tcBorders>
              <w:top w:val="nil"/>
              <w:bottom w:val="nil"/>
            </w:tcBorders>
          </w:tcPr>
          <w:p w:rsidR="00443EC1" w:rsidRDefault="00443EC1">
            <w:pPr>
              <w:tabs>
                <w:tab w:val="decimal" w:pos="378"/>
              </w:tabs>
              <w:spacing w:before="0" w:after="0" w:line="260" w:lineRule="exact"/>
              <w:jc w:val="both"/>
              <w:rPr>
                <w:rFonts w:hint="cs"/>
                <w:sz w:val="20"/>
                <w:szCs w:val="20"/>
              </w:rPr>
            </w:pPr>
            <w:r>
              <w:rPr>
                <w:rFonts w:hint="cs"/>
                <w:sz w:val="20"/>
                <w:szCs w:val="20"/>
                <w:rtl/>
              </w:rPr>
              <w:t>13.8</w:t>
            </w:r>
          </w:p>
        </w:tc>
        <w:tc>
          <w:tcPr>
            <w:tcW w:w="844" w:type="dxa"/>
            <w:tcBorders>
              <w:top w:val="nil"/>
              <w:bottom w:val="nil"/>
            </w:tcBorders>
          </w:tcPr>
          <w:p w:rsidR="00443EC1" w:rsidRDefault="00443EC1">
            <w:pPr>
              <w:tabs>
                <w:tab w:val="decimal" w:pos="320"/>
              </w:tabs>
              <w:spacing w:before="0" w:after="0" w:line="260" w:lineRule="exact"/>
              <w:jc w:val="both"/>
              <w:rPr>
                <w:rFonts w:hint="cs"/>
                <w:sz w:val="20"/>
                <w:szCs w:val="20"/>
              </w:rPr>
            </w:pPr>
            <w:r>
              <w:rPr>
                <w:rFonts w:hint="cs"/>
                <w:sz w:val="20"/>
                <w:szCs w:val="20"/>
                <w:rtl/>
              </w:rPr>
              <w:t>4.1</w:t>
            </w:r>
          </w:p>
        </w:tc>
        <w:tc>
          <w:tcPr>
            <w:tcW w:w="1064" w:type="dxa"/>
            <w:tcBorders>
              <w:top w:val="nil"/>
              <w:bottom w:val="nil"/>
            </w:tcBorders>
          </w:tcPr>
          <w:p w:rsidR="00443EC1" w:rsidRDefault="00443EC1">
            <w:pPr>
              <w:tabs>
                <w:tab w:val="decimal" w:pos="386"/>
              </w:tabs>
              <w:spacing w:before="0" w:after="0" w:line="260" w:lineRule="exact"/>
              <w:jc w:val="both"/>
              <w:rPr>
                <w:rFonts w:hint="cs"/>
                <w:sz w:val="20"/>
                <w:szCs w:val="20"/>
              </w:rPr>
            </w:pPr>
            <w:r>
              <w:rPr>
                <w:rFonts w:hint="cs"/>
                <w:sz w:val="20"/>
                <w:szCs w:val="20"/>
                <w:rtl/>
              </w:rPr>
              <w:t>93.1</w:t>
            </w:r>
          </w:p>
        </w:tc>
      </w:tr>
      <w:tr w:rsidR="00443EC1" w:rsidTr="00443EC1">
        <w:tblPrEx>
          <w:tblCellMar>
            <w:top w:w="0" w:type="dxa"/>
            <w:bottom w:w="0" w:type="dxa"/>
          </w:tblCellMar>
        </w:tblPrEx>
        <w:trPr>
          <w:jc w:val="center"/>
        </w:trPr>
        <w:tc>
          <w:tcPr>
            <w:tcW w:w="685" w:type="dxa"/>
            <w:tcBorders>
              <w:top w:val="nil"/>
              <w:bottom w:val="nil"/>
            </w:tcBorders>
          </w:tcPr>
          <w:p w:rsidR="00443EC1" w:rsidRDefault="00443EC1">
            <w:pPr>
              <w:spacing w:before="0" w:after="0" w:line="260" w:lineRule="exact"/>
              <w:jc w:val="center"/>
              <w:rPr>
                <w:rFonts w:hint="cs"/>
                <w:sz w:val="20"/>
                <w:szCs w:val="20"/>
              </w:rPr>
            </w:pPr>
            <w:r>
              <w:rPr>
                <w:rFonts w:hint="cs"/>
                <w:sz w:val="20"/>
                <w:szCs w:val="20"/>
                <w:rtl/>
              </w:rPr>
              <w:t>1993</w:t>
            </w:r>
          </w:p>
        </w:tc>
        <w:tc>
          <w:tcPr>
            <w:tcW w:w="1217" w:type="dxa"/>
            <w:tcBorders>
              <w:top w:val="nil"/>
              <w:bottom w:val="nil"/>
            </w:tcBorders>
          </w:tcPr>
          <w:p w:rsidR="00443EC1" w:rsidRDefault="00443EC1">
            <w:pPr>
              <w:spacing w:before="0" w:after="0" w:line="260" w:lineRule="exact"/>
              <w:ind w:left="130"/>
              <w:jc w:val="both"/>
              <w:rPr>
                <w:rFonts w:hint="cs"/>
                <w:sz w:val="20"/>
                <w:szCs w:val="20"/>
              </w:rPr>
            </w:pPr>
            <w:r>
              <w:rPr>
                <w:rFonts w:hint="cs"/>
                <w:sz w:val="20"/>
                <w:szCs w:val="20"/>
                <w:rtl/>
              </w:rPr>
              <w:t>463.44 3</w:t>
            </w:r>
          </w:p>
        </w:tc>
        <w:tc>
          <w:tcPr>
            <w:tcW w:w="1260" w:type="dxa"/>
            <w:tcBorders>
              <w:top w:val="nil"/>
              <w:bottom w:val="nil"/>
            </w:tcBorders>
          </w:tcPr>
          <w:p w:rsidR="00443EC1" w:rsidRDefault="00443EC1">
            <w:pPr>
              <w:tabs>
                <w:tab w:val="decimal" w:pos="327"/>
              </w:tabs>
              <w:spacing w:before="0" w:after="0" w:line="260" w:lineRule="exact"/>
              <w:jc w:val="both"/>
              <w:rPr>
                <w:rFonts w:hint="cs"/>
                <w:sz w:val="20"/>
                <w:szCs w:val="20"/>
              </w:rPr>
            </w:pPr>
            <w:r>
              <w:rPr>
                <w:rFonts w:hint="cs"/>
                <w:sz w:val="20"/>
                <w:szCs w:val="20"/>
                <w:rtl/>
              </w:rPr>
              <w:t>445.29 1</w:t>
            </w:r>
          </w:p>
        </w:tc>
        <w:tc>
          <w:tcPr>
            <w:tcW w:w="1090" w:type="dxa"/>
            <w:tcBorders>
              <w:top w:val="nil"/>
              <w:bottom w:val="nil"/>
            </w:tcBorders>
          </w:tcPr>
          <w:p w:rsidR="00443EC1" w:rsidRDefault="00443EC1">
            <w:pPr>
              <w:tabs>
                <w:tab w:val="decimal" w:pos="383"/>
              </w:tabs>
              <w:spacing w:before="0" w:after="0" w:line="260" w:lineRule="exact"/>
              <w:jc w:val="both"/>
              <w:rPr>
                <w:rFonts w:hint="cs"/>
                <w:sz w:val="20"/>
                <w:szCs w:val="20"/>
              </w:rPr>
            </w:pPr>
            <w:r>
              <w:rPr>
                <w:rFonts w:hint="cs"/>
                <w:sz w:val="20"/>
                <w:szCs w:val="20"/>
                <w:rtl/>
              </w:rPr>
              <w:t>13.5</w:t>
            </w:r>
          </w:p>
        </w:tc>
        <w:tc>
          <w:tcPr>
            <w:tcW w:w="1063" w:type="dxa"/>
            <w:tcBorders>
              <w:top w:val="nil"/>
              <w:bottom w:val="nil"/>
            </w:tcBorders>
          </w:tcPr>
          <w:p w:rsidR="00443EC1" w:rsidRDefault="00443EC1">
            <w:pPr>
              <w:tabs>
                <w:tab w:val="decimal" w:pos="398"/>
              </w:tabs>
              <w:spacing w:before="0" w:after="0" w:line="260" w:lineRule="exact"/>
              <w:jc w:val="both"/>
              <w:rPr>
                <w:rFonts w:hint="cs"/>
                <w:sz w:val="20"/>
                <w:szCs w:val="20"/>
              </w:rPr>
            </w:pPr>
            <w:r>
              <w:rPr>
                <w:rFonts w:hint="cs"/>
                <w:sz w:val="20"/>
                <w:szCs w:val="20"/>
                <w:rtl/>
              </w:rPr>
              <w:t>137.04</w:t>
            </w:r>
          </w:p>
        </w:tc>
        <w:tc>
          <w:tcPr>
            <w:tcW w:w="1267" w:type="dxa"/>
            <w:tcBorders>
              <w:top w:val="nil"/>
              <w:bottom w:val="nil"/>
            </w:tcBorders>
          </w:tcPr>
          <w:p w:rsidR="00443EC1" w:rsidRDefault="00443EC1">
            <w:pPr>
              <w:tabs>
                <w:tab w:val="decimal" w:pos="469"/>
              </w:tabs>
              <w:spacing w:before="0" w:after="0" w:line="260" w:lineRule="exact"/>
              <w:jc w:val="both"/>
              <w:rPr>
                <w:rFonts w:hint="cs"/>
                <w:sz w:val="20"/>
                <w:szCs w:val="20"/>
              </w:rPr>
            </w:pPr>
            <w:r>
              <w:rPr>
                <w:rFonts w:hint="cs"/>
                <w:sz w:val="20"/>
                <w:szCs w:val="20"/>
                <w:rtl/>
              </w:rPr>
              <w:t>57.19</w:t>
            </w:r>
          </w:p>
        </w:tc>
        <w:tc>
          <w:tcPr>
            <w:tcW w:w="1080" w:type="dxa"/>
            <w:tcBorders>
              <w:top w:val="nil"/>
              <w:bottom w:val="nil"/>
            </w:tcBorders>
          </w:tcPr>
          <w:p w:rsidR="00443EC1" w:rsidRDefault="00443EC1">
            <w:pPr>
              <w:tabs>
                <w:tab w:val="decimal" w:pos="378"/>
              </w:tabs>
              <w:spacing w:before="0" w:after="0" w:line="260" w:lineRule="exact"/>
              <w:jc w:val="both"/>
              <w:rPr>
                <w:rFonts w:hint="cs"/>
                <w:sz w:val="20"/>
                <w:szCs w:val="20"/>
              </w:rPr>
            </w:pPr>
            <w:r>
              <w:rPr>
                <w:rFonts w:hint="cs"/>
                <w:sz w:val="20"/>
                <w:szCs w:val="20"/>
                <w:rtl/>
              </w:rPr>
              <w:t>9.7</w:t>
            </w:r>
          </w:p>
        </w:tc>
        <w:tc>
          <w:tcPr>
            <w:tcW w:w="844" w:type="dxa"/>
            <w:tcBorders>
              <w:top w:val="nil"/>
              <w:bottom w:val="nil"/>
            </w:tcBorders>
          </w:tcPr>
          <w:p w:rsidR="00443EC1" w:rsidRDefault="00443EC1">
            <w:pPr>
              <w:tabs>
                <w:tab w:val="decimal" w:pos="320"/>
              </w:tabs>
              <w:spacing w:before="0" w:after="0" w:line="260" w:lineRule="exact"/>
              <w:jc w:val="both"/>
              <w:rPr>
                <w:rFonts w:hint="cs"/>
                <w:sz w:val="20"/>
                <w:szCs w:val="20"/>
              </w:rPr>
            </w:pPr>
            <w:r>
              <w:rPr>
                <w:rFonts w:hint="cs"/>
                <w:sz w:val="20"/>
                <w:szCs w:val="20"/>
                <w:rtl/>
              </w:rPr>
              <w:t>4.0</w:t>
            </w:r>
          </w:p>
        </w:tc>
        <w:tc>
          <w:tcPr>
            <w:tcW w:w="1064" w:type="dxa"/>
            <w:tcBorders>
              <w:top w:val="nil"/>
              <w:bottom w:val="nil"/>
            </w:tcBorders>
          </w:tcPr>
          <w:p w:rsidR="00443EC1" w:rsidRDefault="00443EC1">
            <w:pPr>
              <w:tabs>
                <w:tab w:val="decimal" w:pos="386"/>
              </w:tabs>
              <w:spacing w:before="0" w:after="0" w:line="260" w:lineRule="exact"/>
              <w:jc w:val="both"/>
              <w:rPr>
                <w:rFonts w:hint="cs"/>
                <w:sz w:val="20"/>
                <w:szCs w:val="20"/>
              </w:rPr>
            </w:pPr>
            <w:r>
              <w:rPr>
                <w:rFonts w:hint="cs"/>
                <w:sz w:val="20"/>
                <w:szCs w:val="20"/>
                <w:rtl/>
              </w:rPr>
              <w:t>11.56</w:t>
            </w:r>
          </w:p>
        </w:tc>
      </w:tr>
      <w:tr w:rsidR="00443EC1" w:rsidTr="00443EC1">
        <w:tblPrEx>
          <w:tblCellMar>
            <w:top w:w="0" w:type="dxa"/>
            <w:bottom w:w="0" w:type="dxa"/>
          </w:tblCellMar>
        </w:tblPrEx>
        <w:trPr>
          <w:jc w:val="center"/>
        </w:trPr>
        <w:tc>
          <w:tcPr>
            <w:tcW w:w="685" w:type="dxa"/>
            <w:tcBorders>
              <w:top w:val="nil"/>
              <w:bottom w:val="nil"/>
            </w:tcBorders>
          </w:tcPr>
          <w:p w:rsidR="00443EC1" w:rsidRDefault="00443EC1">
            <w:pPr>
              <w:spacing w:before="0" w:after="0" w:line="260" w:lineRule="exact"/>
              <w:jc w:val="center"/>
              <w:rPr>
                <w:rFonts w:hint="cs"/>
                <w:sz w:val="20"/>
                <w:szCs w:val="20"/>
              </w:rPr>
            </w:pPr>
            <w:r>
              <w:rPr>
                <w:rFonts w:hint="cs"/>
                <w:sz w:val="20"/>
                <w:szCs w:val="20"/>
                <w:rtl/>
              </w:rPr>
              <w:t>1994</w:t>
            </w:r>
          </w:p>
        </w:tc>
        <w:tc>
          <w:tcPr>
            <w:tcW w:w="1217" w:type="dxa"/>
            <w:tcBorders>
              <w:top w:val="nil"/>
              <w:bottom w:val="nil"/>
            </w:tcBorders>
          </w:tcPr>
          <w:p w:rsidR="00443EC1" w:rsidRDefault="00443EC1">
            <w:pPr>
              <w:spacing w:before="0" w:after="0" w:line="260" w:lineRule="exact"/>
              <w:ind w:left="130"/>
              <w:jc w:val="both"/>
              <w:rPr>
                <w:rFonts w:hint="cs"/>
                <w:sz w:val="20"/>
                <w:szCs w:val="20"/>
              </w:rPr>
            </w:pPr>
            <w:r>
              <w:rPr>
                <w:rFonts w:hint="cs"/>
                <w:sz w:val="20"/>
                <w:szCs w:val="20"/>
                <w:rtl/>
              </w:rPr>
              <w:t>675.94 4</w:t>
            </w:r>
          </w:p>
        </w:tc>
        <w:tc>
          <w:tcPr>
            <w:tcW w:w="1260" w:type="dxa"/>
            <w:tcBorders>
              <w:top w:val="nil"/>
              <w:bottom w:val="nil"/>
            </w:tcBorders>
          </w:tcPr>
          <w:p w:rsidR="00443EC1" w:rsidRDefault="00443EC1">
            <w:pPr>
              <w:tabs>
                <w:tab w:val="decimal" w:pos="327"/>
              </w:tabs>
              <w:spacing w:before="0" w:after="0" w:line="260" w:lineRule="exact"/>
              <w:jc w:val="both"/>
              <w:rPr>
                <w:rFonts w:hint="cs"/>
                <w:sz w:val="20"/>
                <w:szCs w:val="20"/>
              </w:rPr>
            </w:pPr>
            <w:r>
              <w:rPr>
                <w:rFonts w:hint="cs"/>
                <w:sz w:val="20"/>
                <w:szCs w:val="20"/>
                <w:rtl/>
              </w:rPr>
              <w:t>628.31 1</w:t>
            </w:r>
          </w:p>
        </w:tc>
        <w:tc>
          <w:tcPr>
            <w:tcW w:w="1090" w:type="dxa"/>
            <w:tcBorders>
              <w:top w:val="nil"/>
              <w:bottom w:val="nil"/>
            </w:tcBorders>
          </w:tcPr>
          <w:p w:rsidR="00443EC1" w:rsidRDefault="00443EC1">
            <w:pPr>
              <w:tabs>
                <w:tab w:val="decimal" w:pos="383"/>
              </w:tabs>
              <w:spacing w:before="0" w:after="0" w:line="260" w:lineRule="exact"/>
              <w:jc w:val="both"/>
              <w:rPr>
                <w:rFonts w:hint="cs"/>
                <w:sz w:val="20"/>
                <w:szCs w:val="20"/>
              </w:rPr>
            </w:pPr>
            <w:r>
              <w:rPr>
                <w:rFonts w:hint="cs"/>
                <w:sz w:val="20"/>
                <w:szCs w:val="20"/>
                <w:rtl/>
              </w:rPr>
              <w:t>12.7</w:t>
            </w:r>
          </w:p>
        </w:tc>
        <w:tc>
          <w:tcPr>
            <w:tcW w:w="1063" w:type="dxa"/>
            <w:tcBorders>
              <w:top w:val="nil"/>
              <w:bottom w:val="nil"/>
            </w:tcBorders>
          </w:tcPr>
          <w:p w:rsidR="00443EC1" w:rsidRDefault="00443EC1">
            <w:pPr>
              <w:tabs>
                <w:tab w:val="decimal" w:pos="398"/>
              </w:tabs>
              <w:spacing w:before="0" w:after="0" w:line="260" w:lineRule="exact"/>
              <w:jc w:val="both"/>
              <w:rPr>
                <w:rFonts w:hint="cs"/>
                <w:sz w:val="20"/>
                <w:szCs w:val="20"/>
              </w:rPr>
            </w:pPr>
            <w:r>
              <w:rPr>
                <w:rFonts w:hint="cs"/>
                <w:sz w:val="20"/>
                <w:szCs w:val="20"/>
                <w:rtl/>
              </w:rPr>
              <w:t>176.86</w:t>
            </w:r>
          </w:p>
        </w:tc>
        <w:tc>
          <w:tcPr>
            <w:tcW w:w="1267" w:type="dxa"/>
            <w:tcBorders>
              <w:top w:val="nil"/>
              <w:bottom w:val="nil"/>
            </w:tcBorders>
          </w:tcPr>
          <w:p w:rsidR="00443EC1" w:rsidRDefault="00443EC1">
            <w:pPr>
              <w:tabs>
                <w:tab w:val="decimal" w:pos="469"/>
              </w:tabs>
              <w:spacing w:before="0" w:after="0" w:line="260" w:lineRule="exact"/>
              <w:jc w:val="both"/>
              <w:rPr>
                <w:rFonts w:hint="cs"/>
                <w:sz w:val="20"/>
                <w:szCs w:val="20"/>
              </w:rPr>
            </w:pPr>
            <w:r>
              <w:rPr>
                <w:rFonts w:hint="cs"/>
                <w:sz w:val="20"/>
                <w:szCs w:val="20"/>
                <w:rtl/>
              </w:rPr>
              <w:t>61.59</w:t>
            </w:r>
          </w:p>
        </w:tc>
        <w:tc>
          <w:tcPr>
            <w:tcW w:w="1080" w:type="dxa"/>
            <w:tcBorders>
              <w:top w:val="nil"/>
              <w:bottom w:val="nil"/>
            </w:tcBorders>
          </w:tcPr>
          <w:p w:rsidR="00443EC1" w:rsidRDefault="00443EC1">
            <w:pPr>
              <w:tabs>
                <w:tab w:val="decimal" w:pos="378"/>
              </w:tabs>
              <w:spacing w:before="0" w:after="0" w:line="260" w:lineRule="exact"/>
              <w:jc w:val="both"/>
              <w:rPr>
                <w:rFonts w:hint="cs"/>
                <w:sz w:val="20"/>
                <w:szCs w:val="20"/>
              </w:rPr>
            </w:pPr>
            <w:r>
              <w:rPr>
                <w:rFonts w:hint="cs"/>
                <w:sz w:val="20"/>
                <w:szCs w:val="20"/>
                <w:rtl/>
              </w:rPr>
              <w:t>7.7</w:t>
            </w:r>
          </w:p>
        </w:tc>
        <w:tc>
          <w:tcPr>
            <w:tcW w:w="844" w:type="dxa"/>
            <w:tcBorders>
              <w:top w:val="nil"/>
              <w:bottom w:val="nil"/>
            </w:tcBorders>
          </w:tcPr>
          <w:p w:rsidR="00443EC1" w:rsidRDefault="00443EC1">
            <w:pPr>
              <w:tabs>
                <w:tab w:val="decimal" w:pos="320"/>
              </w:tabs>
              <w:spacing w:before="0" w:after="0" w:line="260" w:lineRule="exact"/>
              <w:jc w:val="both"/>
              <w:rPr>
                <w:rFonts w:hint="cs"/>
                <w:sz w:val="20"/>
                <w:szCs w:val="20"/>
              </w:rPr>
            </w:pPr>
            <w:r>
              <w:rPr>
                <w:rFonts w:hint="cs"/>
                <w:sz w:val="20"/>
                <w:szCs w:val="20"/>
                <w:rtl/>
              </w:rPr>
              <w:t>3.8</w:t>
            </w:r>
          </w:p>
        </w:tc>
        <w:tc>
          <w:tcPr>
            <w:tcW w:w="1064" w:type="dxa"/>
            <w:tcBorders>
              <w:top w:val="nil"/>
              <w:bottom w:val="nil"/>
            </w:tcBorders>
          </w:tcPr>
          <w:p w:rsidR="00443EC1" w:rsidRDefault="00443EC1">
            <w:pPr>
              <w:tabs>
                <w:tab w:val="decimal" w:pos="386"/>
              </w:tabs>
              <w:spacing w:before="0" w:after="0" w:line="260" w:lineRule="exact"/>
              <w:jc w:val="both"/>
              <w:rPr>
                <w:rFonts w:hint="cs"/>
                <w:sz w:val="20"/>
                <w:szCs w:val="20"/>
              </w:rPr>
            </w:pPr>
            <w:r>
              <w:rPr>
                <w:rFonts w:hint="cs"/>
                <w:sz w:val="20"/>
                <w:szCs w:val="20"/>
                <w:rtl/>
              </w:rPr>
              <w:t>14.76</w:t>
            </w:r>
          </w:p>
        </w:tc>
      </w:tr>
      <w:tr w:rsidR="00443EC1" w:rsidTr="00443EC1">
        <w:tblPrEx>
          <w:tblCellMar>
            <w:top w:w="0" w:type="dxa"/>
            <w:bottom w:w="0" w:type="dxa"/>
          </w:tblCellMar>
        </w:tblPrEx>
        <w:trPr>
          <w:jc w:val="center"/>
        </w:trPr>
        <w:tc>
          <w:tcPr>
            <w:tcW w:w="685" w:type="dxa"/>
            <w:tcBorders>
              <w:top w:val="nil"/>
              <w:bottom w:val="nil"/>
            </w:tcBorders>
          </w:tcPr>
          <w:p w:rsidR="00443EC1" w:rsidRDefault="00443EC1">
            <w:pPr>
              <w:spacing w:before="0" w:after="0" w:line="260" w:lineRule="exact"/>
              <w:jc w:val="center"/>
              <w:rPr>
                <w:rFonts w:hint="cs"/>
                <w:sz w:val="20"/>
                <w:szCs w:val="20"/>
              </w:rPr>
            </w:pPr>
            <w:r>
              <w:rPr>
                <w:rFonts w:hint="cs"/>
                <w:sz w:val="20"/>
                <w:szCs w:val="20"/>
                <w:rtl/>
              </w:rPr>
              <w:t>1995</w:t>
            </w:r>
          </w:p>
        </w:tc>
        <w:tc>
          <w:tcPr>
            <w:tcW w:w="1217" w:type="dxa"/>
            <w:tcBorders>
              <w:top w:val="nil"/>
              <w:bottom w:val="nil"/>
            </w:tcBorders>
          </w:tcPr>
          <w:p w:rsidR="00443EC1" w:rsidRDefault="00443EC1">
            <w:pPr>
              <w:spacing w:before="0" w:after="0" w:line="260" w:lineRule="exact"/>
              <w:ind w:left="130"/>
              <w:jc w:val="both"/>
              <w:rPr>
                <w:rFonts w:hint="cs"/>
                <w:sz w:val="20"/>
                <w:szCs w:val="20"/>
              </w:rPr>
            </w:pPr>
            <w:r>
              <w:rPr>
                <w:rFonts w:hint="cs"/>
                <w:sz w:val="20"/>
                <w:szCs w:val="20"/>
                <w:rtl/>
              </w:rPr>
              <w:t>847.81 5</w:t>
            </w:r>
          </w:p>
        </w:tc>
        <w:tc>
          <w:tcPr>
            <w:tcW w:w="1260" w:type="dxa"/>
            <w:tcBorders>
              <w:top w:val="nil"/>
              <w:bottom w:val="nil"/>
            </w:tcBorders>
          </w:tcPr>
          <w:p w:rsidR="00443EC1" w:rsidRDefault="00443EC1">
            <w:pPr>
              <w:tabs>
                <w:tab w:val="decimal" w:pos="327"/>
              </w:tabs>
              <w:spacing w:before="0" w:after="0" w:line="260" w:lineRule="exact"/>
              <w:jc w:val="both"/>
              <w:rPr>
                <w:rFonts w:hint="cs"/>
                <w:sz w:val="20"/>
                <w:szCs w:val="20"/>
              </w:rPr>
            </w:pPr>
            <w:r>
              <w:rPr>
                <w:rFonts w:hint="cs"/>
                <w:sz w:val="20"/>
                <w:szCs w:val="20"/>
                <w:rtl/>
              </w:rPr>
              <w:t>799.37 1</w:t>
            </w:r>
          </w:p>
        </w:tc>
        <w:tc>
          <w:tcPr>
            <w:tcW w:w="1090" w:type="dxa"/>
            <w:tcBorders>
              <w:top w:val="nil"/>
              <w:bottom w:val="nil"/>
            </w:tcBorders>
          </w:tcPr>
          <w:p w:rsidR="00443EC1" w:rsidRDefault="00443EC1">
            <w:pPr>
              <w:tabs>
                <w:tab w:val="decimal" w:pos="383"/>
              </w:tabs>
              <w:spacing w:before="0" w:after="0" w:line="260" w:lineRule="exact"/>
              <w:jc w:val="both"/>
              <w:rPr>
                <w:rFonts w:hint="cs"/>
                <w:sz w:val="20"/>
                <w:szCs w:val="20"/>
              </w:rPr>
            </w:pPr>
            <w:r>
              <w:rPr>
                <w:rFonts w:hint="cs"/>
                <w:sz w:val="20"/>
                <w:szCs w:val="20"/>
                <w:rtl/>
              </w:rPr>
              <w:t>10.5</w:t>
            </w:r>
          </w:p>
        </w:tc>
        <w:tc>
          <w:tcPr>
            <w:tcW w:w="1063" w:type="dxa"/>
            <w:tcBorders>
              <w:top w:val="nil"/>
              <w:bottom w:val="nil"/>
            </w:tcBorders>
          </w:tcPr>
          <w:p w:rsidR="00443EC1" w:rsidRDefault="00443EC1">
            <w:pPr>
              <w:tabs>
                <w:tab w:val="decimal" w:pos="398"/>
              </w:tabs>
              <w:spacing w:before="0" w:after="0" w:line="260" w:lineRule="exact"/>
              <w:jc w:val="both"/>
              <w:rPr>
                <w:rFonts w:hint="cs"/>
                <w:sz w:val="20"/>
                <w:szCs w:val="20"/>
              </w:rPr>
            </w:pPr>
            <w:r>
              <w:rPr>
                <w:rFonts w:hint="cs"/>
                <w:sz w:val="20"/>
                <w:szCs w:val="20"/>
                <w:rtl/>
              </w:rPr>
              <w:t>225.78</w:t>
            </w:r>
          </w:p>
        </w:tc>
        <w:tc>
          <w:tcPr>
            <w:tcW w:w="1267" w:type="dxa"/>
            <w:tcBorders>
              <w:top w:val="nil"/>
              <w:bottom w:val="nil"/>
            </w:tcBorders>
          </w:tcPr>
          <w:p w:rsidR="00443EC1" w:rsidRDefault="00443EC1">
            <w:pPr>
              <w:tabs>
                <w:tab w:val="decimal" w:pos="469"/>
              </w:tabs>
              <w:spacing w:before="0" w:after="0" w:line="260" w:lineRule="exact"/>
              <w:jc w:val="both"/>
              <w:rPr>
                <w:rFonts w:hint="cs"/>
                <w:sz w:val="20"/>
                <w:szCs w:val="20"/>
              </w:rPr>
            </w:pPr>
            <w:r>
              <w:rPr>
                <w:rFonts w:hint="cs"/>
                <w:sz w:val="20"/>
                <w:szCs w:val="20"/>
                <w:rtl/>
              </w:rPr>
              <w:t>69.47</w:t>
            </w:r>
          </w:p>
        </w:tc>
        <w:tc>
          <w:tcPr>
            <w:tcW w:w="1080" w:type="dxa"/>
            <w:tcBorders>
              <w:top w:val="nil"/>
              <w:bottom w:val="nil"/>
            </w:tcBorders>
          </w:tcPr>
          <w:p w:rsidR="00443EC1" w:rsidRDefault="00443EC1">
            <w:pPr>
              <w:tabs>
                <w:tab w:val="decimal" w:pos="378"/>
              </w:tabs>
              <w:spacing w:before="0" w:after="0" w:line="260" w:lineRule="exact"/>
              <w:jc w:val="both"/>
              <w:rPr>
                <w:rFonts w:hint="cs"/>
                <w:sz w:val="20"/>
                <w:szCs w:val="20"/>
              </w:rPr>
            </w:pPr>
            <w:r>
              <w:rPr>
                <w:rFonts w:hint="cs"/>
                <w:sz w:val="20"/>
                <w:szCs w:val="20"/>
                <w:rtl/>
              </w:rPr>
              <w:t>12.8</w:t>
            </w:r>
          </w:p>
        </w:tc>
        <w:tc>
          <w:tcPr>
            <w:tcW w:w="844" w:type="dxa"/>
            <w:tcBorders>
              <w:top w:val="nil"/>
              <w:bottom w:val="nil"/>
            </w:tcBorders>
          </w:tcPr>
          <w:p w:rsidR="00443EC1" w:rsidRDefault="00443EC1">
            <w:pPr>
              <w:tabs>
                <w:tab w:val="decimal" w:pos="320"/>
              </w:tabs>
              <w:spacing w:before="0" w:after="0" w:line="260" w:lineRule="exact"/>
              <w:jc w:val="both"/>
              <w:rPr>
                <w:rFonts w:hint="cs"/>
                <w:sz w:val="20"/>
                <w:szCs w:val="20"/>
              </w:rPr>
            </w:pPr>
            <w:r>
              <w:rPr>
                <w:rFonts w:hint="cs"/>
                <w:sz w:val="20"/>
                <w:szCs w:val="20"/>
                <w:rtl/>
              </w:rPr>
              <w:t>3.9</w:t>
            </w:r>
          </w:p>
        </w:tc>
        <w:tc>
          <w:tcPr>
            <w:tcW w:w="1064" w:type="dxa"/>
            <w:tcBorders>
              <w:top w:val="nil"/>
              <w:bottom w:val="nil"/>
            </w:tcBorders>
          </w:tcPr>
          <w:p w:rsidR="00443EC1" w:rsidRDefault="00443EC1">
            <w:pPr>
              <w:tabs>
                <w:tab w:val="decimal" w:pos="386"/>
              </w:tabs>
              <w:spacing w:before="0" w:after="0" w:line="260" w:lineRule="exact"/>
              <w:jc w:val="both"/>
              <w:rPr>
                <w:rFonts w:hint="cs"/>
                <w:sz w:val="20"/>
                <w:szCs w:val="20"/>
              </w:rPr>
            </w:pPr>
            <w:r>
              <w:rPr>
                <w:rFonts w:hint="cs"/>
                <w:sz w:val="20"/>
                <w:szCs w:val="20"/>
                <w:rtl/>
              </w:rPr>
              <w:t>186.4</w:t>
            </w:r>
          </w:p>
        </w:tc>
      </w:tr>
      <w:tr w:rsidR="00443EC1" w:rsidTr="00443EC1">
        <w:tblPrEx>
          <w:tblCellMar>
            <w:top w:w="0" w:type="dxa"/>
            <w:bottom w:w="0" w:type="dxa"/>
          </w:tblCellMar>
        </w:tblPrEx>
        <w:trPr>
          <w:jc w:val="center"/>
        </w:trPr>
        <w:tc>
          <w:tcPr>
            <w:tcW w:w="685" w:type="dxa"/>
            <w:tcBorders>
              <w:top w:val="nil"/>
              <w:bottom w:val="nil"/>
            </w:tcBorders>
          </w:tcPr>
          <w:p w:rsidR="00443EC1" w:rsidRDefault="00443EC1">
            <w:pPr>
              <w:spacing w:before="0" w:after="0" w:line="260" w:lineRule="exact"/>
              <w:jc w:val="center"/>
              <w:rPr>
                <w:rFonts w:hint="cs"/>
                <w:sz w:val="20"/>
                <w:szCs w:val="20"/>
              </w:rPr>
            </w:pPr>
            <w:r>
              <w:rPr>
                <w:rFonts w:hint="cs"/>
                <w:sz w:val="20"/>
                <w:szCs w:val="20"/>
                <w:rtl/>
              </w:rPr>
              <w:t>1996</w:t>
            </w:r>
          </w:p>
        </w:tc>
        <w:tc>
          <w:tcPr>
            <w:tcW w:w="1217" w:type="dxa"/>
            <w:tcBorders>
              <w:top w:val="nil"/>
              <w:bottom w:val="nil"/>
            </w:tcBorders>
          </w:tcPr>
          <w:p w:rsidR="00443EC1" w:rsidRDefault="00443EC1">
            <w:pPr>
              <w:spacing w:before="0" w:after="0" w:line="260" w:lineRule="exact"/>
              <w:ind w:left="130"/>
              <w:jc w:val="both"/>
              <w:rPr>
                <w:rFonts w:hint="cs"/>
                <w:sz w:val="20"/>
                <w:szCs w:val="20"/>
              </w:rPr>
            </w:pPr>
            <w:r>
              <w:rPr>
                <w:rFonts w:hint="cs"/>
                <w:sz w:val="20"/>
                <w:szCs w:val="20"/>
                <w:rtl/>
              </w:rPr>
              <w:t>788.46 6</w:t>
            </w:r>
          </w:p>
        </w:tc>
        <w:tc>
          <w:tcPr>
            <w:tcW w:w="1260" w:type="dxa"/>
            <w:tcBorders>
              <w:top w:val="nil"/>
              <w:bottom w:val="nil"/>
            </w:tcBorders>
          </w:tcPr>
          <w:p w:rsidR="00443EC1" w:rsidRDefault="00443EC1">
            <w:pPr>
              <w:tabs>
                <w:tab w:val="decimal" w:pos="327"/>
              </w:tabs>
              <w:spacing w:before="0" w:after="0" w:line="260" w:lineRule="exact"/>
              <w:jc w:val="both"/>
              <w:rPr>
                <w:rFonts w:hint="cs"/>
                <w:sz w:val="20"/>
                <w:szCs w:val="20"/>
              </w:rPr>
            </w:pPr>
            <w:r>
              <w:rPr>
                <w:rFonts w:hint="cs"/>
                <w:sz w:val="20"/>
                <w:szCs w:val="20"/>
                <w:rtl/>
              </w:rPr>
              <w:t>971.87 1</w:t>
            </w:r>
          </w:p>
        </w:tc>
        <w:tc>
          <w:tcPr>
            <w:tcW w:w="1090" w:type="dxa"/>
            <w:tcBorders>
              <w:top w:val="nil"/>
              <w:bottom w:val="nil"/>
            </w:tcBorders>
          </w:tcPr>
          <w:p w:rsidR="00443EC1" w:rsidRDefault="00443EC1">
            <w:pPr>
              <w:tabs>
                <w:tab w:val="decimal" w:pos="383"/>
              </w:tabs>
              <w:spacing w:before="0" w:after="0" w:line="260" w:lineRule="exact"/>
              <w:jc w:val="both"/>
              <w:rPr>
                <w:rFonts w:hint="cs"/>
                <w:sz w:val="20"/>
                <w:szCs w:val="20"/>
              </w:rPr>
            </w:pPr>
            <w:r>
              <w:rPr>
                <w:rFonts w:hint="cs"/>
                <w:sz w:val="20"/>
                <w:szCs w:val="20"/>
                <w:rtl/>
              </w:rPr>
              <w:t>9.6</w:t>
            </w:r>
          </w:p>
        </w:tc>
        <w:tc>
          <w:tcPr>
            <w:tcW w:w="1063" w:type="dxa"/>
            <w:tcBorders>
              <w:top w:val="nil"/>
              <w:bottom w:val="nil"/>
            </w:tcBorders>
          </w:tcPr>
          <w:p w:rsidR="00443EC1" w:rsidRDefault="00443EC1">
            <w:pPr>
              <w:tabs>
                <w:tab w:val="decimal" w:pos="398"/>
              </w:tabs>
              <w:spacing w:before="0" w:after="0" w:line="260" w:lineRule="exact"/>
              <w:jc w:val="both"/>
              <w:rPr>
                <w:rFonts w:hint="cs"/>
                <w:sz w:val="20"/>
                <w:szCs w:val="20"/>
              </w:rPr>
            </w:pPr>
            <w:r>
              <w:rPr>
                <w:rFonts w:hint="cs"/>
                <w:sz w:val="20"/>
                <w:szCs w:val="20"/>
                <w:rtl/>
              </w:rPr>
              <w:t>285.72</w:t>
            </w:r>
          </w:p>
        </w:tc>
        <w:tc>
          <w:tcPr>
            <w:tcW w:w="1267" w:type="dxa"/>
            <w:tcBorders>
              <w:top w:val="nil"/>
              <w:bottom w:val="nil"/>
            </w:tcBorders>
          </w:tcPr>
          <w:p w:rsidR="00443EC1" w:rsidRDefault="00443EC1">
            <w:pPr>
              <w:tabs>
                <w:tab w:val="decimal" w:pos="469"/>
              </w:tabs>
              <w:spacing w:before="0" w:after="0" w:line="260" w:lineRule="exact"/>
              <w:jc w:val="both"/>
              <w:rPr>
                <w:rFonts w:hint="cs"/>
                <w:sz w:val="20"/>
                <w:szCs w:val="20"/>
              </w:rPr>
            </w:pPr>
            <w:r>
              <w:rPr>
                <w:rFonts w:hint="cs"/>
                <w:sz w:val="20"/>
                <w:szCs w:val="20"/>
                <w:rtl/>
              </w:rPr>
              <w:t>83.00</w:t>
            </w:r>
          </w:p>
        </w:tc>
        <w:tc>
          <w:tcPr>
            <w:tcW w:w="1080" w:type="dxa"/>
            <w:tcBorders>
              <w:top w:val="nil"/>
              <w:bottom w:val="nil"/>
            </w:tcBorders>
          </w:tcPr>
          <w:p w:rsidR="00443EC1" w:rsidRDefault="00443EC1">
            <w:pPr>
              <w:tabs>
                <w:tab w:val="decimal" w:pos="378"/>
              </w:tabs>
              <w:spacing w:before="0" w:after="0" w:line="260" w:lineRule="exact"/>
              <w:jc w:val="both"/>
              <w:rPr>
                <w:rFonts w:hint="cs"/>
                <w:sz w:val="20"/>
                <w:szCs w:val="20"/>
              </w:rPr>
            </w:pPr>
            <w:r>
              <w:rPr>
                <w:rFonts w:hint="cs"/>
                <w:sz w:val="20"/>
                <w:szCs w:val="20"/>
                <w:rtl/>
              </w:rPr>
              <w:t>19.5</w:t>
            </w:r>
          </w:p>
        </w:tc>
        <w:tc>
          <w:tcPr>
            <w:tcW w:w="844" w:type="dxa"/>
            <w:tcBorders>
              <w:top w:val="nil"/>
              <w:bottom w:val="nil"/>
            </w:tcBorders>
          </w:tcPr>
          <w:p w:rsidR="00443EC1" w:rsidRDefault="00443EC1">
            <w:pPr>
              <w:tabs>
                <w:tab w:val="decimal" w:pos="320"/>
              </w:tabs>
              <w:spacing w:before="0" w:after="0" w:line="260" w:lineRule="exact"/>
              <w:jc w:val="both"/>
              <w:rPr>
                <w:rFonts w:hint="cs"/>
                <w:sz w:val="20"/>
                <w:szCs w:val="20"/>
              </w:rPr>
            </w:pPr>
            <w:r>
              <w:rPr>
                <w:rFonts w:hint="cs"/>
                <w:sz w:val="20"/>
                <w:szCs w:val="20"/>
                <w:rtl/>
              </w:rPr>
              <w:t>4.2</w:t>
            </w:r>
          </w:p>
        </w:tc>
        <w:tc>
          <w:tcPr>
            <w:tcW w:w="1064" w:type="dxa"/>
            <w:tcBorders>
              <w:top w:val="nil"/>
              <w:bottom w:val="nil"/>
            </w:tcBorders>
          </w:tcPr>
          <w:p w:rsidR="00443EC1" w:rsidRDefault="00443EC1">
            <w:pPr>
              <w:tabs>
                <w:tab w:val="decimal" w:pos="386"/>
              </w:tabs>
              <w:spacing w:before="0" w:after="0" w:line="260" w:lineRule="exact"/>
              <w:jc w:val="both"/>
              <w:rPr>
                <w:rFonts w:hint="cs"/>
                <w:sz w:val="20"/>
                <w:szCs w:val="20"/>
              </w:rPr>
            </w:pPr>
            <w:r>
              <w:rPr>
                <w:rFonts w:hint="cs"/>
                <w:sz w:val="20"/>
                <w:szCs w:val="20"/>
                <w:rtl/>
              </w:rPr>
              <w:t>233.5</w:t>
            </w:r>
          </w:p>
        </w:tc>
      </w:tr>
      <w:tr w:rsidR="00443EC1" w:rsidTr="00443EC1">
        <w:tblPrEx>
          <w:tblCellMar>
            <w:top w:w="0" w:type="dxa"/>
            <w:bottom w:w="0" w:type="dxa"/>
          </w:tblCellMar>
        </w:tblPrEx>
        <w:trPr>
          <w:jc w:val="center"/>
        </w:trPr>
        <w:tc>
          <w:tcPr>
            <w:tcW w:w="685" w:type="dxa"/>
            <w:tcBorders>
              <w:top w:val="nil"/>
              <w:bottom w:val="nil"/>
            </w:tcBorders>
          </w:tcPr>
          <w:p w:rsidR="00443EC1" w:rsidRDefault="00443EC1">
            <w:pPr>
              <w:spacing w:before="0" w:after="0" w:line="260" w:lineRule="exact"/>
              <w:jc w:val="center"/>
              <w:rPr>
                <w:rFonts w:hint="cs"/>
                <w:sz w:val="20"/>
                <w:szCs w:val="20"/>
                <w:rtl/>
              </w:rPr>
            </w:pPr>
            <w:r>
              <w:rPr>
                <w:rFonts w:hint="cs"/>
                <w:sz w:val="20"/>
                <w:szCs w:val="20"/>
                <w:rtl/>
              </w:rPr>
              <w:t>1997</w:t>
            </w:r>
          </w:p>
        </w:tc>
        <w:tc>
          <w:tcPr>
            <w:tcW w:w="1217" w:type="dxa"/>
            <w:tcBorders>
              <w:top w:val="nil"/>
              <w:bottom w:val="nil"/>
            </w:tcBorders>
          </w:tcPr>
          <w:p w:rsidR="00443EC1" w:rsidRDefault="00443EC1">
            <w:pPr>
              <w:spacing w:before="0" w:after="0" w:line="260" w:lineRule="exact"/>
              <w:ind w:left="130"/>
              <w:jc w:val="both"/>
              <w:rPr>
                <w:rFonts w:hint="cs"/>
                <w:sz w:val="20"/>
                <w:szCs w:val="20"/>
              </w:rPr>
            </w:pPr>
            <w:r>
              <w:rPr>
                <w:rFonts w:hint="cs"/>
                <w:sz w:val="20"/>
                <w:szCs w:val="20"/>
                <w:rtl/>
              </w:rPr>
              <w:t>446.26 7</w:t>
            </w:r>
          </w:p>
        </w:tc>
        <w:tc>
          <w:tcPr>
            <w:tcW w:w="1260" w:type="dxa"/>
            <w:tcBorders>
              <w:top w:val="nil"/>
              <w:bottom w:val="nil"/>
            </w:tcBorders>
          </w:tcPr>
          <w:p w:rsidR="00443EC1" w:rsidRDefault="00443EC1">
            <w:pPr>
              <w:tabs>
                <w:tab w:val="decimal" w:pos="327"/>
              </w:tabs>
              <w:spacing w:before="0" w:after="0" w:line="260" w:lineRule="exact"/>
              <w:jc w:val="both"/>
              <w:rPr>
                <w:rFonts w:hint="cs"/>
                <w:sz w:val="20"/>
                <w:szCs w:val="20"/>
              </w:rPr>
            </w:pPr>
            <w:r>
              <w:rPr>
                <w:rFonts w:hint="cs"/>
                <w:sz w:val="20"/>
                <w:szCs w:val="20"/>
                <w:rtl/>
              </w:rPr>
              <w:t>146.19 2</w:t>
            </w:r>
          </w:p>
        </w:tc>
        <w:tc>
          <w:tcPr>
            <w:tcW w:w="1090" w:type="dxa"/>
            <w:tcBorders>
              <w:top w:val="nil"/>
              <w:bottom w:val="nil"/>
            </w:tcBorders>
          </w:tcPr>
          <w:p w:rsidR="00443EC1" w:rsidRDefault="00443EC1">
            <w:pPr>
              <w:tabs>
                <w:tab w:val="decimal" w:pos="383"/>
              </w:tabs>
              <w:spacing w:before="0" w:after="0" w:line="260" w:lineRule="exact"/>
              <w:jc w:val="both"/>
              <w:rPr>
                <w:rFonts w:hint="cs"/>
                <w:sz w:val="20"/>
                <w:szCs w:val="20"/>
              </w:rPr>
            </w:pPr>
            <w:r>
              <w:rPr>
                <w:rFonts w:hint="cs"/>
                <w:sz w:val="20"/>
                <w:szCs w:val="20"/>
                <w:rtl/>
              </w:rPr>
              <w:t>8.8</w:t>
            </w:r>
          </w:p>
        </w:tc>
        <w:tc>
          <w:tcPr>
            <w:tcW w:w="1063" w:type="dxa"/>
            <w:tcBorders>
              <w:top w:val="nil"/>
              <w:bottom w:val="nil"/>
            </w:tcBorders>
          </w:tcPr>
          <w:p w:rsidR="00443EC1" w:rsidRDefault="00443EC1">
            <w:pPr>
              <w:tabs>
                <w:tab w:val="decimal" w:pos="398"/>
              </w:tabs>
              <w:spacing w:before="0" w:after="0" w:line="260" w:lineRule="exact"/>
              <w:jc w:val="both"/>
              <w:rPr>
                <w:rFonts w:hint="cs"/>
                <w:sz w:val="20"/>
                <w:szCs w:val="20"/>
              </w:rPr>
            </w:pPr>
            <w:r>
              <w:rPr>
                <w:rFonts w:hint="cs"/>
                <w:sz w:val="20"/>
                <w:szCs w:val="20"/>
                <w:rtl/>
              </w:rPr>
              <w:t>338.49</w:t>
            </w:r>
          </w:p>
        </w:tc>
        <w:tc>
          <w:tcPr>
            <w:tcW w:w="1267" w:type="dxa"/>
            <w:tcBorders>
              <w:top w:val="nil"/>
              <w:bottom w:val="nil"/>
            </w:tcBorders>
          </w:tcPr>
          <w:p w:rsidR="00443EC1" w:rsidRDefault="00443EC1">
            <w:pPr>
              <w:tabs>
                <w:tab w:val="decimal" w:pos="469"/>
              </w:tabs>
              <w:spacing w:before="0" w:after="0" w:line="260" w:lineRule="exact"/>
              <w:jc w:val="both"/>
              <w:rPr>
                <w:rFonts w:hint="cs"/>
                <w:sz w:val="20"/>
                <w:szCs w:val="20"/>
              </w:rPr>
            </w:pPr>
            <w:r>
              <w:rPr>
                <w:rFonts w:hint="cs"/>
                <w:sz w:val="20"/>
                <w:szCs w:val="20"/>
                <w:rtl/>
              </w:rPr>
              <w:t>97.56</w:t>
            </w:r>
          </w:p>
        </w:tc>
        <w:tc>
          <w:tcPr>
            <w:tcW w:w="1080" w:type="dxa"/>
            <w:tcBorders>
              <w:top w:val="nil"/>
              <w:bottom w:val="nil"/>
            </w:tcBorders>
          </w:tcPr>
          <w:p w:rsidR="00443EC1" w:rsidRDefault="00443EC1">
            <w:pPr>
              <w:tabs>
                <w:tab w:val="decimal" w:pos="378"/>
              </w:tabs>
              <w:spacing w:before="0" w:after="0" w:line="260" w:lineRule="exact"/>
              <w:jc w:val="both"/>
              <w:rPr>
                <w:rFonts w:hint="cs"/>
                <w:sz w:val="20"/>
                <w:szCs w:val="20"/>
              </w:rPr>
            </w:pPr>
            <w:r>
              <w:rPr>
                <w:rFonts w:hint="cs"/>
                <w:sz w:val="20"/>
                <w:szCs w:val="20"/>
                <w:rtl/>
              </w:rPr>
              <w:t>17.6</w:t>
            </w:r>
          </w:p>
        </w:tc>
        <w:tc>
          <w:tcPr>
            <w:tcW w:w="844" w:type="dxa"/>
            <w:tcBorders>
              <w:top w:val="nil"/>
              <w:bottom w:val="nil"/>
            </w:tcBorders>
          </w:tcPr>
          <w:p w:rsidR="00443EC1" w:rsidRDefault="00443EC1">
            <w:pPr>
              <w:tabs>
                <w:tab w:val="decimal" w:pos="320"/>
              </w:tabs>
              <w:spacing w:before="0" w:after="0" w:line="260" w:lineRule="exact"/>
              <w:jc w:val="both"/>
              <w:rPr>
                <w:rFonts w:hint="cs"/>
                <w:sz w:val="20"/>
                <w:szCs w:val="20"/>
              </w:rPr>
            </w:pPr>
            <w:r>
              <w:rPr>
                <w:rFonts w:hint="cs"/>
                <w:sz w:val="20"/>
                <w:szCs w:val="20"/>
                <w:rtl/>
              </w:rPr>
              <w:t>4.5</w:t>
            </w:r>
          </w:p>
        </w:tc>
        <w:tc>
          <w:tcPr>
            <w:tcW w:w="1064" w:type="dxa"/>
            <w:tcBorders>
              <w:top w:val="nil"/>
              <w:bottom w:val="nil"/>
            </w:tcBorders>
          </w:tcPr>
          <w:p w:rsidR="00443EC1" w:rsidRDefault="00443EC1">
            <w:pPr>
              <w:tabs>
                <w:tab w:val="decimal" w:pos="386"/>
              </w:tabs>
              <w:spacing w:before="0" w:after="0" w:line="260" w:lineRule="exact"/>
              <w:jc w:val="both"/>
              <w:rPr>
                <w:rFonts w:hint="cs"/>
                <w:sz w:val="20"/>
                <w:szCs w:val="20"/>
              </w:rPr>
            </w:pPr>
            <w:r>
              <w:rPr>
                <w:rFonts w:hint="cs"/>
                <w:sz w:val="20"/>
                <w:szCs w:val="20"/>
                <w:rtl/>
              </w:rPr>
              <w:t>273.8</w:t>
            </w:r>
          </w:p>
        </w:tc>
      </w:tr>
      <w:tr w:rsidR="00443EC1" w:rsidTr="00443EC1">
        <w:tblPrEx>
          <w:tblCellMar>
            <w:top w:w="0" w:type="dxa"/>
            <w:bottom w:w="0" w:type="dxa"/>
          </w:tblCellMar>
        </w:tblPrEx>
        <w:trPr>
          <w:jc w:val="center"/>
        </w:trPr>
        <w:tc>
          <w:tcPr>
            <w:tcW w:w="685" w:type="dxa"/>
            <w:tcBorders>
              <w:top w:val="nil"/>
              <w:bottom w:val="nil"/>
            </w:tcBorders>
          </w:tcPr>
          <w:p w:rsidR="00443EC1" w:rsidRDefault="00443EC1">
            <w:pPr>
              <w:spacing w:before="0" w:after="0" w:line="260" w:lineRule="exact"/>
              <w:jc w:val="center"/>
              <w:rPr>
                <w:rFonts w:hint="cs"/>
                <w:sz w:val="20"/>
                <w:szCs w:val="20"/>
                <w:rtl/>
              </w:rPr>
            </w:pPr>
            <w:r>
              <w:rPr>
                <w:rFonts w:hint="cs"/>
                <w:sz w:val="20"/>
                <w:szCs w:val="20"/>
                <w:rtl/>
              </w:rPr>
              <w:t>1998</w:t>
            </w:r>
          </w:p>
        </w:tc>
        <w:tc>
          <w:tcPr>
            <w:tcW w:w="1217" w:type="dxa"/>
            <w:tcBorders>
              <w:top w:val="nil"/>
              <w:bottom w:val="nil"/>
            </w:tcBorders>
          </w:tcPr>
          <w:p w:rsidR="00443EC1" w:rsidRDefault="00443EC1">
            <w:pPr>
              <w:spacing w:before="0" w:after="0" w:line="260" w:lineRule="exact"/>
              <w:ind w:left="130"/>
              <w:jc w:val="both"/>
              <w:rPr>
                <w:rFonts w:hint="cs"/>
                <w:sz w:val="20"/>
                <w:szCs w:val="20"/>
              </w:rPr>
            </w:pPr>
            <w:r>
              <w:rPr>
                <w:rFonts w:hint="cs"/>
                <w:sz w:val="20"/>
                <w:szCs w:val="20"/>
                <w:rtl/>
              </w:rPr>
              <w:t>834.52 7</w:t>
            </w:r>
          </w:p>
        </w:tc>
        <w:tc>
          <w:tcPr>
            <w:tcW w:w="1260" w:type="dxa"/>
            <w:tcBorders>
              <w:top w:val="nil"/>
              <w:bottom w:val="nil"/>
            </w:tcBorders>
          </w:tcPr>
          <w:p w:rsidR="00443EC1" w:rsidRDefault="00443EC1">
            <w:pPr>
              <w:tabs>
                <w:tab w:val="decimal" w:pos="327"/>
              </w:tabs>
              <w:spacing w:before="0" w:after="0" w:line="260" w:lineRule="exact"/>
              <w:jc w:val="both"/>
              <w:rPr>
                <w:rFonts w:hint="cs"/>
                <w:sz w:val="20"/>
                <w:szCs w:val="20"/>
              </w:rPr>
            </w:pPr>
            <w:r>
              <w:rPr>
                <w:rFonts w:hint="cs"/>
                <w:sz w:val="20"/>
                <w:szCs w:val="20"/>
                <w:rtl/>
              </w:rPr>
              <w:t>313.99 2</w:t>
            </w:r>
          </w:p>
        </w:tc>
        <w:tc>
          <w:tcPr>
            <w:tcW w:w="1090" w:type="dxa"/>
            <w:tcBorders>
              <w:top w:val="nil"/>
              <w:bottom w:val="nil"/>
            </w:tcBorders>
          </w:tcPr>
          <w:p w:rsidR="00443EC1" w:rsidRDefault="00443EC1">
            <w:pPr>
              <w:tabs>
                <w:tab w:val="decimal" w:pos="383"/>
              </w:tabs>
              <w:spacing w:before="0" w:after="0" w:line="260" w:lineRule="exact"/>
              <w:jc w:val="both"/>
              <w:rPr>
                <w:rFonts w:hint="cs"/>
                <w:sz w:val="20"/>
                <w:szCs w:val="20"/>
              </w:rPr>
            </w:pPr>
            <w:r>
              <w:rPr>
                <w:rFonts w:hint="cs"/>
                <w:sz w:val="20"/>
                <w:szCs w:val="20"/>
                <w:rtl/>
              </w:rPr>
              <w:t>7.8</w:t>
            </w:r>
          </w:p>
        </w:tc>
        <w:tc>
          <w:tcPr>
            <w:tcW w:w="1063" w:type="dxa"/>
            <w:tcBorders>
              <w:top w:val="nil"/>
              <w:bottom w:val="nil"/>
            </w:tcBorders>
          </w:tcPr>
          <w:p w:rsidR="00443EC1" w:rsidRDefault="00443EC1">
            <w:pPr>
              <w:tabs>
                <w:tab w:val="decimal" w:pos="398"/>
              </w:tabs>
              <w:spacing w:before="0" w:after="0" w:line="260" w:lineRule="exact"/>
              <w:jc w:val="both"/>
              <w:rPr>
                <w:rFonts w:hint="cs"/>
                <w:sz w:val="20"/>
                <w:szCs w:val="20"/>
              </w:rPr>
            </w:pPr>
            <w:r>
              <w:rPr>
                <w:rFonts w:hint="cs"/>
                <w:sz w:val="20"/>
                <w:szCs w:val="20"/>
                <w:rtl/>
              </w:rPr>
              <w:t>377.65</w:t>
            </w:r>
          </w:p>
        </w:tc>
        <w:tc>
          <w:tcPr>
            <w:tcW w:w="1267" w:type="dxa"/>
            <w:tcBorders>
              <w:top w:val="nil"/>
              <w:bottom w:val="nil"/>
            </w:tcBorders>
          </w:tcPr>
          <w:p w:rsidR="00443EC1" w:rsidRDefault="00443EC1">
            <w:pPr>
              <w:tabs>
                <w:tab w:val="decimal" w:pos="469"/>
              </w:tabs>
              <w:spacing w:before="0" w:after="0" w:line="260" w:lineRule="exact"/>
              <w:jc w:val="both"/>
              <w:rPr>
                <w:rFonts w:hint="cs"/>
                <w:sz w:val="20"/>
                <w:szCs w:val="20"/>
              </w:rPr>
            </w:pPr>
            <w:r>
              <w:rPr>
                <w:rFonts w:hint="cs"/>
                <w:sz w:val="20"/>
                <w:szCs w:val="20"/>
                <w:rtl/>
              </w:rPr>
              <w:t>111.54</w:t>
            </w:r>
          </w:p>
        </w:tc>
        <w:tc>
          <w:tcPr>
            <w:tcW w:w="1080" w:type="dxa"/>
            <w:tcBorders>
              <w:top w:val="nil"/>
              <w:bottom w:val="nil"/>
            </w:tcBorders>
          </w:tcPr>
          <w:p w:rsidR="00443EC1" w:rsidRDefault="00443EC1">
            <w:pPr>
              <w:tabs>
                <w:tab w:val="decimal" w:pos="378"/>
              </w:tabs>
              <w:spacing w:before="0" w:after="0" w:line="260" w:lineRule="exact"/>
              <w:jc w:val="both"/>
              <w:rPr>
                <w:rFonts w:hint="cs"/>
                <w:sz w:val="20"/>
                <w:szCs w:val="20"/>
              </w:rPr>
            </w:pPr>
            <w:r>
              <w:rPr>
                <w:rFonts w:hint="cs"/>
                <w:sz w:val="20"/>
                <w:szCs w:val="20"/>
                <w:rtl/>
              </w:rPr>
              <w:t>14.3</w:t>
            </w:r>
          </w:p>
        </w:tc>
        <w:tc>
          <w:tcPr>
            <w:tcW w:w="844" w:type="dxa"/>
            <w:tcBorders>
              <w:top w:val="nil"/>
              <w:bottom w:val="nil"/>
            </w:tcBorders>
          </w:tcPr>
          <w:p w:rsidR="00443EC1" w:rsidRDefault="00443EC1">
            <w:pPr>
              <w:tabs>
                <w:tab w:val="decimal" w:pos="320"/>
              </w:tabs>
              <w:spacing w:before="0" w:after="0" w:line="260" w:lineRule="exact"/>
              <w:jc w:val="both"/>
              <w:rPr>
                <w:rFonts w:hint="cs"/>
                <w:sz w:val="20"/>
                <w:szCs w:val="20"/>
              </w:rPr>
            </w:pPr>
            <w:r>
              <w:rPr>
                <w:rFonts w:hint="cs"/>
                <w:sz w:val="20"/>
                <w:szCs w:val="20"/>
                <w:rtl/>
              </w:rPr>
              <w:t>4.8</w:t>
            </w:r>
          </w:p>
        </w:tc>
        <w:tc>
          <w:tcPr>
            <w:tcW w:w="1064" w:type="dxa"/>
            <w:tcBorders>
              <w:top w:val="nil"/>
              <w:bottom w:val="nil"/>
            </w:tcBorders>
          </w:tcPr>
          <w:p w:rsidR="00443EC1" w:rsidRDefault="00443EC1">
            <w:pPr>
              <w:tabs>
                <w:tab w:val="decimal" w:pos="386"/>
              </w:tabs>
              <w:spacing w:before="0" w:after="0" w:line="260" w:lineRule="exact"/>
              <w:jc w:val="both"/>
              <w:rPr>
                <w:rFonts w:hint="cs"/>
                <w:sz w:val="20"/>
                <w:szCs w:val="20"/>
              </w:rPr>
            </w:pPr>
            <w:r>
              <w:rPr>
                <w:rFonts w:hint="cs"/>
                <w:sz w:val="20"/>
                <w:szCs w:val="20"/>
                <w:rtl/>
              </w:rPr>
              <w:t>302.6</w:t>
            </w:r>
          </w:p>
        </w:tc>
      </w:tr>
      <w:tr w:rsidR="00443EC1" w:rsidTr="00443EC1">
        <w:tblPrEx>
          <w:tblCellMar>
            <w:top w:w="0" w:type="dxa"/>
            <w:bottom w:w="0" w:type="dxa"/>
          </w:tblCellMar>
        </w:tblPrEx>
        <w:trPr>
          <w:jc w:val="center"/>
        </w:trPr>
        <w:tc>
          <w:tcPr>
            <w:tcW w:w="685" w:type="dxa"/>
            <w:tcBorders>
              <w:top w:val="nil"/>
              <w:bottom w:val="nil"/>
            </w:tcBorders>
          </w:tcPr>
          <w:p w:rsidR="00443EC1" w:rsidRDefault="00443EC1">
            <w:pPr>
              <w:spacing w:before="0" w:after="0" w:line="260" w:lineRule="exact"/>
              <w:jc w:val="center"/>
              <w:rPr>
                <w:rFonts w:hint="cs"/>
                <w:sz w:val="20"/>
                <w:szCs w:val="20"/>
                <w:rtl/>
              </w:rPr>
            </w:pPr>
            <w:r>
              <w:rPr>
                <w:rFonts w:hint="cs"/>
                <w:sz w:val="20"/>
                <w:szCs w:val="20"/>
                <w:rtl/>
              </w:rPr>
              <w:t>1999</w:t>
            </w:r>
          </w:p>
        </w:tc>
        <w:tc>
          <w:tcPr>
            <w:tcW w:w="1217" w:type="dxa"/>
            <w:tcBorders>
              <w:top w:val="nil"/>
              <w:bottom w:val="nil"/>
            </w:tcBorders>
          </w:tcPr>
          <w:p w:rsidR="00443EC1" w:rsidRDefault="00443EC1">
            <w:pPr>
              <w:spacing w:before="0" w:after="0" w:line="260" w:lineRule="exact"/>
              <w:ind w:left="130"/>
              <w:jc w:val="both"/>
              <w:rPr>
                <w:rFonts w:hint="cs"/>
                <w:sz w:val="20"/>
                <w:szCs w:val="20"/>
              </w:rPr>
            </w:pPr>
            <w:r>
              <w:rPr>
                <w:rFonts w:hint="cs"/>
                <w:sz w:val="20"/>
                <w:szCs w:val="20"/>
                <w:rtl/>
              </w:rPr>
              <w:t>206.74 8</w:t>
            </w:r>
          </w:p>
        </w:tc>
        <w:tc>
          <w:tcPr>
            <w:tcW w:w="1260" w:type="dxa"/>
            <w:tcBorders>
              <w:top w:val="nil"/>
              <w:bottom w:val="nil"/>
            </w:tcBorders>
          </w:tcPr>
          <w:p w:rsidR="00443EC1" w:rsidRDefault="00443EC1">
            <w:pPr>
              <w:tabs>
                <w:tab w:val="decimal" w:pos="327"/>
              </w:tabs>
              <w:spacing w:before="0" w:after="0" w:line="260" w:lineRule="exact"/>
              <w:jc w:val="both"/>
              <w:rPr>
                <w:rFonts w:hint="cs"/>
                <w:sz w:val="20"/>
                <w:szCs w:val="20"/>
              </w:rPr>
            </w:pPr>
            <w:r>
              <w:rPr>
                <w:rFonts w:hint="cs"/>
                <w:sz w:val="20"/>
                <w:szCs w:val="20"/>
                <w:rtl/>
              </w:rPr>
              <w:t>479.25 2</w:t>
            </w:r>
          </w:p>
        </w:tc>
        <w:tc>
          <w:tcPr>
            <w:tcW w:w="1090" w:type="dxa"/>
            <w:tcBorders>
              <w:top w:val="nil"/>
              <w:bottom w:val="nil"/>
            </w:tcBorders>
          </w:tcPr>
          <w:p w:rsidR="00443EC1" w:rsidRDefault="00443EC1">
            <w:pPr>
              <w:tabs>
                <w:tab w:val="decimal" w:pos="383"/>
              </w:tabs>
              <w:spacing w:before="0" w:after="0" w:line="260" w:lineRule="exact"/>
              <w:jc w:val="both"/>
              <w:rPr>
                <w:rFonts w:hint="cs"/>
                <w:sz w:val="20"/>
                <w:szCs w:val="20"/>
              </w:rPr>
            </w:pPr>
            <w:r>
              <w:rPr>
                <w:rFonts w:hint="cs"/>
                <w:sz w:val="20"/>
                <w:szCs w:val="20"/>
                <w:rtl/>
              </w:rPr>
              <w:t>7.1</w:t>
            </w:r>
          </w:p>
        </w:tc>
        <w:tc>
          <w:tcPr>
            <w:tcW w:w="1063" w:type="dxa"/>
            <w:tcBorders>
              <w:top w:val="nil"/>
              <w:bottom w:val="nil"/>
            </w:tcBorders>
          </w:tcPr>
          <w:p w:rsidR="00443EC1" w:rsidRDefault="00443EC1">
            <w:pPr>
              <w:tabs>
                <w:tab w:val="decimal" w:pos="398"/>
              </w:tabs>
              <w:spacing w:before="0" w:after="0" w:line="260" w:lineRule="exact"/>
              <w:jc w:val="both"/>
              <w:rPr>
                <w:rFonts w:hint="cs"/>
                <w:sz w:val="20"/>
                <w:szCs w:val="20"/>
              </w:rPr>
            </w:pPr>
            <w:r>
              <w:rPr>
                <w:rFonts w:hint="cs"/>
                <w:sz w:val="20"/>
                <w:szCs w:val="20"/>
                <w:rtl/>
              </w:rPr>
              <w:t>417.86</w:t>
            </w:r>
          </w:p>
        </w:tc>
        <w:tc>
          <w:tcPr>
            <w:tcW w:w="1267" w:type="dxa"/>
            <w:tcBorders>
              <w:top w:val="nil"/>
              <w:bottom w:val="nil"/>
            </w:tcBorders>
          </w:tcPr>
          <w:p w:rsidR="00443EC1" w:rsidRDefault="00443EC1">
            <w:pPr>
              <w:tabs>
                <w:tab w:val="decimal" w:pos="469"/>
              </w:tabs>
              <w:spacing w:before="0" w:after="0" w:line="260" w:lineRule="exact"/>
              <w:jc w:val="both"/>
              <w:rPr>
                <w:rFonts w:hint="cs"/>
                <w:sz w:val="20"/>
                <w:szCs w:val="20"/>
              </w:rPr>
            </w:pPr>
            <w:r>
              <w:rPr>
                <w:rFonts w:hint="cs"/>
                <w:sz w:val="20"/>
                <w:szCs w:val="20"/>
                <w:rtl/>
              </w:rPr>
              <w:t>126.24</w:t>
            </w:r>
          </w:p>
        </w:tc>
        <w:tc>
          <w:tcPr>
            <w:tcW w:w="1080" w:type="dxa"/>
            <w:tcBorders>
              <w:top w:val="nil"/>
              <w:bottom w:val="nil"/>
            </w:tcBorders>
          </w:tcPr>
          <w:p w:rsidR="00443EC1" w:rsidRDefault="00443EC1">
            <w:pPr>
              <w:tabs>
                <w:tab w:val="decimal" w:pos="378"/>
              </w:tabs>
              <w:spacing w:before="0" w:after="0" w:line="260" w:lineRule="exact"/>
              <w:jc w:val="both"/>
              <w:rPr>
                <w:rFonts w:hint="cs"/>
                <w:sz w:val="20"/>
                <w:szCs w:val="20"/>
              </w:rPr>
            </w:pPr>
            <w:r>
              <w:rPr>
                <w:rFonts w:hint="cs"/>
                <w:sz w:val="20"/>
                <w:szCs w:val="20"/>
                <w:rtl/>
              </w:rPr>
              <w:t>13.3</w:t>
            </w:r>
          </w:p>
        </w:tc>
        <w:tc>
          <w:tcPr>
            <w:tcW w:w="844" w:type="dxa"/>
            <w:tcBorders>
              <w:top w:val="nil"/>
              <w:bottom w:val="nil"/>
            </w:tcBorders>
          </w:tcPr>
          <w:p w:rsidR="00443EC1" w:rsidRDefault="00443EC1">
            <w:pPr>
              <w:tabs>
                <w:tab w:val="decimal" w:pos="320"/>
              </w:tabs>
              <w:spacing w:before="0" w:after="0" w:line="260" w:lineRule="exact"/>
              <w:jc w:val="both"/>
              <w:rPr>
                <w:rFonts w:hint="cs"/>
                <w:sz w:val="20"/>
                <w:szCs w:val="20"/>
              </w:rPr>
            </w:pPr>
            <w:r>
              <w:rPr>
                <w:rFonts w:hint="cs"/>
                <w:sz w:val="20"/>
                <w:szCs w:val="20"/>
                <w:rtl/>
              </w:rPr>
              <w:t>5.1</w:t>
            </w:r>
          </w:p>
        </w:tc>
        <w:tc>
          <w:tcPr>
            <w:tcW w:w="1064" w:type="dxa"/>
            <w:tcBorders>
              <w:top w:val="nil"/>
              <w:bottom w:val="nil"/>
            </w:tcBorders>
          </w:tcPr>
          <w:p w:rsidR="00443EC1" w:rsidRDefault="00443EC1">
            <w:pPr>
              <w:tabs>
                <w:tab w:val="decimal" w:pos="386"/>
              </w:tabs>
              <w:spacing w:before="0" w:after="0" w:line="260" w:lineRule="exact"/>
              <w:jc w:val="both"/>
              <w:rPr>
                <w:rFonts w:hint="cs"/>
                <w:sz w:val="20"/>
                <w:szCs w:val="20"/>
              </w:rPr>
            </w:pPr>
            <w:r>
              <w:rPr>
                <w:rFonts w:hint="cs"/>
                <w:sz w:val="20"/>
                <w:szCs w:val="20"/>
                <w:rtl/>
              </w:rPr>
              <w:t>331.9</w:t>
            </w:r>
          </w:p>
        </w:tc>
      </w:tr>
      <w:tr w:rsidR="00443EC1" w:rsidTr="00443EC1">
        <w:tblPrEx>
          <w:tblCellMar>
            <w:top w:w="0" w:type="dxa"/>
            <w:bottom w:w="0" w:type="dxa"/>
          </w:tblCellMar>
        </w:tblPrEx>
        <w:trPr>
          <w:jc w:val="center"/>
        </w:trPr>
        <w:tc>
          <w:tcPr>
            <w:tcW w:w="685" w:type="dxa"/>
            <w:tcBorders>
              <w:top w:val="nil"/>
            </w:tcBorders>
          </w:tcPr>
          <w:p w:rsidR="00443EC1" w:rsidRDefault="00443EC1">
            <w:pPr>
              <w:spacing w:before="0" w:after="0" w:line="260" w:lineRule="exact"/>
              <w:jc w:val="center"/>
              <w:rPr>
                <w:rFonts w:hint="cs"/>
                <w:sz w:val="20"/>
                <w:szCs w:val="20"/>
                <w:rtl/>
              </w:rPr>
            </w:pPr>
            <w:r>
              <w:rPr>
                <w:rFonts w:hint="cs"/>
                <w:sz w:val="20"/>
                <w:szCs w:val="20"/>
                <w:rtl/>
              </w:rPr>
              <w:t>2000</w:t>
            </w:r>
          </w:p>
        </w:tc>
        <w:tc>
          <w:tcPr>
            <w:tcW w:w="1217" w:type="dxa"/>
            <w:tcBorders>
              <w:top w:val="nil"/>
            </w:tcBorders>
          </w:tcPr>
          <w:p w:rsidR="00443EC1" w:rsidRDefault="00443EC1">
            <w:pPr>
              <w:spacing w:before="0" w:after="0" w:line="260" w:lineRule="exact"/>
              <w:ind w:left="130"/>
              <w:jc w:val="both"/>
              <w:rPr>
                <w:rFonts w:hint="cs"/>
                <w:sz w:val="20"/>
                <w:szCs w:val="20"/>
              </w:rPr>
            </w:pPr>
            <w:r>
              <w:rPr>
                <w:rFonts w:hint="cs"/>
                <w:sz w:val="20"/>
                <w:szCs w:val="20"/>
                <w:rtl/>
              </w:rPr>
              <w:t>940.36 8</w:t>
            </w:r>
          </w:p>
        </w:tc>
        <w:tc>
          <w:tcPr>
            <w:tcW w:w="1260" w:type="dxa"/>
            <w:tcBorders>
              <w:top w:val="nil"/>
            </w:tcBorders>
          </w:tcPr>
          <w:p w:rsidR="00443EC1" w:rsidRDefault="00443EC1">
            <w:pPr>
              <w:tabs>
                <w:tab w:val="decimal" w:pos="327"/>
              </w:tabs>
              <w:spacing w:before="0" w:after="0" w:line="260" w:lineRule="exact"/>
              <w:jc w:val="both"/>
              <w:rPr>
                <w:rFonts w:hint="cs"/>
                <w:sz w:val="20"/>
                <w:szCs w:val="20"/>
              </w:rPr>
            </w:pPr>
            <w:r>
              <w:rPr>
                <w:rFonts w:hint="cs"/>
                <w:sz w:val="20"/>
                <w:szCs w:val="20"/>
                <w:rtl/>
              </w:rPr>
              <w:t>677.48 2</w:t>
            </w:r>
          </w:p>
        </w:tc>
        <w:tc>
          <w:tcPr>
            <w:tcW w:w="1090" w:type="dxa"/>
            <w:tcBorders>
              <w:top w:val="nil"/>
            </w:tcBorders>
          </w:tcPr>
          <w:p w:rsidR="00443EC1" w:rsidRDefault="00443EC1">
            <w:pPr>
              <w:tabs>
                <w:tab w:val="decimal" w:pos="383"/>
              </w:tabs>
              <w:spacing w:before="0" w:after="0" w:line="260" w:lineRule="exact"/>
              <w:jc w:val="both"/>
              <w:rPr>
                <w:rFonts w:hint="cs"/>
                <w:sz w:val="20"/>
                <w:szCs w:val="20"/>
              </w:rPr>
            </w:pPr>
            <w:r>
              <w:rPr>
                <w:rFonts w:hint="cs"/>
                <w:sz w:val="20"/>
                <w:szCs w:val="20"/>
                <w:rtl/>
              </w:rPr>
              <w:t>8.0</w:t>
            </w:r>
          </w:p>
        </w:tc>
        <w:tc>
          <w:tcPr>
            <w:tcW w:w="1063" w:type="dxa"/>
            <w:tcBorders>
              <w:top w:val="nil"/>
            </w:tcBorders>
          </w:tcPr>
          <w:p w:rsidR="00443EC1" w:rsidRDefault="00443EC1">
            <w:pPr>
              <w:tabs>
                <w:tab w:val="decimal" w:pos="398"/>
              </w:tabs>
              <w:spacing w:before="0" w:after="0" w:line="260" w:lineRule="exact"/>
              <w:jc w:val="both"/>
              <w:rPr>
                <w:rFonts w:hint="cs"/>
                <w:sz w:val="20"/>
                <w:szCs w:val="20"/>
              </w:rPr>
            </w:pPr>
            <w:r>
              <w:rPr>
                <w:rFonts w:hint="cs"/>
                <w:sz w:val="20"/>
                <w:szCs w:val="20"/>
                <w:rtl/>
              </w:rPr>
              <w:t>476.40</w:t>
            </w:r>
          </w:p>
        </w:tc>
        <w:tc>
          <w:tcPr>
            <w:tcW w:w="1267" w:type="dxa"/>
            <w:tcBorders>
              <w:top w:val="nil"/>
            </w:tcBorders>
          </w:tcPr>
          <w:p w:rsidR="00443EC1" w:rsidRDefault="00443EC1">
            <w:pPr>
              <w:tabs>
                <w:tab w:val="decimal" w:pos="469"/>
              </w:tabs>
              <w:spacing w:before="0" w:after="0" w:line="260" w:lineRule="exact"/>
              <w:jc w:val="both"/>
              <w:rPr>
                <w:rFonts w:hint="cs"/>
                <w:sz w:val="20"/>
                <w:szCs w:val="20"/>
              </w:rPr>
            </w:pPr>
            <w:r>
              <w:rPr>
                <w:rFonts w:hint="cs"/>
                <w:sz w:val="20"/>
                <w:szCs w:val="20"/>
                <w:rtl/>
              </w:rPr>
              <w:t>143.16</w:t>
            </w:r>
          </w:p>
        </w:tc>
        <w:tc>
          <w:tcPr>
            <w:tcW w:w="1080" w:type="dxa"/>
            <w:tcBorders>
              <w:top w:val="nil"/>
            </w:tcBorders>
          </w:tcPr>
          <w:p w:rsidR="00443EC1" w:rsidRDefault="00443EC1">
            <w:pPr>
              <w:tabs>
                <w:tab w:val="decimal" w:pos="378"/>
              </w:tabs>
              <w:spacing w:before="0" w:after="0" w:line="260" w:lineRule="exact"/>
              <w:jc w:val="both"/>
              <w:rPr>
                <w:rFonts w:hint="cs"/>
                <w:sz w:val="20"/>
                <w:szCs w:val="20"/>
              </w:rPr>
            </w:pPr>
            <w:r>
              <w:rPr>
                <w:rFonts w:hint="cs"/>
                <w:sz w:val="20"/>
                <w:szCs w:val="20"/>
                <w:rtl/>
              </w:rPr>
              <w:t>13.5</w:t>
            </w:r>
          </w:p>
        </w:tc>
        <w:tc>
          <w:tcPr>
            <w:tcW w:w="844" w:type="dxa"/>
            <w:tcBorders>
              <w:top w:val="nil"/>
            </w:tcBorders>
          </w:tcPr>
          <w:p w:rsidR="00443EC1" w:rsidRDefault="00443EC1">
            <w:pPr>
              <w:tabs>
                <w:tab w:val="decimal" w:pos="320"/>
              </w:tabs>
              <w:spacing w:before="0" w:after="0" w:line="260" w:lineRule="exact"/>
              <w:jc w:val="both"/>
              <w:rPr>
                <w:rFonts w:hint="cs"/>
                <w:sz w:val="20"/>
                <w:szCs w:val="20"/>
              </w:rPr>
            </w:pPr>
            <w:r>
              <w:rPr>
                <w:rFonts w:hint="cs"/>
                <w:sz w:val="20"/>
                <w:szCs w:val="20"/>
                <w:rtl/>
              </w:rPr>
              <w:t>5.3</w:t>
            </w:r>
          </w:p>
        </w:tc>
        <w:tc>
          <w:tcPr>
            <w:tcW w:w="1064" w:type="dxa"/>
            <w:tcBorders>
              <w:top w:val="nil"/>
            </w:tcBorders>
          </w:tcPr>
          <w:p w:rsidR="00443EC1" w:rsidRDefault="00443EC1">
            <w:pPr>
              <w:tabs>
                <w:tab w:val="decimal" w:pos="386"/>
              </w:tabs>
              <w:spacing w:before="0" w:after="0" w:line="260" w:lineRule="exact"/>
              <w:jc w:val="both"/>
              <w:rPr>
                <w:rFonts w:hint="cs"/>
                <w:sz w:val="20"/>
                <w:szCs w:val="20"/>
              </w:rPr>
            </w:pPr>
            <w:r>
              <w:rPr>
                <w:rFonts w:hint="cs"/>
                <w:sz w:val="20"/>
                <w:szCs w:val="20"/>
                <w:rtl/>
              </w:rPr>
              <w:t>376.4</w:t>
            </w:r>
          </w:p>
        </w:tc>
      </w:tr>
    </w:tbl>
    <w:p w:rsidR="00000000" w:rsidRDefault="00443EC1">
      <w:pPr>
        <w:tabs>
          <w:tab w:val="left" w:pos="759"/>
        </w:tabs>
        <w:spacing w:before="60" w:after="60" w:line="280" w:lineRule="exact"/>
        <w:jc w:val="both"/>
        <w:rPr>
          <w:rFonts w:hint="cs"/>
          <w:sz w:val="26"/>
          <w:szCs w:val="26"/>
          <w:rtl/>
        </w:rPr>
      </w:pPr>
      <w:r>
        <w:rPr>
          <w:rFonts w:hint="cs"/>
          <w:i/>
          <w:iCs/>
          <w:sz w:val="26"/>
          <w:szCs w:val="26"/>
          <w:rtl/>
        </w:rPr>
        <w:tab/>
        <w:t>المصدر</w:t>
      </w:r>
      <w:r>
        <w:rPr>
          <w:rFonts w:hint="cs"/>
          <w:sz w:val="26"/>
          <w:szCs w:val="26"/>
          <w:rtl/>
        </w:rPr>
        <w:t>:</w:t>
      </w:r>
      <w:r>
        <w:rPr>
          <w:rFonts w:hint="cs"/>
          <w:sz w:val="26"/>
          <w:szCs w:val="26"/>
          <w:rtl/>
        </w:rPr>
        <w:tab/>
        <w:t>معهد اقتصاديات الصحة التابع لوزارة الصحة.</w:t>
      </w:r>
    </w:p>
    <w:p w:rsidR="00000000" w:rsidRDefault="00443EC1">
      <w:pPr>
        <w:spacing w:before="60" w:after="60" w:line="280" w:lineRule="exact"/>
        <w:ind w:left="1605" w:hanging="885"/>
        <w:jc w:val="both"/>
        <w:rPr>
          <w:rFonts w:hint="cs"/>
          <w:sz w:val="26"/>
          <w:szCs w:val="26"/>
          <w:rtl/>
        </w:rPr>
      </w:pPr>
      <w:r>
        <w:rPr>
          <w:rFonts w:hint="cs"/>
          <w:i/>
          <w:iCs/>
          <w:sz w:val="26"/>
          <w:szCs w:val="26"/>
          <w:rtl/>
        </w:rPr>
        <w:t>ملاحظات</w:t>
      </w:r>
      <w:r>
        <w:rPr>
          <w:rFonts w:hint="cs"/>
          <w:sz w:val="26"/>
          <w:szCs w:val="26"/>
          <w:rtl/>
        </w:rPr>
        <w:t>:</w:t>
      </w:r>
      <w:r>
        <w:rPr>
          <w:rFonts w:hint="cs"/>
          <w:sz w:val="26"/>
          <w:szCs w:val="26"/>
          <w:rtl/>
        </w:rPr>
        <w:tab/>
        <w:t xml:space="preserve">استُمدت أرقام الناتج المحلي الإجمالي من </w:t>
      </w:r>
      <w:r>
        <w:rPr>
          <w:rFonts w:hint="cs"/>
          <w:i/>
          <w:iCs/>
          <w:sz w:val="26"/>
          <w:szCs w:val="26"/>
          <w:rtl/>
        </w:rPr>
        <w:t>الحولية الاحصائية الوطنية الصينية</w:t>
      </w:r>
      <w:r>
        <w:rPr>
          <w:rFonts w:hint="cs"/>
          <w:sz w:val="26"/>
          <w:szCs w:val="26"/>
          <w:rtl/>
        </w:rPr>
        <w:t>، لعام 2001. واستُمدت مبالغ النفقات الصحية السنوية من معهد اقتصاديات الصحة التابع لوزارة الصحة.</w:t>
      </w:r>
    </w:p>
    <w:p w:rsidR="00000000" w:rsidRDefault="00443EC1">
      <w:pPr>
        <w:tabs>
          <w:tab w:val="left" w:pos="843"/>
        </w:tabs>
        <w:spacing w:before="60" w:after="60" w:line="280" w:lineRule="exact"/>
        <w:jc w:val="both"/>
        <w:rPr>
          <w:rFonts w:hint="cs"/>
          <w:sz w:val="26"/>
          <w:szCs w:val="26"/>
          <w:rtl/>
        </w:rPr>
      </w:pPr>
      <w:r>
        <w:rPr>
          <w:rFonts w:hint="cs"/>
          <w:sz w:val="26"/>
          <w:szCs w:val="26"/>
          <w:rtl/>
        </w:rPr>
        <w:tab/>
        <w:t>حُسب الناتج المحل</w:t>
      </w:r>
      <w:r>
        <w:rPr>
          <w:rFonts w:hint="cs"/>
          <w:sz w:val="26"/>
          <w:szCs w:val="26"/>
          <w:rtl/>
        </w:rPr>
        <w:t>ي الإجمالي ومعدلات نمو الإنفاق على الصحة بالاعتماد على قيمة عام 1978 الثابتة وهي 100.</w:t>
      </w:r>
    </w:p>
    <w:p w:rsidR="00000000" w:rsidRDefault="00443EC1">
      <w:pPr>
        <w:tabs>
          <w:tab w:val="left" w:pos="843"/>
        </w:tabs>
        <w:spacing w:before="60" w:line="280" w:lineRule="exact"/>
        <w:jc w:val="both"/>
        <w:rPr>
          <w:rFonts w:hint="cs"/>
          <w:sz w:val="26"/>
          <w:szCs w:val="26"/>
          <w:rtl/>
        </w:rPr>
      </w:pPr>
      <w:r>
        <w:rPr>
          <w:rFonts w:hint="cs"/>
          <w:sz w:val="26"/>
          <w:szCs w:val="26"/>
          <w:rtl/>
        </w:rPr>
        <w:tab/>
        <w:t>متوسط النفقات الصحية المحسوبة للفرد الواحد باليوان في العام المذكور.</w:t>
      </w:r>
    </w:p>
    <w:p w:rsidR="00000000" w:rsidRDefault="00443EC1">
      <w:pPr>
        <w:spacing w:before="100" w:after="100"/>
        <w:jc w:val="center"/>
        <w:rPr>
          <w:rFonts w:hint="cs"/>
          <w:b/>
          <w:bCs/>
          <w:sz w:val="32"/>
          <w:szCs w:val="32"/>
          <w:rtl/>
        </w:rPr>
      </w:pPr>
      <w:r>
        <w:rPr>
          <w:rFonts w:hint="cs"/>
          <w:b/>
          <w:bCs/>
          <w:sz w:val="32"/>
          <w:szCs w:val="32"/>
          <w:rtl/>
        </w:rPr>
        <w:t>الجدول 14</w:t>
      </w:r>
    </w:p>
    <w:p w:rsidR="00000000" w:rsidRDefault="00443EC1">
      <w:pPr>
        <w:spacing w:before="100" w:after="100"/>
        <w:jc w:val="center"/>
        <w:rPr>
          <w:rFonts w:hint="cs"/>
          <w:b/>
          <w:bCs/>
          <w:sz w:val="32"/>
          <w:szCs w:val="32"/>
          <w:rtl/>
        </w:rPr>
      </w:pPr>
      <w:r>
        <w:rPr>
          <w:rFonts w:hint="cs"/>
          <w:b/>
          <w:bCs/>
          <w:sz w:val="32"/>
          <w:szCs w:val="32"/>
          <w:rtl/>
        </w:rPr>
        <w:t>الإنفاق على الصحة في ميزانيات الحكومة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2"/>
        <w:gridCol w:w="1953"/>
        <w:gridCol w:w="2141"/>
        <w:gridCol w:w="1890"/>
        <w:gridCol w:w="2404"/>
      </w:tblGrid>
      <w:tr w:rsidR="00443EC1" w:rsidTr="00443EC1">
        <w:tblPrEx>
          <w:tblCellMar>
            <w:top w:w="0" w:type="dxa"/>
            <w:bottom w:w="0" w:type="dxa"/>
          </w:tblCellMar>
        </w:tblPrEx>
        <w:trPr>
          <w:jc w:val="center"/>
        </w:trPr>
        <w:tc>
          <w:tcPr>
            <w:tcW w:w="1182" w:type="dxa"/>
            <w:tcBorders>
              <w:bottom w:val="single" w:sz="4" w:space="0" w:color="auto"/>
            </w:tcBorders>
            <w:vAlign w:val="bottom"/>
          </w:tcPr>
          <w:p w:rsidR="00443EC1" w:rsidRDefault="00443EC1">
            <w:pPr>
              <w:spacing w:before="100" w:after="100" w:line="240" w:lineRule="exact"/>
              <w:jc w:val="center"/>
              <w:rPr>
                <w:rStyle w:val="FootnoteReference"/>
                <w:rFonts w:hint="cs"/>
                <w:bCs w:val="0"/>
                <w:szCs w:val="22"/>
                <w:vertAlign w:val="baseline"/>
              </w:rPr>
            </w:pPr>
            <w:r>
              <w:rPr>
                <w:rFonts w:hint="cs"/>
                <w:szCs w:val="22"/>
                <w:rtl/>
              </w:rPr>
              <w:t>السنة</w:t>
            </w:r>
          </w:p>
        </w:tc>
        <w:tc>
          <w:tcPr>
            <w:tcW w:w="1953" w:type="dxa"/>
            <w:tcBorders>
              <w:bottom w:val="single" w:sz="4" w:space="0" w:color="auto"/>
            </w:tcBorders>
            <w:vAlign w:val="bottom"/>
          </w:tcPr>
          <w:p w:rsidR="00443EC1" w:rsidRDefault="00443EC1">
            <w:pPr>
              <w:spacing w:before="100" w:after="100" w:line="240" w:lineRule="exact"/>
              <w:jc w:val="center"/>
              <w:rPr>
                <w:rStyle w:val="FootnoteReference"/>
                <w:rFonts w:hint="cs"/>
                <w:bCs w:val="0"/>
                <w:szCs w:val="22"/>
                <w:vertAlign w:val="baseline"/>
              </w:rPr>
            </w:pPr>
            <w:r>
              <w:rPr>
                <w:rFonts w:hint="cs"/>
                <w:szCs w:val="22"/>
                <w:rtl/>
              </w:rPr>
              <w:t>إجمالي الإنفاق على الصحة (بمليارات اليوان)</w:t>
            </w:r>
          </w:p>
        </w:tc>
        <w:tc>
          <w:tcPr>
            <w:tcW w:w="2141" w:type="dxa"/>
            <w:tcBorders>
              <w:bottom w:val="single" w:sz="4" w:space="0" w:color="auto"/>
            </w:tcBorders>
            <w:vAlign w:val="bottom"/>
          </w:tcPr>
          <w:p w:rsidR="00443EC1" w:rsidRDefault="00443EC1">
            <w:pPr>
              <w:spacing w:before="100" w:after="100" w:line="240" w:lineRule="exact"/>
              <w:jc w:val="center"/>
              <w:rPr>
                <w:rFonts w:hint="cs"/>
                <w:szCs w:val="22"/>
                <w:rtl/>
              </w:rPr>
            </w:pPr>
            <w:r>
              <w:rPr>
                <w:rFonts w:hint="cs"/>
                <w:szCs w:val="22"/>
                <w:rtl/>
              </w:rPr>
              <w:t>الإنفاق الحكومي على الصحة</w:t>
            </w:r>
          </w:p>
          <w:p w:rsidR="00443EC1" w:rsidRDefault="00443EC1">
            <w:pPr>
              <w:spacing w:before="100" w:after="100" w:line="240" w:lineRule="exact"/>
              <w:jc w:val="center"/>
              <w:rPr>
                <w:rStyle w:val="FootnoteReference"/>
                <w:rFonts w:hint="cs"/>
                <w:bCs w:val="0"/>
                <w:szCs w:val="22"/>
                <w:vertAlign w:val="baseline"/>
              </w:rPr>
            </w:pPr>
            <w:r>
              <w:rPr>
                <w:rFonts w:hint="cs"/>
                <w:szCs w:val="22"/>
                <w:rtl/>
              </w:rPr>
              <w:t>(بمليارات اليوان)</w:t>
            </w:r>
          </w:p>
        </w:tc>
        <w:tc>
          <w:tcPr>
            <w:tcW w:w="1890" w:type="dxa"/>
            <w:tcBorders>
              <w:bottom w:val="single" w:sz="4" w:space="0" w:color="auto"/>
            </w:tcBorders>
            <w:vAlign w:val="bottom"/>
          </w:tcPr>
          <w:p w:rsidR="00443EC1" w:rsidRDefault="00443EC1">
            <w:pPr>
              <w:spacing w:before="100" w:after="100" w:line="240" w:lineRule="exact"/>
              <w:jc w:val="center"/>
              <w:rPr>
                <w:rFonts w:hint="cs"/>
                <w:szCs w:val="22"/>
                <w:rtl/>
              </w:rPr>
            </w:pPr>
            <w:r>
              <w:rPr>
                <w:rFonts w:hint="cs"/>
                <w:szCs w:val="22"/>
                <w:rtl/>
              </w:rPr>
              <w:t>حصة الحكومة من المجموع</w:t>
            </w:r>
          </w:p>
          <w:p w:rsidR="00443EC1" w:rsidRDefault="00443EC1">
            <w:pPr>
              <w:spacing w:before="100" w:after="100" w:line="240" w:lineRule="exact"/>
              <w:jc w:val="center"/>
              <w:rPr>
                <w:rStyle w:val="FootnoteReference"/>
                <w:rFonts w:hint="cs"/>
                <w:bCs w:val="0"/>
                <w:szCs w:val="22"/>
                <w:vertAlign w:val="baseline"/>
              </w:rPr>
            </w:pPr>
            <w:r>
              <w:rPr>
                <w:rFonts w:hint="cs"/>
                <w:szCs w:val="22"/>
                <w:rtl/>
              </w:rPr>
              <w:t>(نسبة مئوية)</w:t>
            </w:r>
          </w:p>
        </w:tc>
        <w:tc>
          <w:tcPr>
            <w:tcW w:w="2404" w:type="dxa"/>
            <w:tcBorders>
              <w:bottom w:val="single" w:sz="4" w:space="0" w:color="auto"/>
            </w:tcBorders>
            <w:vAlign w:val="bottom"/>
          </w:tcPr>
          <w:p w:rsidR="00443EC1" w:rsidRDefault="00443EC1">
            <w:pPr>
              <w:spacing w:before="100" w:after="100" w:line="240" w:lineRule="exact"/>
              <w:jc w:val="center"/>
              <w:rPr>
                <w:rStyle w:val="FootnoteReference"/>
                <w:rFonts w:hint="cs"/>
                <w:bCs w:val="0"/>
                <w:szCs w:val="22"/>
                <w:vertAlign w:val="baseline"/>
              </w:rPr>
            </w:pPr>
            <w:r>
              <w:rPr>
                <w:rFonts w:hint="cs"/>
                <w:szCs w:val="22"/>
                <w:rtl/>
              </w:rPr>
              <w:t>الإنفاق على الصحة كنسبة مئوية من إجمالي ميزانية الحكومة</w:t>
            </w:r>
          </w:p>
        </w:tc>
      </w:tr>
      <w:tr w:rsidR="00443EC1" w:rsidTr="00443EC1">
        <w:tblPrEx>
          <w:tblCellMar>
            <w:top w:w="0" w:type="dxa"/>
            <w:bottom w:w="0" w:type="dxa"/>
          </w:tblCellMar>
        </w:tblPrEx>
        <w:trPr>
          <w:jc w:val="center"/>
        </w:trPr>
        <w:tc>
          <w:tcPr>
            <w:tcW w:w="1182" w:type="dxa"/>
            <w:tcBorders>
              <w:bottom w:val="nil"/>
            </w:tcBorders>
          </w:tcPr>
          <w:p w:rsidR="00443EC1" w:rsidRDefault="00443EC1">
            <w:pPr>
              <w:spacing w:before="0" w:after="0" w:line="260" w:lineRule="exact"/>
              <w:jc w:val="center"/>
              <w:rPr>
                <w:rStyle w:val="FootnoteReference"/>
                <w:rFonts w:hint="cs"/>
                <w:bCs w:val="0"/>
                <w:szCs w:val="22"/>
                <w:vertAlign w:val="baseline"/>
              </w:rPr>
            </w:pPr>
            <w:r>
              <w:rPr>
                <w:rFonts w:hint="cs"/>
                <w:szCs w:val="22"/>
                <w:rtl/>
              </w:rPr>
              <w:t>1990</w:t>
            </w:r>
          </w:p>
        </w:tc>
        <w:tc>
          <w:tcPr>
            <w:tcW w:w="1953" w:type="dxa"/>
            <w:tcBorders>
              <w:bottom w:val="nil"/>
            </w:tcBorders>
          </w:tcPr>
          <w:p w:rsidR="00443EC1" w:rsidRDefault="00443EC1">
            <w:pPr>
              <w:tabs>
                <w:tab w:val="decimal" w:pos="781"/>
              </w:tabs>
              <w:spacing w:before="0" w:after="0" w:line="260" w:lineRule="exact"/>
              <w:jc w:val="both"/>
              <w:rPr>
                <w:rStyle w:val="FootnoteReference"/>
                <w:rFonts w:hint="cs"/>
                <w:bCs w:val="0"/>
                <w:szCs w:val="22"/>
                <w:vertAlign w:val="baseline"/>
              </w:rPr>
            </w:pPr>
            <w:r>
              <w:rPr>
                <w:rFonts w:hint="cs"/>
                <w:szCs w:val="22"/>
                <w:rtl/>
              </w:rPr>
              <w:t>74.30</w:t>
            </w:r>
          </w:p>
        </w:tc>
        <w:tc>
          <w:tcPr>
            <w:tcW w:w="2141" w:type="dxa"/>
            <w:tcBorders>
              <w:bottom w:val="nil"/>
            </w:tcBorders>
          </w:tcPr>
          <w:p w:rsidR="00443EC1" w:rsidRDefault="00443EC1">
            <w:pPr>
              <w:tabs>
                <w:tab w:val="decimal" w:pos="913"/>
              </w:tabs>
              <w:spacing w:before="0" w:after="0" w:line="260" w:lineRule="exact"/>
              <w:jc w:val="both"/>
              <w:rPr>
                <w:rStyle w:val="FootnoteReference"/>
                <w:rFonts w:hint="cs"/>
                <w:bCs w:val="0"/>
                <w:szCs w:val="22"/>
                <w:vertAlign w:val="baseline"/>
              </w:rPr>
            </w:pPr>
            <w:r>
              <w:rPr>
                <w:rFonts w:hint="cs"/>
                <w:szCs w:val="22"/>
                <w:rtl/>
              </w:rPr>
              <w:t>18.57</w:t>
            </w:r>
          </w:p>
        </w:tc>
        <w:tc>
          <w:tcPr>
            <w:tcW w:w="1890" w:type="dxa"/>
            <w:tcBorders>
              <w:bottom w:val="nil"/>
            </w:tcBorders>
          </w:tcPr>
          <w:p w:rsidR="00443EC1" w:rsidRDefault="00443EC1">
            <w:pPr>
              <w:tabs>
                <w:tab w:val="decimal" w:pos="774"/>
              </w:tabs>
              <w:spacing w:before="0" w:after="0" w:line="260" w:lineRule="exact"/>
              <w:jc w:val="both"/>
              <w:rPr>
                <w:rStyle w:val="FootnoteReference"/>
                <w:rFonts w:hint="cs"/>
                <w:bCs w:val="0"/>
                <w:szCs w:val="22"/>
                <w:vertAlign w:val="baseline"/>
              </w:rPr>
            </w:pPr>
            <w:r>
              <w:rPr>
                <w:rFonts w:hint="cs"/>
                <w:szCs w:val="22"/>
                <w:rtl/>
              </w:rPr>
              <w:t>25.0</w:t>
            </w:r>
          </w:p>
        </w:tc>
        <w:tc>
          <w:tcPr>
            <w:tcW w:w="2404" w:type="dxa"/>
            <w:tcBorders>
              <w:bottom w:val="nil"/>
            </w:tcBorders>
          </w:tcPr>
          <w:p w:rsidR="00443EC1" w:rsidRDefault="00443EC1">
            <w:pPr>
              <w:tabs>
                <w:tab w:val="decimal" w:pos="1152"/>
              </w:tabs>
              <w:spacing w:before="0" w:after="0" w:line="260" w:lineRule="exact"/>
              <w:jc w:val="both"/>
              <w:rPr>
                <w:rStyle w:val="FootnoteReference"/>
                <w:rFonts w:hint="cs"/>
                <w:bCs w:val="0"/>
                <w:szCs w:val="22"/>
                <w:vertAlign w:val="baseline"/>
              </w:rPr>
            </w:pPr>
            <w:r>
              <w:rPr>
                <w:rFonts w:hint="cs"/>
                <w:szCs w:val="22"/>
                <w:rtl/>
              </w:rPr>
              <w:t>6.02</w:t>
            </w:r>
          </w:p>
        </w:tc>
      </w:tr>
      <w:tr w:rsidR="00443EC1" w:rsidTr="00443EC1">
        <w:tblPrEx>
          <w:tblCellMar>
            <w:top w:w="0" w:type="dxa"/>
            <w:bottom w:w="0" w:type="dxa"/>
          </w:tblCellMar>
        </w:tblPrEx>
        <w:trPr>
          <w:jc w:val="center"/>
        </w:trPr>
        <w:tc>
          <w:tcPr>
            <w:tcW w:w="1182" w:type="dxa"/>
            <w:tcBorders>
              <w:top w:val="nil"/>
              <w:bottom w:val="nil"/>
            </w:tcBorders>
          </w:tcPr>
          <w:p w:rsidR="00443EC1" w:rsidRDefault="00443EC1">
            <w:pPr>
              <w:spacing w:before="0" w:after="0" w:line="260" w:lineRule="exact"/>
              <w:jc w:val="center"/>
              <w:rPr>
                <w:rStyle w:val="FootnoteReference"/>
                <w:rFonts w:hint="cs"/>
                <w:bCs w:val="0"/>
                <w:szCs w:val="22"/>
                <w:vertAlign w:val="baseline"/>
              </w:rPr>
            </w:pPr>
            <w:r>
              <w:rPr>
                <w:rFonts w:hint="cs"/>
                <w:szCs w:val="22"/>
                <w:rtl/>
              </w:rPr>
              <w:t>1991</w:t>
            </w:r>
          </w:p>
        </w:tc>
        <w:tc>
          <w:tcPr>
            <w:tcW w:w="1953" w:type="dxa"/>
            <w:tcBorders>
              <w:top w:val="nil"/>
              <w:bottom w:val="nil"/>
            </w:tcBorders>
          </w:tcPr>
          <w:p w:rsidR="00443EC1" w:rsidRDefault="00443EC1">
            <w:pPr>
              <w:tabs>
                <w:tab w:val="decimal" w:pos="781"/>
              </w:tabs>
              <w:spacing w:before="0" w:after="0" w:line="260" w:lineRule="exact"/>
              <w:jc w:val="both"/>
              <w:rPr>
                <w:rStyle w:val="FootnoteReference"/>
                <w:rFonts w:hint="cs"/>
                <w:bCs w:val="0"/>
                <w:szCs w:val="22"/>
                <w:vertAlign w:val="baseline"/>
              </w:rPr>
            </w:pPr>
            <w:r>
              <w:rPr>
                <w:rFonts w:hint="cs"/>
                <w:szCs w:val="22"/>
                <w:rtl/>
              </w:rPr>
              <w:t>88.86</w:t>
            </w:r>
          </w:p>
        </w:tc>
        <w:tc>
          <w:tcPr>
            <w:tcW w:w="2141" w:type="dxa"/>
            <w:tcBorders>
              <w:top w:val="nil"/>
              <w:bottom w:val="nil"/>
            </w:tcBorders>
          </w:tcPr>
          <w:p w:rsidR="00443EC1" w:rsidRDefault="00443EC1">
            <w:pPr>
              <w:tabs>
                <w:tab w:val="decimal" w:pos="913"/>
              </w:tabs>
              <w:spacing w:before="0" w:after="0" w:line="260" w:lineRule="exact"/>
              <w:jc w:val="both"/>
              <w:rPr>
                <w:rStyle w:val="FootnoteReference"/>
                <w:rFonts w:hint="cs"/>
                <w:bCs w:val="0"/>
                <w:szCs w:val="22"/>
                <w:vertAlign w:val="baseline"/>
              </w:rPr>
            </w:pPr>
            <w:r>
              <w:rPr>
                <w:rFonts w:hint="cs"/>
                <w:szCs w:val="22"/>
                <w:rtl/>
              </w:rPr>
              <w:t>20.23</w:t>
            </w:r>
          </w:p>
        </w:tc>
        <w:tc>
          <w:tcPr>
            <w:tcW w:w="1890" w:type="dxa"/>
            <w:tcBorders>
              <w:top w:val="nil"/>
              <w:bottom w:val="nil"/>
            </w:tcBorders>
          </w:tcPr>
          <w:p w:rsidR="00443EC1" w:rsidRDefault="00443EC1">
            <w:pPr>
              <w:tabs>
                <w:tab w:val="decimal" w:pos="774"/>
              </w:tabs>
              <w:spacing w:before="0" w:after="0" w:line="260" w:lineRule="exact"/>
              <w:jc w:val="both"/>
              <w:rPr>
                <w:rStyle w:val="FootnoteReference"/>
                <w:rFonts w:hint="cs"/>
                <w:bCs w:val="0"/>
                <w:szCs w:val="22"/>
                <w:vertAlign w:val="baseline"/>
              </w:rPr>
            </w:pPr>
            <w:r>
              <w:rPr>
                <w:rFonts w:hint="cs"/>
                <w:szCs w:val="22"/>
                <w:rtl/>
              </w:rPr>
              <w:t>22.8</w:t>
            </w:r>
          </w:p>
        </w:tc>
        <w:tc>
          <w:tcPr>
            <w:tcW w:w="2404" w:type="dxa"/>
            <w:tcBorders>
              <w:top w:val="nil"/>
              <w:bottom w:val="nil"/>
            </w:tcBorders>
          </w:tcPr>
          <w:p w:rsidR="00443EC1" w:rsidRDefault="00443EC1">
            <w:pPr>
              <w:tabs>
                <w:tab w:val="decimal" w:pos="1152"/>
              </w:tabs>
              <w:spacing w:before="0" w:after="0" w:line="260" w:lineRule="exact"/>
              <w:jc w:val="both"/>
              <w:rPr>
                <w:rStyle w:val="FootnoteReference"/>
                <w:rFonts w:hint="cs"/>
                <w:bCs w:val="0"/>
                <w:szCs w:val="22"/>
                <w:vertAlign w:val="baseline"/>
              </w:rPr>
            </w:pPr>
            <w:r>
              <w:rPr>
                <w:rFonts w:hint="cs"/>
                <w:szCs w:val="22"/>
                <w:rtl/>
              </w:rPr>
              <w:t>5.97</w:t>
            </w:r>
          </w:p>
        </w:tc>
      </w:tr>
      <w:tr w:rsidR="00443EC1" w:rsidTr="00443EC1">
        <w:tblPrEx>
          <w:tblCellMar>
            <w:top w:w="0" w:type="dxa"/>
            <w:bottom w:w="0" w:type="dxa"/>
          </w:tblCellMar>
        </w:tblPrEx>
        <w:trPr>
          <w:jc w:val="center"/>
        </w:trPr>
        <w:tc>
          <w:tcPr>
            <w:tcW w:w="1182" w:type="dxa"/>
            <w:tcBorders>
              <w:top w:val="nil"/>
              <w:bottom w:val="nil"/>
            </w:tcBorders>
          </w:tcPr>
          <w:p w:rsidR="00443EC1" w:rsidRDefault="00443EC1">
            <w:pPr>
              <w:spacing w:before="0" w:after="0" w:line="260" w:lineRule="exact"/>
              <w:jc w:val="center"/>
              <w:rPr>
                <w:rStyle w:val="FootnoteReference"/>
                <w:rFonts w:hint="cs"/>
                <w:bCs w:val="0"/>
                <w:szCs w:val="22"/>
                <w:vertAlign w:val="baseline"/>
              </w:rPr>
            </w:pPr>
            <w:r>
              <w:rPr>
                <w:rFonts w:hint="cs"/>
                <w:szCs w:val="22"/>
                <w:rtl/>
              </w:rPr>
              <w:t>1992</w:t>
            </w:r>
          </w:p>
        </w:tc>
        <w:tc>
          <w:tcPr>
            <w:tcW w:w="1953" w:type="dxa"/>
            <w:tcBorders>
              <w:top w:val="nil"/>
              <w:bottom w:val="nil"/>
            </w:tcBorders>
          </w:tcPr>
          <w:p w:rsidR="00443EC1" w:rsidRDefault="00443EC1">
            <w:pPr>
              <w:tabs>
                <w:tab w:val="decimal" w:pos="781"/>
              </w:tabs>
              <w:spacing w:before="0" w:after="0" w:line="260" w:lineRule="exact"/>
              <w:jc w:val="both"/>
              <w:rPr>
                <w:rStyle w:val="FootnoteReference"/>
                <w:rFonts w:hint="cs"/>
                <w:bCs w:val="0"/>
                <w:szCs w:val="22"/>
                <w:vertAlign w:val="baseline"/>
              </w:rPr>
            </w:pPr>
            <w:r>
              <w:rPr>
                <w:rFonts w:hint="cs"/>
                <w:szCs w:val="22"/>
                <w:rtl/>
              </w:rPr>
              <w:t>109.07</w:t>
            </w:r>
          </w:p>
        </w:tc>
        <w:tc>
          <w:tcPr>
            <w:tcW w:w="2141" w:type="dxa"/>
            <w:tcBorders>
              <w:top w:val="nil"/>
              <w:bottom w:val="nil"/>
            </w:tcBorders>
          </w:tcPr>
          <w:p w:rsidR="00443EC1" w:rsidRDefault="00443EC1">
            <w:pPr>
              <w:tabs>
                <w:tab w:val="decimal" w:pos="913"/>
              </w:tabs>
              <w:spacing w:before="0" w:after="0" w:line="260" w:lineRule="exact"/>
              <w:jc w:val="both"/>
              <w:rPr>
                <w:rStyle w:val="FootnoteReference"/>
                <w:rFonts w:hint="cs"/>
                <w:bCs w:val="0"/>
                <w:szCs w:val="22"/>
                <w:vertAlign w:val="baseline"/>
              </w:rPr>
            </w:pPr>
            <w:r>
              <w:rPr>
                <w:rFonts w:hint="cs"/>
                <w:szCs w:val="22"/>
                <w:rtl/>
              </w:rPr>
              <w:t>22.65</w:t>
            </w:r>
          </w:p>
        </w:tc>
        <w:tc>
          <w:tcPr>
            <w:tcW w:w="1890" w:type="dxa"/>
            <w:tcBorders>
              <w:top w:val="nil"/>
              <w:bottom w:val="nil"/>
            </w:tcBorders>
          </w:tcPr>
          <w:p w:rsidR="00443EC1" w:rsidRDefault="00443EC1">
            <w:pPr>
              <w:tabs>
                <w:tab w:val="decimal" w:pos="774"/>
              </w:tabs>
              <w:spacing w:before="0" w:after="0" w:line="260" w:lineRule="exact"/>
              <w:jc w:val="both"/>
              <w:rPr>
                <w:rStyle w:val="FootnoteReference"/>
                <w:rFonts w:hint="cs"/>
                <w:bCs w:val="0"/>
                <w:szCs w:val="22"/>
                <w:vertAlign w:val="baseline"/>
              </w:rPr>
            </w:pPr>
            <w:r>
              <w:rPr>
                <w:rFonts w:hint="cs"/>
                <w:szCs w:val="22"/>
                <w:rtl/>
              </w:rPr>
              <w:t>20.8</w:t>
            </w:r>
          </w:p>
        </w:tc>
        <w:tc>
          <w:tcPr>
            <w:tcW w:w="2404" w:type="dxa"/>
            <w:tcBorders>
              <w:top w:val="nil"/>
              <w:bottom w:val="nil"/>
            </w:tcBorders>
          </w:tcPr>
          <w:p w:rsidR="00443EC1" w:rsidRDefault="00443EC1">
            <w:pPr>
              <w:tabs>
                <w:tab w:val="decimal" w:pos="1152"/>
              </w:tabs>
              <w:spacing w:before="0" w:after="0" w:line="260" w:lineRule="exact"/>
              <w:jc w:val="both"/>
              <w:rPr>
                <w:rStyle w:val="FootnoteReference"/>
                <w:rFonts w:hint="cs"/>
                <w:bCs w:val="0"/>
                <w:szCs w:val="22"/>
                <w:vertAlign w:val="baseline"/>
              </w:rPr>
            </w:pPr>
            <w:r>
              <w:rPr>
                <w:rFonts w:hint="cs"/>
                <w:szCs w:val="22"/>
                <w:rtl/>
              </w:rPr>
              <w:t>6.05</w:t>
            </w:r>
          </w:p>
        </w:tc>
      </w:tr>
      <w:tr w:rsidR="00443EC1" w:rsidTr="00443EC1">
        <w:tblPrEx>
          <w:tblCellMar>
            <w:top w:w="0" w:type="dxa"/>
            <w:bottom w:w="0" w:type="dxa"/>
          </w:tblCellMar>
        </w:tblPrEx>
        <w:trPr>
          <w:jc w:val="center"/>
        </w:trPr>
        <w:tc>
          <w:tcPr>
            <w:tcW w:w="1182" w:type="dxa"/>
            <w:tcBorders>
              <w:top w:val="nil"/>
              <w:bottom w:val="nil"/>
            </w:tcBorders>
          </w:tcPr>
          <w:p w:rsidR="00443EC1" w:rsidRDefault="00443EC1">
            <w:pPr>
              <w:spacing w:before="0" w:after="0" w:line="260" w:lineRule="exact"/>
              <w:jc w:val="center"/>
              <w:rPr>
                <w:rStyle w:val="FootnoteReference"/>
                <w:rFonts w:hint="cs"/>
                <w:bCs w:val="0"/>
                <w:szCs w:val="22"/>
                <w:vertAlign w:val="baseline"/>
              </w:rPr>
            </w:pPr>
            <w:r>
              <w:rPr>
                <w:rFonts w:hint="cs"/>
                <w:szCs w:val="22"/>
                <w:rtl/>
              </w:rPr>
              <w:t>1993</w:t>
            </w:r>
          </w:p>
        </w:tc>
        <w:tc>
          <w:tcPr>
            <w:tcW w:w="1953" w:type="dxa"/>
            <w:tcBorders>
              <w:top w:val="nil"/>
              <w:bottom w:val="nil"/>
            </w:tcBorders>
          </w:tcPr>
          <w:p w:rsidR="00443EC1" w:rsidRDefault="00443EC1">
            <w:pPr>
              <w:tabs>
                <w:tab w:val="decimal" w:pos="781"/>
              </w:tabs>
              <w:spacing w:before="0" w:after="0" w:line="260" w:lineRule="exact"/>
              <w:jc w:val="both"/>
              <w:rPr>
                <w:rStyle w:val="FootnoteReference"/>
                <w:rFonts w:hint="cs"/>
                <w:bCs w:val="0"/>
                <w:szCs w:val="22"/>
                <w:vertAlign w:val="baseline"/>
              </w:rPr>
            </w:pPr>
            <w:r>
              <w:rPr>
                <w:rFonts w:hint="cs"/>
                <w:szCs w:val="22"/>
                <w:rtl/>
              </w:rPr>
              <w:t>137.04</w:t>
            </w:r>
          </w:p>
        </w:tc>
        <w:tc>
          <w:tcPr>
            <w:tcW w:w="2141" w:type="dxa"/>
            <w:tcBorders>
              <w:top w:val="nil"/>
              <w:bottom w:val="nil"/>
            </w:tcBorders>
          </w:tcPr>
          <w:p w:rsidR="00443EC1" w:rsidRDefault="00443EC1">
            <w:pPr>
              <w:tabs>
                <w:tab w:val="decimal" w:pos="913"/>
              </w:tabs>
              <w:spacing w:before="0" w:after="0" w:line="260" w:lineRule="exact"/>
              <w:jc w:val="both"/>
              <w:rPr>
                <w:rStyle w:val="FootnoteReference"/>
                <w:rFonts w:hint="cs"/>
                <w:bCs w:val="0"/>
                <w:szCs w:val="22"/>
                <w:vertAlign w:val="baseline"/>
              </w:rPr>
            </w:pPr>
            <w:r>
              <w:rPr>
                <w:rFonts w:hint="cs"/>
                <w:szCs w:val="22"/>
                <w:rtl/>
              </w:rPr>
              <w:t>26.94</w:t>
            </w:r>
          </w:p>
        </w:tc>
        <w:tc>
          <w:tcPr>
            <w:tcW w:w="1890" w:type="dxa"/>
            <w:tcBorders>
              <w:top w:val="nil"/>
              <w:bottom w:val="nil"/>
            </w:tcBorders>
          </w:tcPr>
          <w:p w:rsidR="00443EC1" w:rsidRDefault="00443EC1">
            <w:pPr>
              <w:tabs>
                <w:tab w:val="decimal" w:pos="774"/>
              </w:tabs>
              <w:spacing w:before="0" w:after="0" w:line="260" w:lineRule="exact"/>
              <w:jc w:val="both"/>
              <w:rPr>
                <w:rStyle w:val="FootnoteReference"/>
                <w:rFonts w:hint="cs"/>
                <w:bCs w:val="0"/>
                <w:szCs w:val="22"/>
                <w:vertAlign w:val="baseline"/>
              </w:rPr>
            </w:pPr>
            <w:r>
              <w:rPr>
                <w:rFonts w:hint="cs"/>
                <w:szCs w:val="22"/>
                <w:rtl/>
              </w:rPr>
              <w:t>19.7</w:t>
            </w:r>
          </w:p>
        </w:tc>
        <w:tc>
          <w:tcPr>
            <w:tcW w:w="2404" w:type="dxa"/>
            <w:tcBorders>
              <w:top w:val="nil"/>
              <w:bottom w:val="nil"/>
            </w:tcBorders>
          </w:tcPr>
          <w:p w:rsidR="00443EC1" w:rsidRDefault="00443EC1">
            <w:pPr>
              <w:tabs>
                <w:tab w:val="decimal" w:pos="1152"/>
              </w:tabs>
              <w:spacing w:before="0" w:after="0" w:line="260" w:lineRule="exact"/>
              <w:jc w:val="both"/>
              <w:rPr>
                <w:rStyle w:val="FootnoteReference"/>
                <w:rFonts w:hint="cs"/>
                <w:bCs w:val="0"/>
                <w:szCs w:val="22"/>
                <w:vertAlign w:val="baseline"/>
              </w:rPr>
            </w:pPr>
            <w:r>
              <w:rPr>
                <w:rFonts w:hint="cs"/>
                <w:szCs w:val="22"/>
                <w:rtl/>
              </w:rPr>
              <w:t>5.80</w:t>
            </w:r>
          </w:p>
        </w:tc>
      </w:tr>
      <w:tr w:rsidR="00443EC1" w:rsidTr="00443EC1">
        <w:tblPrEx>
          <w:tblCellMar>
            <w:top w:w="0" w:type="dxa"/>
            <w:bottom w:w="0" w:type="dxa"/>
          </w:tblCellMar>
        </w:tblPrEx>
        <w:trPr>
          <w:jc w:val="center"/>
        </w:trPr>
        <w:tc>
          <w:tcPr>
            <w:tcW w:w="1182" w:type="dxa"/>
            <w:tcBorders>
              <w:top w:val="nil"/>
              <w:bottom w:val="nil"/>
            </w:tcBorders>
          </w:tcPr>
          <w:p w:rsidR="00443EC1" w:rsidRDefault="00443EC1">
            <w:pPr>
              <w:spacing w:before="0" w:after="0" w:line="260" w:lineRule="exact"/>
              <w:jc w:val="center"/>
              <w:rPr>
                <w:rStyle w:val="FootnoteReference"/>
                <w:rFonts w:hint="cs"/>
                <w:bCs w:val="0"/>
                <w:szCs w:val="22"/>
                <w:vertAlign w:val="baseline"/>
              </w:rPr>
            </w:pPr>
            <w:r>
              <w:rPr>
                <w:rFonts w:hint="cs"/>
                <w:szCs w:val="22"/>
                <w:rtl/>
              </w:rPr>
              <w:t>1994</w:t>
            </w:r>
          </w:p>
        </w:tc>
        <w:tc>
          <w:tcPr>
            <w:tcW w:w="1953" w:type="dxa"/>
            <w:tcBorders>
              <w:top w:val="nil"/>
              <w:bottom w:val="nil"/>
            </w:tcBorders>
          </w:tcPr>
          <w:p w:rsidR="00443EC1" w:rsidRDefault="00443EC1">
            <w:pPr>
              <w:tabs>
                <w:tab w:val="decimal" w:pos="781"/>
              </w:tabs>
              <w:spacing w:before="0" w:after="0" w:line="260" w:lineRule="exact"/>
              <w:jc w:val="both"/>
              <w:rPr>
                <w:rStyle w:val="FootnoteReference"/>
                <w:rFonts w:hint="cs"/>
                <w:bCs w:val="0"/>
                <w:szCs w:val="22"/>
                <w:vertAlign w:val="baseline"/>
              </w:rPr>
            </w:pPr>
            <w:r>
              <w:rPr>
                <w:rFonts w:hint="cs"/>
                <w:szCs w:val="22"/>
                <w:rtl/>
              </w:rPr>
              <w:t>176.86</w:t>
            </w:r>
          </w:p>
        </w:tc>
        <w:tc>
          <w:tcPr>
            <w:tcW w:w="2141" w:type="dxa"/>
            <w:tcBorders>
              <w:top w:val="nil"/>
              <w:bottom w:val="nil"/>
            </w:tcBorders>
          </w:tcPr>
          <w:p w:rsidR="00443EC1" w:rsidRDefault="00443EC1">
            <w:pPr>
              <w:tabs>
                <w:tab w:val="decimal" w:pos="913"/>
              </w:tabs>
              <w:spacing w:before="0" w:after="0" w:line="260" w:lineRule="exact"/>
              <w:jc w:val="both"/>
              <w:rPr>
                <w:rStyle w:val="FootnoteReference"/>
                <w:rFonts w:hint="cs"/>
                <w:bCs w:val="0"/>
                <w:szCs w:val="22"/>
                <w:vertAlign w:val="baseline"/>
              </w:rPr>
            </w:pPr>
            <w:r>
              <w:rPr>
                <w:rFonts w:hint="cs"/>
                <w:szCs w:val="22"/>
                <w:rtl/>
              </w:rPr>
              <w:t>33.84</w:t>
            </w:r>
          </w:p>
        </w:tc>
        <w:tc>
          <w:tcPr>
            <w:tcW w:w="1890" w:type="dxa"/>
            <w:tcBorders>
              <w:top w:val="nil"/>
              <w:bottom w:val="nil"/>
            </w:tcBorders>
          </w:tcPr>
          <w:p w:rsidR="00443EC1" w:rsidRDefault="00443EC1">
            <w:pPr>
              <w:tabs>
                <w:tab w:val="decimal" w:pos="774"/>
              </w:tabs>
              <w:spacing w:before="0" w:after="0" w:line="260" w:lineRule="exact"/>
              <w:jc w:val="both"/>
              <w:rPr>
                <w:rStyle w:val="FootnoteReference"/>
                <w:rFonts w:hint="cs"/>
                <w:bCs w:val="0"/>
                <w:szCs w:val="22"/>
                <w:vertAlign w:val="baseline"/>
              </w:rPr>
            </w:pPr>
            <w:r>
              <w:rPr>
                <w:rFonts w:hint="cs"/>
                <w:szCs w:val="22"/>
                <w:rtl/>
              </w:rPr>
              <w:t>19.1</w:t>
            </w:r>
          </w:p>
        </w:tc>
        <w:tc>
          <w:tcPr>
            <w:tcW w:w="2404" w:type="dxa"/>
            <w:tcBorders>
              <w:top w:val="nil"/>
              <w:bottom w:val="nil"/>
            </w:tcBorders>
          </w:tcPr>
          <w:p w:rsidR="00443EC1" w:rsidRDefault="00443EC1">
            <w:pPr>
              <w:tabs>
                <w:tab w:val="decimal" w:pos="1152"/>
              </w:tabs>
              <w:spacing w:before="0" w:after="0" w:line="260" w:lineRule="exact"/>
              <w:jc w:val="both"/>
              <w:rPr>
                <w:rStyle w:val="FootnoteReference"/>
                <w:rFonts w:hint="cs"/>
                <w:bCs w:val="0"/>
                <w:szCs w:val="22"/>
                <w:vertAlign w:val="baseline"/>
              </w:rPr>
            </w:pPr>
            <w:r>
              <w:rPr>
                <w:rFonts w:hint="cs"/>
                <w:szCs w:val="22"/>
                <w:rtl/>
              </w:rPr>
              <w:t>5.84</w:t>
            </w:r>
          </w:p>
        </w:tc>
      </w:tr>
      <w:tr w:rsidR="00443EC1" w:rsidTr="00443EC1">
        <w:tblPrEx>
          <w:tblCellMar>
            <w:top w:w="0" w:type="dxa"/>
            <w:bottom w:w="0" w:type="dxa"/>
          </w:tblCellMar>
        </w:tblPrEx>
        <w:trPr>
          <w:jc w:val="center"/>
        </w:trPr>
        <w:tc>
          <w:tcPr>
            <w:tcW w:w="1182" w:type="dxa"/>
            <w:tcBorders>
              <w:top w:val="nil"/>
              <w:bottom w:val="nil"/>
            </w:tcBorders>
          </w:tcPr>
          <w:p w:rsidR="00443EC1" w:rsidRDefault="00443EC1">
            <w:pPr>
              <w:spacing w:before="0" w:after="0" w:line="260" w:lineRule="exact"/>
              <w:jc w:val="center"/>
              <w:rPr>
                <w:rStyle w:val="FootnoteReference"/>
                <w:rFonts w:hint="cs"/>
                <w:bCs w:val="0"/>
                <w:szCs w:val="22"/>
                <w:vertAlign w:val="baseline"/>
              </w:rPr>
            </w:pPr>
            <w:r>
              <w:rPr>
                <w:rFonts w:hint="cs"/>
                <w:szCs w:val="22"/>
                <w:rtl/>
              </w:rPr>
              <w:t>1995</w:t>
            </w:r>
          </w:p>
        </w:tc>
        <w:tc>
          <w:tcPr>
            <w:tcW w:w="1953" w:type="dxa"/>
            <w:tcBorders>
              <w:top w:val="nil"/>
              <w:bottom w:val="nil"/>
            </w:tcBorders>
          </w:tcPr>
          <w:p w:rsidR="00443EC1" w:rsidRDefault="00443EC1">
            <w:pPr>
              <w:tabs>
                <w:tab w:val="decimal" w:pos="781"/>
              </w:tabs>
              <w:spacing w:before="0" w:after="0" w:line="260" w:lineRule="exact"/>
              <w:jc w:val="both"/>
              <w:rPr>
                <w:rStyle w:val="FootnoteReference"/>
                <w:rFonts w:hint="cs"/>
                <w:bCs w:val="0"/>
                <w:szCs w:val="22"/>
                <w:vertAlign w:val="baseline"/>
              </w:rPr>
            </w:pPr>
            <w:r>
              <w:rPr>
                <w:rFonts w:hint="cs"/>
                <w:szCs w:val="22"/>
                <w:rtl/>
              </w:rPr>
              <w:t>225.78</w:t>
            </w:r>
          </w:p>
        </w:tc>
        <w:tc>
          <w:tcPr>
            <w:tcW w:w="2141" w:type="dxa"/>
            <w:tcBorders>
              <w:top w:val="nil"/>
              <w:bottom w:val="nil"/>
            </w:tcBorders>
          </w:tcPr>
          <w:p w:rsidR="00443EC1" w:rsidRDefault="00443EC1">
            <w:pPr>
              <w:tabs>
                <w:tab w:val="decimal" w:pos="913"/>
              </w:tabs>
              <w:spacing w:before="0" w:after="0" w:line="260" w:lineRule="exact"/>
              <w:jc w:val="both"/>
              <w:rPr>
                <w:rStyle w:val="FootnoteReference"/>
                <w:rFonts w:hint="cs"/>
                <w:bCs w:val="0"/>
                <w:szCs w:val="22"/>
                <w:vertAlign w:val="baseline"/>
              </w:rPr>
            </w:pPr>
            <w:r>
              <w:rPr>
                <w:rFonts w:hint="cs"/>
                <w:szCs w:val="22"/>
                <w:rtl/>
              </w:rPr>
              <w:t>38.31</w:t>
            </w:r>
          </w:p>
        </w:tc>
        <w:tc>
          <w:tcPr>
            <w:tcW w:w="1890" w:type="dxa"/>
            <w:tcBorders>
              <w:top w:val="nil"/>
              <w:bottom w:val="nil"/>
            </w:tcBorders>
          </w:tcPr>
          <w:p w:rsidR="00443EC1" w:rsidRDefault="00443EC1">
            <w:pPr>
              <w:tabs>
                <w:tab w:val="decimal" w:pos="774"/>
              </w:tabs>
              <w:spacing w:before="0" w:after="0" w:line="260" w:lineRule="exact"/>
              <w:jc w:val="both"/>
              <w:rPr>
                <w:rStyle w:val="FootnoteReference"/>
                <w:rFonts w:hint="cs"/>
                <w:bCs w:val="0"/>
                <w:szCs w:val="22"/>
                <w:vertAlign w:val="baseline"/>
              </w:rPr>
            </w:pPr>
            <w:r>
              <w:rPr>
                <w:rFonts w:hint="cs"/>
                <w:szCs w:val="22"/>
                <w:rtl/>
              </w:rPr>
              <w:t>17.0</w:t>
            </w:r>
          </w:p>
        </w:tc>
        <w:tc>
          <w:tcPr>
            <w:tcW w:w="2404" w:type="dxa"/>
            <w:tcBorders>
              <w:top w:val="nil"/>
              <w:bottom w:val="nil"/>
            </w:tcBorders>
          </w:tcPr>
          <w:p w:rsidR="00443EC1" w:rsidRDefault="00443EC1">
            <w:pPr>
              <w:tabs>
                <w:tab w:val="decimal" w:pos="1152"/>
              </w:tabs>
              <w:spacing w:before="0" w:after="0" w:line="260" w:lineRule="exact"/>
              <w:jc w:val="both"/>
              <w:rPr>
                <w:rStyle w:val="FootnoteReference"/>
                <w:rFonts w:hint="cs"/>
                <w:bCs w:val="0"/>
                <w:szCs w:val="22"/>
                <w:vertAlign w:val="baseline"/>
              </w:rPr>
            </w:pPr>
            <w:r>
              <w:rPr>
                <w:rFonts w:hint="cs"/>
                <w:szCs w:val="22"/>
                <w:rtl/>
              </w:rPr>
              <w:t>5.61</w:t>
            </w:r>
          </w:p>
        </w:tc>
      </w:tr>
      <w:tr w:rsidR="00443EC1" w:rsidTr="00443EC1">
        <w:tblPrEx>
          <w:tblCellMar>
            <w:top w:w="0" w:type="dxa"/>
            <w:bottom w:w="0" w:type="dxa"/>
          </w:tblCellMar>
        </w:tblPrEx>
        <w:trPr>
          <w:jc w:val="center"/>
        </w:trPr>
        <w:tc>
          <w:tcPr>
            <w:tcW w:w="1182" w:type="dxa"/>
            <w:tcBorders>
              <w:top w:val="nil"/>
              <w:bottom w:val="nil"/>
            </w:tcBorders>
          </w:tcPr>
          <w:p w:rsidR="00443EC1" w:rsidRDefault="00443EC1">
            <w:pPr>
              <w:spacing w:before="0" w:after="0" w:line="260" w:lineRule="exact"/>
              <w:jc w:val="center"/>
              <w:rPr>
                <w:rStyle w:val="FootnoteReference"/>
                <w:rFonts w:hint="cs"/>
                <w:bCs w:val="0"/>
                <w:szCs w:val="22"/>
                <w:vertAlign w:val="baseline"/>
              </w:rPr>
            </w:pPr>
            <w:r>
              <w:rPr>
                <w:rFonts w:hint="cs"/>
                <w:szCs w:val="22"/>
                <w:rtl/>
              </w:rPr>
              <w:t>1996</w:t>
            </w:r>
          </w:p>
        </w:tc>
        <w:tc>
          <w:tcPr>
            <w:tcW w:w="1953" w:type="dxa"/>
            <w:tcBorders>
              <w:top w:val="nil"/>
              <w:bottom w:val="nil"/>
            </w:tcBorders>
          </w:tcPr>
          <w:p w:rsidR="00443EC1" w:rsidRDefault="00443EC1">
            <w:pPr>
              <w:tabs>
                <w:tab w:val="decimal" w:pos="781"/>
              </w:tabs>
              <w:spacing w:before="0" w:after="0" w:line="260" w:lineRule="exact"/>
              <w:jc w:val="both"/>
              <w:rPr>
                <w:rStyle w:val="FootnoteReference"/>
                <w:rFonts w:hint="cs"/>
                <w:bCs w:val="0"/>
                <w:szCs w:val="22"/>
                <w:vertAlign w:val="baseline"/>
              </w:rPr>
            </w:pPr>
            <w:r>
              <w:rPr>
                <w:rFonts w:hint="cs"/>
                <w:szCs w:val="22"/>
                <w:rtl/>
              </w:rPr>
              <w:t>285.35</w:t>
            </w:r>
          </w:p>
        </w:tc>
        <w:tc>
          <w:tcPr>
            <w:tcW w:w="2141" w:type="dxa"/>
            <w:tcBorders>
              <w:top w:val="nil"/>
              <w:bottom w:val="nil"/>
            </w:tcBorders>
          </w:tcPr>
          <w:p w:rsidR="00443EC1" w:rsidRDefault="00443EC1">
            <w:pPr>
              <w:tabs>
                <w:tab w:val="decimal" w:pos="913"/>
              </w:tabs>
              <w:spacing w:before="0" w:after="0" w:line="260" w:lineRule="exact"/>
              <w:jc w:val="both"/>
              <w:rPr>
                <w:rStyle w:val="FootnoteReference"/>
                <w:rFonts w:hint="cs"/>
                <w:bCs w:val="0"/>
                <w:szCs w:val="22"/>
                <w:vertAlign w:val="baseline"/>
              </w:rPr>
            </w:pPr>
            <w:r>
              <w:rPr>
                <w:rFonts w:hint="cs"/>
                <w:szCs w:val="22"/>
                <w:rtl/>
              </w:rPr>
              <w:t>46.10</w:t>
            </w:r>
          </w:p>
        </w:tc>
        <w:tc>
          <w:tcPr>
            <w:tcW w:w="1890" w:type="dxa"/>
            <w:tcBorders>
              <w:top w:val="nil"/>
              <w:bottom w:val="nil"/>
            </w:tcBorders>
          </w:tcPr>
          <w:p w:rsidR="00443EC1" w:rsidRDefault="00443EC1">
            <w:pPr>
              <w:tabs>
                <w:tab w:val="decimal" w:pos="774"/>
              </w:tabs>
              <w:spacing w:before="0" w:after="0" w:line="260" w:lineRule="exact"/>
              <w:jc w:val="both"/>
              <w:rPr>
                <w:rStyle w:val="FootnoteReference"/>
                <w:rFonts w:hint="cs"/>
                <w:bCs w:val="0"/>
                <w:szCs w:val="22"/>
                <w:vertAlign w:val="baseline"/>
              </w:rPr>
            </w:pPr>
            <w:r>
              <w:rPr>
                <w:rFonts w:hint="cs"/>
                <w:szCs w:val="22"/>
                <w:rtl/>
              </w:rPr>
              <w:t>16.2</w:t>
            </w:r>
          </w:p>
        </w:tc>
        <w:tc>
          <w:tcPr>
            <w:tcW w:w="2404" w:type="dxa"/>
            <w:tcBorders>
              <w:top w:val="nil"/>
              <w:bottom w:val="nil"/>
            </w:tcBorders>
          </w:tcPr>
          <w:p w:rsidR="00443EC1" w:rsidRDefault="00443EC1">
            <w:pPr>
              <w:tabs>
                <w:tab w:val="decimal" w:pos="1152"/>
              </w:tabs>
              <w:spacing w:before="0" w:after="0" w:line="260" w:lineRule="exact"/>
              <w:jc w:val="both"/>
              <w:rPr>
                <w:rStyle w:val="FootnoteReference"/>
                <w:rFonts w:hint="cs"/>
                <w:bCs w:val="0"/>
                <w:szCs w:val="22"/>
                <w:vertAlign w:val="baseline"/>
              </w:rPr>
            </w:pPr>
            <w:r>
              <w:rPr>
                <w:rFonts w:hint="cs"/>
                <w:szCs w:val="22"/>
                <w:rtl/>
              </w:rPr>
              <w:t>5.81</w:t>
            </w:r>
          </w:p>
        </w:tc>
      </w:tr>
      <w:tr w:rsidR="00443EC1" w:rsidTr="00443EC1">
        <w:tblPrEx>
          <w:tblCellMar>
            <w:top w:w="0" w:type="dxa"/>
            <w:bottom w:w="0" w:type="dxa"/>
          </w:tblCellMar>
        </w:tblPrEx>
        <w:trPr>
          <w:jc w:val="center"/>
        </w:trPr>
        <w:tc>
          <w:tcPr>
            <w:tcW w:w="1182" w:type="dxa"/>
            <w:tcBorders>
              <w:top w:val="nil"/>
              <w:bottom w:val="nil"/>
            </w:tcBorders>
          </w:tcPr>
          <w:p w:rsidR="00443EC1" w:rsidRDefault="00443EC1">
            <w:pPr>
              <w:spacing w:before="0" w:after="0" w:line="260" w:lineRule="exact"/>
              <w:jc w:val="center"/>
              <w:rPr>
                <w:rStyle w:val="FootnoteReference"/>
                <w:rFonts w:hint="cs"/>
                <w:bCs w:val="0"/>
                <w:szCs w:val="22"/>
                <w:vertAlign w:val="baseline"/>
              </w:rPr>
            </w:pPr>
            <w:r>
              <w:rPr>
                <w:rFonts w:hint="cs"/>
                <w:szCs w:val="22"/>
                <w:rtl/>
              </w:rPr>
              <w:t>1997</w:t>
            </w:r>
          </w:p>
        </w:tc>
        <w:tc>
          <w:tcPr>
            <w:tcW w:w="1953" w:type="dxa"/>
            <w:tcBorders>
              <w:top w:val="nil"/>
              <w:bottom w:val="nil"/>
            </w:tcBorders>
          </w:tcPr>
          <w:p w:rsidR="00443EC1" w:rsidRDefault="00443EC1">
            <w:pPr>
              <w:tabs>
                <w:tab w:val="decimal" w:pos="781"/>
              </w:tabs>
              <w:spacing w:before="0" w:after="0" w:line="260" w:lineRule="exact"/>
              <w:jc w:val="both"/>
              <w:rPr>
                <w:rStyle w:val="FootnoteReference"/>
                <w:rFonts w:hint="cs"/>
                <w:bCs w:val="0"/>
                <w:szCs w:val="22"/>
                <w:vertAlign w:val="baseline"/>
              </w:rPr>
            </w:pPr>
            <w:r>
              <w:rPr>
                <w:rFonts w:hint="cs"/>
                <w:szCs w:val="22"/>
                <w:rtl/>
              </w:rPr>
              <w:t>338.49</w:t>
            </w:r>
          </w:p>
        </w:tc>
        <w:tc>
          <w:tcPr>
            <w:tcW w:w="2141" w:type="dxa"/>
            <w:tcBorders>
              <w:top w:val="nil"/>
              <w:bottom w:val="nil"/>
            </w:tcBorders>
          </w:tcPr>
          <w:p w:rsidR="00443EC1" w:rsidRDefault="00443EC1">
            <w:pPr>
              <w:tabs>
                <w:tab w:val="decimal" w:pos="913"/>
              </w:tabs>
              <w:spacing w:before="0" w:after="0" w:line="260" w:lineRule="exact"/>
              <w:jc w:val="both"/>
              <w:rPr>
                <w:rStyle w:val="FootnoteReference"/>
                <w:rFonts w:hint="cs"/>
                <w:bCs w:val="0"/>
                <w:szCs w:val="22"/>
                <w:vertAlign w:val="baseline"/>
              </w:rPr>
            </w:pPr>
            <w:r>
              <w:rPr>
                <w:rFonts w:hint="cs"/>
                <w:szCs w:val="22"/>
                <w:rtl/>
              </w:rPr>
              <w:t>52.21</w:t>
            </w:r>
          </w:p>
        </w:tc>
        <w:tc>
          <w:tcPr>
            <w:tcW w:w="1890" w:type="dxa"/>
            <w:tcBorders>
              <w:top w:val="nil"/>
              <w:bottom w:val="nil"/>
            </w:tcBorders>
          </w:tcPr>
          <w:p w:rsidR="00443EC1" w:rsidRDefault="00443EC1">
            <w:pPr>
              <w:tabs>
                <w:tab w:val="decimal" w:pos="774"/>
              </w:tabs>
              <w:spacing w:before="0" w:after="0" w:line="260" w:lineRule="exact"/>
              <w:jc w:val="both"/>
              <w:rPr>
                <w:rStyle w:val="FootnoteReference"/>
                <w:rFonts w:hint="cs"/>
                <w:bCs w:val="0"/>
                <w:szCs w:val="22"/>
                <w:vertAlign w:val="baseline"/>
              </w:rPr>
            </w:pPr>
            <w:r>
              <w:rPr>
                <w:rFonts w:hint="cs"/>
                <w:szCs w:val="22"/>
                <w:rtl/>
              </w:rPr>
              <w:t>15.4</w:t>
            </w:r>
          </w:p>
        </w:tc>
        <w:tc>
          <w:tcPr>
            <w:tcW w:w="2404" w:type="dxa"/>
            <w:tcBorders>
              <w:top w:val="nil"/>
              <w:bottom w:val="nil"/>
            </w:tcBorders>
          </w:tcPr>
          <w:p w:rsidR="00443EC1" w:rsidRDefault="00443EC1">
            <w:pPr>
              <w:tabs>
                <w:tab w:val="decimal" w:pos="1152"/>
              </w:tabs>
              <w:spacing w:before="0" w:after="0" w:line="260" w:lineRule="exact"/>
              <w:jc w:val="both"/>
              <w:rPr>
                <w:rStyle w:val="FootnoteReference"/>
                <w:rFonts w:hint="cs"/>
                <w:bCs w:val="0"/>
                <w:szCs w:val="22"/>
                <w:vertAlign w:val="baseline"/>
              </w:rPr>
            </w:pPr>
            <w:r>
              <w:rPr>
                <w:rFonts w:hint="cs"/>
                <w:szCs w:val="22"/>
                <w:rtl/>
              </w:rPr>
              <w:t>5.65</w:t>
            </w:r>
          </w:p>
        </w:tc>
      </w:tr>
      <w:tr w:rsidR="00443EC1" w:rsidTr="00443EC1">
        <w:tblPrEx>
          <w:tblCellMar>
            <w:top w:w="0" w:type="dxa"/>
            <w:bottom w:w="0" w:type="dxa"/>
          </w:tblCellMar>
        </w:tblPrEx>
        <w:trPr>
          <w:jc w:val="center"/>
        </w:trPr>
        <w:tc>
          <w:tcPr>
            <w:tcW w:w="1182" w:type="dxa"/>
            <w:tcBorders>
              <w:top w:val="nil"/>
              <w:bottom w:val="nil"/>
            </w:tcBorders>
          </w:tcPr>
          <w:p w:rsidR="00443EC1" w:rsidRDefault="00443EC1">
            <w:pPr>
              <w:spacing w:before="0" w:after="0" w:line="260" w:lineRule="exact"/>
              <w:jc w:val="center"/>
              <w:rPr>
                <w:rStyle w:val="FootnoteReference"/>
                <w:rFonts w:hint="cs"/>
                <w:bCs w:val="0"/>
                <w:szCs w:val="22"/>
                <w:vertAlign w:val="baseline"/>
              </w:rPr>
            </w:pPr>
            <w:r>
              <w:rPr>
                <w:rFonts w:hint="cs"/>
                <w:szCs w:val="22"/>
                <w:rtl/>
              </w:rPr>
              <w:t>1998</w:t>
            </w:r>
          </w:p>
        </w:tc>
        <w:tc>
          <w:tcPr>
            <w:tcW w:w="1953" w:type="dxa"/>
            <w:tcBorders>
              <w:top w:val="nil"/>
              <w:bottom w:val="nil"/>
            </w:tcBorders>
          </w:tcPr>
          <w:p w:rsidR="00443EC1" w:rsidRDefault="00443EC1">
            <w:pPr>
              <w:tabs>
                <w:tab w:val="decimal" w:pos="781"/>
              </w:tabs>
              <w:spacing w:before="0" w:after="0" w:line="260" w:lineRule="exact"/>
              <w:jc w:val="both"/>
              <w:rPr>
                <w:rStyle w:val="FootnoteReference"/>
                <w:rFonts w:hint="cs"/>
                <w:bCs w:val="0"/>
                <w:szCs w:val="22"/>
                <w:vertAlign w:val="baseline"/>
              </w:rPr>
            </w:pPr>
            <w:r>
              <w:rPr>
                <w:rFonts w:hint="cs"/>
                <w:szCs w:val="22"/>
                <w:rtl/>
              </w:rPr>
              <w:t>377.65</w:t>
            </w:r>
          </w:p>
        </w:tc>
        <w:tc>
          <w:tcPr>
            <w:tcW w:w="2141" w:type="dxa"/>
            <w:tcBorders>
              <w:top w:val="nil"/>
              <w:bottom w:val="nil"/>
            </w:tcBorders>
          </w:tcPr>
          <w:p w:rsidR="00443EC1" w:rsidRDefault="00443EC1">
            <w:pPr>
              <w:tabs>
                <w:tab w:val="decimal" w:pos="913"/>
              </w:tabs>
              <w:spacing w:before="0" w:after="0" w:line="260" w:lineRule="exact"/>
              <w:jc w:val="both"/>
              <w:rPr>
                <w:rStyle w:val="FootnoteReference"/>
                <w:rFonts w:hint="cs"/>
                <w:bCs w:val="0"/>
                <w:szCs w:val="22"/>
                <w:vertAlign w:val="baseline"/>
              </w:rPr>
            </w:pPr>
            <w:r>
              <w:rPr>
                <w:rFonts w:hint="cs"/>
                <w:szCs w:val="22"/>
                <w:rtl/>
              </w:rPr>
              <w:t>58.72</w:t>
            </w:r>
          </w:p>
        </w:tc>
        <w:tc>
          <w:tcPr>
            <w:tcW w:w="1890" w:type="dxa"/>
            <w:tcBorders>
              <w:top w:val="nil"/>
              <w:bottom w:val="nil"/>
            </w:tcBorders>
          </w:tcPr>
          <w:p w:rsidR="00443EC1" w:rsidRDefault="00443EC1">
            <w:pPr>
              <w:tabs>
                <w:tab w:val="decimal" w:pos="774"/>
              </w:tabs>
              <w:spacing w:before="0" w:after="0" w:line="260" w:lineRule="exact"/>
              <w:jc w:val="both"/>
              <w:rPr>
                <w:rStyle w:val="FootnoteReference"/>
                <w:rFonts w:hint="cs"/>
                <w:bCs w:val="0"/>
                <w:szCs w:val="22"/>
                <w:vertAlign w:val="baseline"/>
              </w:rPr>
            </w:pPr>
            <w:r>
              <w:rPr>
                <w:rFonts w:hint="cs"/>
                <w:szCs w:val="22"/>
                <w:rtl/>
              </w:rPr>
              <w:t>15.6</w:t>
            </w:r>
          </w:p>
        </w:tc>
        <w:tc>
          <w:tcPr>
            <w:tcW w:w="2404" w:type="dxa"/>
            <w:tcBorders>
              <w:top w:val="nil"/>
              <w:bottom w:val="nil"/>
            </w:tcBorders>
          </w:tcPr>
          <w:p w:rsidR="00443EC1" w:rsidRDefault="00443EC1">
            <w:pPr>
              <w:tabs>
                <w:tab w:val="decimal" w:pos="1152"/>
              </w:tabs>
              <w:spacing w:before="0" w:after="0" w:line="260" w:lineRule="exact"/>
              <w:jc w:val="both"/>
              <w:rPr>
                <w:rStyle w:val="FootnoteReference"/>
                <w:rFonts w:hint="cs"/>
                <w:bCs w:val="0"/>
                <w:szCs w:val="22"/>
                <w:vertAlign w:val="baseline"/>
              </w:rPr>
            </w:pPr>
            <w:r>
              <w:rPr>
                <w:rFonts w:hint="cs"/>
                <w:szCs w:val="22"/>
                <w:rtl/>
              </w:rPr>
              <w:t>5.44</w:t>
            </w:r>
          </w:p>
        </w:tc>
      </w:tr>
      <w:tr w:rsidR="00443EC1" w:rsidTr="00443EC1">
        <w:tblPrEx>
          <w:tblCellMar>
            <w:top w:w="0" w:type="dxa"/>
            <w:bottom w:w="0" w:type="dxa"/>
          </w:tblCellMar>
        </w:tblPrEx>
        <w:trPr>
          <w:jc w:val="center"/>
        </w:trPr>
        <w:tc>
          <w:tcPr>
            <w:tcW w:w="1182" w:type="dxa"/>
            <w:tcBorders>
              <w:top w:val="nil"/>
              <w:bottom w:val="nil"/>
            </w:tcBorders>
          </w:tcPr>
          <w:p w:rsidR="00443EC1" w:rsidRDefault="00443EC1">
            <w:pPr>
              <w:spacing w:before="0" w:after="0" w:line="260" w:lineRule="exact"/>
              <w:jc w:val="center"/>
              <w:rPr>
                <w:rFonts w:hint="cs"/>
                <w:szCs w:val="22"/>
                <w:rtl/>
              </w:rPr>
            </w:pPr>
            <w:r>
              <w:rPr>
                <w:rFonts w:hint="cs"/>
                <w:szCs w:val="22"/>
                <w:rtl/>
              </w:rPr>
              <w:t>1999</w:t>
            </w:r>
          </w:p>
        </w:tc>
        <w:tc>
          <w:tcPr>
            <w:tcW w:w="1953" w:type="dxa"/>
            <w:tcBorders>
              <w:top w:val="nil"/>
              <w:bottom w:val="nil"/>
            </w:tcBorders>
          </w:tcPr>
          <w:p w:rsidR="00443EC1" w:rsidRDefault="00443EC1">
            <w:pPr>
              <w:tabs>
                <w:tab w:val="decimal" w:pos="781"/>
              </w:tabs>
              <w:spacing w:before="0" w:after="0" w:line="260" w:lineRule="exact"/>
              <w:jc w:val="both"/>
              <w:rPr>
                <w:rStyle w:val="FootnoteReference"/>
                <w:rFonts w:hint="cs"/>
                <w:bCs w:val="0"/>
                <w:szCs w:val="22"/>
                <w:vertAlign w:val="baseline"/>
              </w:rPr>
            </w:pPr>
            <w:r>
              <w:rPr>
                <w:rFonts w:hint="cs"/>
                <w:szCs w:val="22"/>
                <w:rtl/>
              </w:rPr>
              <w:t>417.86</w:t>
            </w:r>
          </w:p>
        </w:tc>
        <w:tc>
          <w:tcPr>
            <w:tcW w:w="2141" w:type="dxa"/>
            <w:tcBorders>
              <w:top w:val="nil"/>
              <w:bottom w:val="nil"/>
            </w:tcBorders>
          </w:tcPr>
          <w:p w:rsidR="00443EC1" w:rsidRDefault="00443EC1">
            <w:pPr>
              <w:tabs>
                <w:tab w:val="decimal" w:pos="913"/>
              </w:tabs>
              <w:spacing w:before="0" w:after="0" w:line="260" w:lineRule="exact"/>
              <w:jc w:val="both"/>
              <w:rPr>
                <w:rStyle w:val="FootnoteReference"/>
                <w:rFonts w:hint="cs"/>
                <w:bCs w:val="0"/>
                <w:szCs w:val="22"/>
                <w:vertAlign w:val="baseline"/>
              </w:rPr>
            </w:pPr>
            <w:r>
              <w:rPr>
                <w:rFonts w:hint="cs"/>
                <w:szCs w:val="22"/>
                <w:rtl/>
              </w:rPr>
              <w:t>64.10</w:t>
            </w:r>
          </w:p>
        </w:tc>
        <w:tc>
          <w:tcPr>
            <w:tcW w:w="1890" w:type="dxa"/>
            <w:tcBorders>
              <w:top w:val="nil"/>
              <w:bottom w:val="nil"/>
            </w:tcBorders>
          </w:tcPr>
          <w:p w:rsidR="00443EC1" w:rsidRDefault="00443EC1">
            <w:pPr>
              <w:tabs>
                <w:tab w:val="decimal" w:pos="774"/>
              </w:tabs>
              <w:spacing w:before="0" w:after="0" w:line="260" w:lineRule="exact"/>
              <w:jc w:val="both"/>
              <w:rPr>
                <w:rStyle w:val="FootnoteReference"/>
                <w:rFonts w:hint="cs"/>
                <w:bCs w:val="0"/>
                <w:szCs w:val="22"/>
                <w:vertAlign w:val="baseline"/>
              </w:rPr>
            </w:pPr>
            <w:r>
              <w:rPr>
                <w:rFonts w:hint="cs"/>
                <w:szCs w:val="22"/>
                <w:rtl/>
              </w:rPr>
              <w:t>15.3</w:t>
            </w:r>
          </w:p>
        </w:tc>
        <w:tc>
          <w:tcPr>
            <w:tcW w:w="2404" w:type="dxa"/>
            <w:tcBorders>
              <w:top w:val="nil"/>
              <w:bottom w:val="nil"/>
            </w:tcBorders>
          </w:tcPr>
          <w:p w:rsidR="00443EC1" w:rsidRDefault="00443EC1">
            <w:pPr>
              <w:tabs>
                <w:tab w:val="decimal" w:pos="1152"/>
              </w:tabs>
              <w:spacing w:before="0" w:after="0" w:line="260" w:lineRule="exact"/>
              <w:jc w:val="both"/>
              <w:rPr>
                <w:rStyle w:val="FootnoteReference"/>
                <w:rFonts w:hint="cs"/>
                <w:bCs w:val="0"/>
                <w:szCs w:val="22"/>
                <w:vertAlign w:val="baseline"/>
              </w:rPr>
            </w:pPr>
            <w:r>
              <w:rPr>
                <w:rFonts w:hint="cs"/>
                <w:szCs w:val="22"/>
                <w:rtl/>
              </w:rPr>
              <w:t>5.00</w:t>
            </w:r>
          </w:p>
        </w:tc>
      </w:tr>
      <w:tr w:rsidR="00443EC1" w:rsidTr="00443EC1">
        <w:tblPrEx>
          <w:tblCellMar>
            <w:top w:w="0" w:type="dxa"/>
            <w:bottom w:w="0" w:type="dxa"/>
          </w:tblCellMar>
        </w:tblPrEx>
        <w:trPr>
          <w:jc w:val="center"/>
        </w:trPr>
        <w:tc>
          <w:tcPr>
            <w:tcW w:w="1182" w:type="dxa"/>
            <w:tcBorders>
              <w:top w:val="nil"/>
            </w:tcBorders>
          </w:tcPr>
          <w:p w:rsidR="00443EC1" w:rsidRDefault="00443EC1">
            <w:pPr>
              <w:spacing w:before="0" w:after="0" w:line="260" w:lineRule="exact"/>
              <w:jc w:val="center"/>
              <w:rPr>
                <w:rFonts w:hint="cs"/>
                <w:szCs w:val="22"/>
                <w:rtl/>
              </w:rPr>
            </w:pPr>
            <w:r>
              <w:rPr>
                <w:rFonts w:hint="cs"/>
                <w:szCs w:val="22"/>
                <w:rtl/>
              </w:rPr>
              <w:t>2000</w:t>
            </w:r>
          </w:p>
        </w:tc>
        <w:tc>
          <w:tcPr>
            <w:tcW w:w="1953" w:type="dxa"/>
            <w:tcBorders>
              <w:top w:val="nil"/>
            </w:tcBorders>
          </w:tcPr>
          <w:p w:rsidR="00443EC1" w:rsidRDefault="00443EC1">
            <w:pPr>
              <w:tabs>
                <w:tab w:val="decimal" w:pos="781"/>
              </w:tabs>
              <w:spacing w:before="0" w:after="0" w:line="260" w:lineRule="exact"/>
              <w:jc w:val="both"/>
              <w:rPr>
                <w:rStyle w:val="FootnoteReference"/>
                <w:rFonts w:hint="cs"/>
                <w:bCs w:val="0"/>
                <w:szCs w:val="22"/>
                <w:vertAlign w:val="baseline"/>
              </w:rPr>
            </w:pPr>
            <w:r>
              <w:rPr>
                <w:rFonts w:hint="cs"/>
                <w:szCs w:val="22"/>
                <w:rtl/>
              </w:rPr>
              <w:t>476.40</w:t>
            </w:r>
          </w:p>
        </w:tc>
        <w:tc>
          <w:tcPr>
            <w:tcW w:w="2141" w:type="dxa"/>
            <w:tcBorders>
              <w:top w:val="nil"/>
            </w:tcBorders>
          </w:tcPr>
          <w:p w:rsidR="00443EC1" w:rsidRDefault="00443EC1">
            <w:pPr>
              <w:tabs>
                <w:tab w:val="decimal" w:pos="913"/>
              </w:tabs>
              <w:spacing w:before="0" w:after="0" w:line="260" w:lineRule="exact"/>
              <w:jc w:val="both"/>
              <w:rPr>
                <w:rStyle w:val="FootnoteReference"/>
                <w:rFonts w:hint="cs"/>
                <w:bCs w:val="0"/>
                <w:szCs w:val="22"/>
                <w:vertAlign w:val="baseline"/>
              </w:rPr>
            </w:pPr>
            <w:r>
              <w:rPr>
                <w:rFonts w:hint="cs"/>
                <w:szCs w:val="22"/>
                <w:rtl/>
              </w:rPr>
              <w:t>70.95</w:t>
            </w:r>
          </w:p>
        </w:tc>
        <w:tc>
          <w:tcPr>
            <w:tcW w:w="1890" w:type="dxa"/>
            <w:tcBorders>
              <w:top w:val="nil"/>
            </w:tcBorders>
          </w:tcPr>
          <w:p w:rsidR="00443EC1" w:rsidRDefault="00443EC1">
            <w:pPr>
              <w:tabs>
                <w:tab w:val="decimal" w:pos="774"/>
              </w:tabs>
              <w:spacing w:before="0" w:after="0" w:line="260" w:lineRule="exact"/>
              <w:jc w:val="both"/>
              <w:rPr>
                <w:rStyle w:val="FootnoteReference"/>
                <w:rFonts w:hint="cs"/>
                <w:bCs w:val="0"/>
                <w:szCs w:val="22"/>
                <w:vertAlign w:val="baseline"/>
              </w:rPr>
            </w:pPr>
            <w:r>
              <w:rPr>
                <w:rFonts w:hint="cs"/>
                <w:szCs w:val="22"/>
                <w:rtl/>
              </w:rPr>
              <w:t>14.9</w:t>
            </w:r>
          </w:p>
        </w:tc>
        <w:tc>
          <w:tcPr>
            <w:tcW w:w="2404" w:type="dxa"/>
            <w:tcBorders>
              <w:top w:val="nil"/>
            </w:tcBorders>
          </w:tcPr>
          <w:p w:rsidR="00443EC1" w:rsidRDefault="00443EC1">
            <w:pPr>
              <w:tabs>
                <w:tab w:val="decimal" w:pos="1152"/>
              </w:tabs>
              <w:spacing w:before="0" w:after="0" w:line="260" w:lineRule="exact"/>
              <w:jc w:val="both"/>
              <w:rPr>
                <w:rStyle w:val="FootnoteReference"/>
                <w:rFonts w:hint="cs"/>
                <w:bCs w:val="0"/>
                <w:szCs w:val="22"/>
                <w:vertAlign w:val="baseline"/>
              </w:rPr>
            </w:pPr>
            <w:r>
              <w:rPr>
                <w:rFonts w:hint="cs"/>
                <w:szCs w:val="22"/>
                <w:rtl/>
              </w:rPr>
              <w:t>4.50</w:t>
            </w:r>
          </w:p>
        </w:tc>
      </w:tr>
    </w:tbl>
    <w:p w:rsidR="00000000" w:rsidRDefault="00443EC1">
      <w:pPr>
        <w:jc w:val="both"/>
        <w:rPr>
          <w:rFonts w:hint="cs"/>
          <w:i/>
          <w:iCs/>
          <w:rtl/>
        </w:rPr>
      </w:pPr>
      <w:r>
        <w:rPr>
          <w:rFonts w:hint="cs"/>
          <w:i/>
          <w:iCs/>
          <w:sz w:val="28"/>
          <w:szCs w:val="28"/>
          <w:rtl/>
        </w:rPr>
        <w:tab/>
        <w:t>المصدر:</w:t>
      </w:r>
      <w:r>
        <w:rPr>
          <w:rFonts w:hint="cs"/>
          <w:i/>
          <w:iCs/>
          <w:sz w:val="28"/>
          <w:szCs w:val="28"/>
          <w:rtl/>
        </w:rPr>
        <w:tab/>
        <w:t>الحولية الإحصائية الوطنية الصينية.</w:t>
      </w:r>
    </w:p>
    <w:p w:rsidR="00000000" w:rsidRDefault="00443EC1">
      <w:pPr>
        <w:jc w:val="center"/>
        <w:rPr>
          <w:rFonts w:hint="cs"/>
          <w:b/>
          <w:bCs/>
          <w:sz w:val="32"/>
          <w:szCs w:val="32"/>
          <w:rtl/>
        </w:rPr>
      </w:pPr>
      <w:r>
        <w:rPr>
          <w:rFonts w:hint="cs"/>
          <w:b/>
          <w:bCs/>
          <w:sz w:val="32"/>
          <w:szCs w:val="32"/>
          <w:rtl/>
        </w:rPr>
        <w:t>الجدول 15</w:t>
      </w:r>
    </w:p>
    <w:p w:rsidR="00000000" w:rsidRDefault="00443EC1">
      <w:pPr>
        <w:jc w:val="center"/>
        <w:rPr>
          <w:rFonts w:hint="cs"/>
          <w:b/>
          <w:bCs/>
          <w:sz w:val="32"/>
          <w:szCs w:val="32"/>
          <w:rtl/>
        </w:rPr>
      </w:pPr>
      <w:r>
        <w:rPr>
          <w:rFonts w:hint="cs"/>
          <w:b/>
          <w:bCs/>
          <w:sz w:val="32"/>
          <w:szCs w:val="32"/>
          <w:rtl/>
        </w:rPr>
        <w:t>الميزان</w:t>
      </w:r>
      <w:r>
        <w:rPr>
          <w:rFonts w:hint="cs"/>
          <w:b/>
          <w:bCs/>
          <w:sz w:val="32"/>
          <w:szCs w:val="32"/>
          <w:rtl/>
        </w:rPr>
        <w:t>يات التي تخصصها الحكومة للصحة ونفقات الرعاية الصحية الأولية</w:t>
      </w:r>
      <w:r>
        <w:rPr>
          <w:b/>
          <w:bCs/>
          <w:sz w:val="32"/>
          <w:szCs w:val="32"/>
          <w:rtl/>
        </w:rPr>
        <w:br/>
      </w:r>
      <w:r>
        <w:rPr>
          <w:rFonts w:hint="cs"/>
          <w:b/>
          <w:bCs/>
          <w:sz w:val="32"/>
          <w:szCs w:val="32"/>
          <w:rtl/>
        </w:rPr>
        <w:t>(بمليارات اليوان)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29"/>
        <w:gridCol w:w="756"/>
        <w:gridCol w:w="770"/>
        <w:gridCol w:w="713"/>
        <w:gridCol w:w="826"/>
        <w:gridCol w:w="742"/>
        <w:gridCol w:w="728"/>
        <w:gridCol w:w="756"/>
        <w:gridCol w:w="728"/>
        <w:gridCol w:w="728"/>
        <w:gridCol w:w="794"/>
      </w:tblGrid>
      <w:tr w:rsidR="00443EC1" w:rsidTr="00443EC1">
        <w:tblPrEx>
          <w:tblCellMar>
            <w:top w:w="0" w:type="dxa"/>
            <w:bottom w:w="0" w:type="dxa"/>
          </w:tblCellMar>
        </w:tblPrEx>
        <w:trPr>
          <w:jc w:val="center"/>
        </w:trPr>
        <w:tc>
          <w:tcPr>
            <w:tcW w:w="2029" w:type="dxa"/>
            <w:tcBorders>
              <w:bottom w:val="single" w:sz="4" w:space="0" w:color="auto"/>
            </w:tcBorders>
          </w:tcPr>
          <w:p w:rsidR="00443EC1" w:rsidRDefault="00443EC1">
            <w:pPr>
              <w:spacing w:before="0" w:after="0" w:line="380" w:lineRule="exact"/>
              <w:jc w:val="both"/>
              <w:rPr>
                <w:rFonts w:hint="cs"/>
                <w:szCs w:val="18"/>
              </w:rPr>
            </w:pPr>
          </w:p>
        </w:tc>
        <w:tc>
          <w:tcPr>
            <w:tcW w:w="756" w:type="dxa"/>
            <w:tcBorders>
              <w:bottom w:val="single" w:sz="4" w:space="0" w:color="auto"/>
            </w:tcBorders>
          </w:tcPr>
          <w:p w:rsidR="00443EC1" w:rsidRDefault="00443EC1">
            <w:pPr>
              <w:spacing w:before="0" w:after="0" w:line="380" w:lineRule="exact"/>
              <w:jc w:val="center"/>
              <w:rPr>
                <w:rFonts w:hint="cs"/>
                <w:szCs w:val="18"/>
              </w:rPr>
            </w:pPr>
            <w:r>
              <w:rPr>
                <w:rFonts w:hint="cs"/>
                <w:szCs w:val="18"/>
                <w:rtl/>
              </w:rPr>
              <w:t>1991</w:t>
            </w:r>
          </w:p>
        </w:tc>
        <w:tc>
          <w:tcPr>
            <w:tcW w:w="770" w:type="dxa"/>
            <w:tcBorders>
              <w:bottom w:val="single" w:sz="4" w:space="0" w:color="auto"/>
            </w:tcBorders>
          </w:tcPr>
          <w:p w:rsidR="00443EC1" w:rsidRDefault="00443EC1">
            <w:pPr>
              <w:spacing w:before="0" w:after="0" w:line="380" w:lineRule="exact"/>
              <w:jc w:val="center"/>
              <w:rPr>
                <w:rFonts w:hint="cs"/>
                <w:szCs w:val="18"/>
              </w:rPr>
            </w:pPr>
            <w:r>
              <w:rPr>
                <w:rFonts w:hint="cs"/>
                <w:szCs w:val="18"/>
                <w:rtl/>
              </w:rPr>
              <w:t>1992</w:t>
            </w:r>
          </w:p>
        </w:tc>
        <w:tc>
          <w:tcPr>
            <w:tcW w:w="713" w:type="dxa"/>
            <w:tcBorders>
              <w:bottom w:val="single" w:sz="4" w:space="0" w:color="auto"/>
            </w:tcBorders>
          </w:tcPr>
          <w:p w:rsidR="00443EC1" w:rsidRDefault="00443EC1">
            <w:pPr>
              <w:spacing w:before="0" w:after="0" w:line="380" w:lineRule="exact"/>
              <w:jc w:val="center"/>
              <w:rPr>
                <w:rFonts w:hint="cs"/>
                <w:szCs w:val="18"/>
              </w:rPr>
            </w:pPr>
            <w:r>
              <w:rPr>
                <w:rFonts w:hint="cs"/>
                <w:szCs w:val="18"/>
                <w:rtl/>
              </w:rPr>
              <w:t>1993</w:t>
            </w:r>
          </w:p>
        </w:tc>
        <w:tc>
          <w:tcPr>
            <w:tcW w:w="826" w:type="dxa"/>
            <w:tcBorders>
              <w:bottom w:val="single" w:sz="4" w:space="0" w:color="auto"/>
            </w:tcBorders>
          </w:tcPr>
          <w:p w:rsidR="00443EC1" w:rsidRDefault="00443EC1">
            <w:pPr>
              <w:spacing w:before="0" w:after="0" w:line="380" w:lineRule="exact"/>
              <w:jc w:val="center"/>
              <w:rPr>
                <w:rFonts w:hint="cs"/>
                <w:szCs w:val="18"/>
              </w:rPr>
            </w:pPr>
            <w:r>
              <w:rPr>
                <w:rFonts w:hint="cs"/>
                <w:szCs w:val="18"/>
                <w:rtl/>
              </w:rPr>
              <w:t>1994</w:t>
            </w:r>
          </w:p>
        </w:tc>
        <w:tc>
          <w:tcPr>
            <w:tcW w:w="742" w:type="dxa"/>
            <w:tcBorders>
              <w:bottom w:val="single" w:sz="4" w:space="0" w:color="auto"/>
            </w:tcBorders>
          </w:tcPr>
          <w:p w:rsidR="00443EC1" w:rsidRDefault="00443EC1">
            <w:pPr>
              <w:spacing w:before="0" w:after="0" w:line="380" w:lineRule="exact"/>
              <w:jc w:val="center"/>
              <w:rPr>
                <w:rFonts w:hint="cs"/>
                <w:szCs w:val="18"/>
              </w:rPr>
            </w:pPr>
            <w:r>
              <w:rPr>
                <w:rFonts w:hint="cs"/>
                <w:szCs w:val="18"/>
                <w:rtl/>
              </w:rPr>
              <w:t>1995</w:t>
            </w:r>
          </w:p>
        </w:tc>
        <w:tc>
          <w:tcPr>
            <w:tcW w:w="728" w:type="dxa"/>
            <w:tcBorders>
              <w:bottom w:val="single" w:sz="4" w:space="0" w:color="auto"/>
            </w:tcBorders>
          </w:tcPr>
          <w:p w:rsidR="00443EC1" w:rsidRDefault="00443EC1">
            <w:pPr>
              <w:spacing w:before="0" w:after="0" w:line="380" w:lineRule="exact"/>
              <w:jc w:val="center"/>
              <w:rPr>
                <w:rFonts w:hint="cs"/>
                <w:szCs w:val="18"/>
              </w:rPr>
            </w:pPr>
            <w:r>
              <w:rPr>
                <w:rFonts w:hint="cs"/>
                <w:szCs w:val="18"/>
                <w:rtl/>
              </w:rPr>
              <w:t>1996</w:t>
            </w:r>
          </w:p>
        </w:tc>
        <w:tc>
          <w:tcPr>
            <w:tcW w:w="756" w:type="dxa"/>
            <w:tcBorders>
              <w:bottom w:val="single" w:sz="4" w:space="0" w:color="auto"/>
            </w:tcBorders>
          </w:tcPr>
          <w:p w:rsidR="00443EC1" w:rsidRDefault="00443EC1">
            <w:pPr>
              <w:spacing w:before="0" w:after="0" w:line="380" w:lineRule="exact"/>
              <w:jc w:val="center"/>
              <w:rPr>
                <w:rFonts w:hint="cs"/>
                <w:szCs w:val="18"/>
              </w:rPr>
            </w:pPr>
            <w:r>
              <w:rPr>
                <w:rFonts w:hint="cs"/>
                <w:szCs w:val="18"/>
                <w:rtl/>
              </w:rPr>
              <w:t>1997</w:t>
            </w:r>
          </w:p>
        </w:tc>
        <w:tc>
          <w:tcPr>
            <w:tcW w:w="728" w:type="dxa"/>
            <w:tcBorders>
              <w:bottom w:val="single" w:sz="4" w:space="0" w:color="auto"/>
            </w:tcBorders>
          </w:tcPr>
          <w:p w:rsidR="00443EC1" w:rsidRDefault="00443EC1">
            <w:pPr>
              <w:spacing w:before="0" w:after="0" w:line="380" w:lineRule="exact"/>
              <w:jc w:val="center"/>
              <w:rPr>
                <w:rFonts w:hint="cs"/>
                <w:szCs w:val="18"/>
              </w:rPr>
            </w:pPr>
            <w:r>
              <w:rPr>
                <w:rFonts w:hint="cs"/>
                <w:szCs w:val="18"/>
                <w:rtl/>
              </w:rPr>
              <w:t>1998</w:t>
            </w:r>
          </w:p>
        </w:tc>
        <w:tc>
          <w:tcPr>
            <w:tcW w:w="728" w:type="dxa"/>
            <w:tcBorders>
              <w:bottom w:val="single" w:sz="4" w:space="0" w:color="auto"/>
            </w:tcBorders>
          </w:tcPr>
          <w:p w:rsidR="00443EC1" w:rsidRDefault="00443EC1">
            <w:pPr>
              <w:spacing w:before="0" w:after="0" w:line="380" w:lineRule="exact"/>
              <w:jc w:val="center"/>
              <w:rPr>
                <w:rFonts w:hint="cs"/>
                <w:szCs w:val="18"/>
              </w:rPr>
            </w:pPr>
            <w:r>
              <w:rPr>
                <w:rFonts w:hint="cs"/>
                <w:szCs w:val="18"/>
                <w:rtl/>
              </w:rPr>
              <w:t>1999</w:t>
            </w:r>
          </w:p>
        </w:tc>
        <w:tc>
          <w:tcPr>
            <w:tcW w:w="794" w:type="dxa"/>
            <w:tcBorders>
              <w:bottom w:val="single" w:sz="4" w:space="0" w:color="auto"/>
            </w:tcBorders>
          </w:tcPr>
          <w:p w:rsidR="00443EC1" w:rsidRDefault="00443EC1">
            <w:pPr>
              <w:spacing w:before="0" w:after="0" w:line="380" w:lineRule="exact"/>
              <w:jc w:val="center"/>
              <w:rPr>
                <w:rFonts w:hint="cs"/>
                <w:szCs w:val="18"/>
              </w:rPr>
            </w:pPr>
            <w:r>
              <w:rPr>
                <w:rFonts w:hint="cs"/>
                <w:szCs w:val="18"/>
                <w:rtl/>
              </w:rPr>
              <w:t>2000</w:t>
            </w:r>
          </w:p>
        </w:tc>
      </w:tr>
      <w:tr w:rsidR="00443EC1" w:rsidTr="00443EC1">
        <w:tblPrEx>
          <w:tblCellMar>
            <w:top w:w="0" w:type="dxa"/>
            <w:bottom w:w="0" w:type="dxa"/>
          </w:tblCellMar>
        </w:tblPrEx>
        <w:trPr>
          <w:jc w:val="center"/>
        </w:trPr>
        <w:tc>
          <w:tcPr>
            <w:tcW w:w="2029" w:type="dxa"/>
            <w:tcBorders>
              <w:bottom w:val="nil"/>
            </w:tcBorders>
          </w:tcPr>
          <w:p w:rsidR="00443EC1" w:rsidRDefault="00443EC1">
            <w:pPr>
              <w:spacing w:before="0" w:after="0" w:line="320" w:lineRule="exact"/>
              <w:jc w:val="both"/>
              <w:rPr>
                <w:rFonts w:hint="cs"/>
                <w:spacing w:val="0"/>
                <w:szCs w:val="18"/>
              </w:rPr>
            </w:pPr>
            <w:r>
              <w:rPr>
                <w:rFonts w:hint="cs"/>
                <w:spacing w:val="0"/>
                <w:szCs w:val="18"/>
                <w:rtl/>
              </w:rPr>
              <w:t>الميزانية التي تخصصها الحكومة للصحة</w:t>
            </w:r>
          </w:p>
        </w:tc>
        <w:tc>
          <w:tcPr>
            <w:tcW w:w="756" w:type="dxa"/>
            <w:tcBorders>
              <w:bottom w:val="nil"/>
            </w:tcBorders>
          </w:tcPr>
          <w:p w:rsidR="00443EC1" w:rsidRDefault="00443EC1">
            <w:pPr>
              <w:spacing w:before="0" w:after="0" w:line="320" w:lineRule="exact"/>
              <w:jc w:val="both"/>
              <w:rPr>
                <w:rFonts w:hint="cs"/>
                <w:szCs w:val="18"/>
              </w:rPr>
            </w:pPr>
            <w:r>
              <w:rPr>
                <w:rFonts w:hint="cs"/>
                <w:szCs w:val="18"/>
                <w:rtl/>
              </w:rPr>
              <w:t>229 20</w:t>
            </w:r>
          </w:p>
        </w:tc>
        <w:tc>
          <w:tcPr>
            <w:tcW w:w="770" w:type="dxa"/>
            <w:tcBorders>
              <w:bottom w:val="nil"/>
            </w:tcBorders>
          </w:tcPr>
          <w:p w:rsidR="00443EC1" w:rsidRDefault="00443EC1">
            <w:pPr>
              <w:spacing w:before="0" w:after="0" w:line="320" w:lineRule="exact"/>
              <w:jc w:val="both"/>
              <w:rPr>
                <w:rFonts w:hint="cs"/>
                <w:szCs w:val="18"/>
              </w:rPr>
            </w:pPr>
            <w:r>
              <w:rPr>
                <w:rFonts w:hint="cs"/>
                <w:szCs w:val="18"/>
                <w:rtl/>
              </w:rPr>
              <w:t>653 22</w:t>
            </w:r>
          </w:p>
        </w:tc>
        <w:tc>
          <w:tcPr>
            <w:tcW w:w="713" w:type="dxa"/>
            <w:tcBorders>
              <w:bottom w:val="nil"/>
            </w:tcBorders>
          </w:tcPr>
          <w:p w:rsidR="00443EC1" w:rsidRDefault="00443EC1">
            <w:pPr>
              <w:spacing w:before="0" w:after="0" w:line="320" w:lineRule="exact"/>
              <w:jc w:val="both"/>
              <w:rPr>
                <w:rFonts w:hint="cs"/>
                <w:szCs w:val="18"/>
              </w:rPr>
            </w:pPr>
            <w:r>
              <w:rPr>
                <w:rFonts w:hint="cs"/>
                <w:szCs w:val="18"/>
                <w:rtl/>
              </w:rPr>
              <w:t>942 26</w:t>
            </w:r>
          </w:p>
        </w:tc>
        <w:tc>
          <w:tcPr>
            <w:tcW w:w="826" w:type="dxa"/>
            <w:tcBorders>
              <w:bottom w:val="nil"/>
            </w:tcBorders>
          </w:tcPr>
          <w:p w:rsidR="00443EC1" w:rsidRDefault="00443EC1">
            <w:pPr>
              <w:spacing w:before="0" w:after="0" w:line="320" w:lineRule="exact"/>
              <w:jc w:val="both"/>
              <w:rPr>
                <w:rFonts w:hint="cs"/>
                <w:szCs w:val="18"/>
              </w:rPr>
            </w:pPr>
            <w:r>
              <w:rPr>
                <w:rFonts w:hint="cs"/>
                <w:szCs w:val="18"/>
                <w:rtl/>
              </w:rPr>
              <w:t>843 33</w:t>
            </w:r>
          </w:p>
        </w:tc>
        <w:tc>
          <w:tcPr>
            <w:tcW w:w="742" w:type="dxa"/>
            <w:tcBorders>
              <w:bottom w:val="nil"/>
            </w:tcBorders>
          </w:tcPr>
          <w:p w:rsidR="00443EC1" w:rsidRDefault="00443EC1">
            <w:pPr>
              <w:spacing w:before="0" w:after="0" w:line="320" w:lineRule="exact"/>
              <w:jc w:val="both"/>
              <w:rPr>
                <w:rFonts w:hint="cs"/>
                <w:szCs w:val="18"/>
              </w:rPr>
            </w:pPr>
            <w:r>
              <w:rPr>
                <w:rFonts w:hint="cs"/>
                <w:szCs w:val="18"/>
                <w:rtl/>
              </w:rPr>
              <w:t>309 38</w:t>
            </w:r>
          </w:p>
        </w:tc>
        <w:tc>
          <w:tcPr>
            <w:tcW w:w="728" w:type="dxa"/>
            <w:tcBorders>
              <w:bottom w:val="nil"/>
            </w:tcBorders>
          </w:tcPr>
          <w:p w:rsidR="00443EC1" w:rsidRDefault="00443EC1">
            <w:pPr>
              <w:spacing w:before="0" w:after="0" w:line="320" w:lineRule="exact"/>
              <w:jc w:val="both"/>
              <w:rPr>
                <w:rFonts w:hint="cs"/>
                <w:szCs w:val="18"/>
              </w:rPr>
            </w:pPr>
            <w:r>
              <w:rPr>
                <w:rFonts w:hint="cs"/>
                <w:szCs w:val="18"/>
                <w:rtl/>
              </w:rPr>
              <w:t>095 46</w:t>
            </w:r>
          </w:p>
        </w:tc>
        <w:tc>
          <w:tcPr>
            <w:tcW w:w="756" w:type="dxa"/>
            <w:tcBorders>
              <w:bottom w:val="nil"/>
            </w:tcBorders>
          </w:tcPr>
          <w:p w:rsidR="00443EC1" w:rsidRDefault="00443EC1">
            <w:pPr>
              <w:spacing w:before="0" w:after="0" w:line="320" w:lineRule="exact"/>
              <w:jc w:val="both"/>
              <w:rPr>
                <w:rFonts w:hint="cs"/>
                <w:szCs w:val="18"/>
              </w:rPr>
            </w:pPr>
            <w:r>
              <w:rPr>
                <w:rFonts w:hint="cs"/>
                <w:szCs w:val="18"/>
                <w:rtl/>
              </w:rPr>
              <w:t>208 52</w:t>
            </w:r>
          </w:p>
        </w:tc>
        <w:tc>
          <w:tcPr>
            <w:tcW w:w="728" w:type="dxa"/>
            <w:tcBorders>
              <w:bottom w:val="nil"/>
            </w:tcBorders>
          </w:tcPr>
          <w:p w:rsidR="00443EC1" w:rsidRDefault="00443EC1">
            <w:pPr>
              <w:spacing w:before="0" w:after="0" w:line="320" w:lineRule="exact"/>
              <w:jc w:val="both"/>
              <w:rPr>
                <w:rFonts w:hint="cs"/>
                <w:szCs w:val="18"/>
              </w:rPr>
            </w:pPr>
            <w:r>
              <w:rPr>
                <w:rFonts w:hint="cs"/>
                <w:szCs w:val="18"/>
                <w:rtl/>
              </w:rPr>
              <w:t>723 58</w:t>
            </w:r>
          </w:p>
        </w:tc>
        <w:tc>
          <w:tcPr>
            <w:tcW w:w="728" w:type="dxa"/>
            <w:tcBorders>
              <w:bottom w:val="nil"/>
            </w:tcBorders>
          </w:tcPr>
          <w:p w:rsidR="00443EC1" w:rsidRDefault="00443EC1">
            <w:pPr>
              <w:spacing w:before="0" w:after="0" w:line="320" w:lineRule="exact"/>
              <w:jc w:val="both"/>
              <w:rPr>
                <w:rFonts w:hint="cs"/>
                <w:szCs w:val="18"/>
              </w:rPr>
            </w:pPr>
            <w:r>
              <w:rPr>
                <w:rFonts w:hint="cs"/>
                <w:szCs w:val="18"/>
                <w:rtl/>
              </w:rPr>
              <w:t>096 64</w:t>
            </w:r>
          </w:p>
        </w:tc>
        <w:tc>
          <w:tcPr>
            <w:tcW w:w="794" w:type="dxa"/>
            <w:tcBorders>
              <w:bottom w:val="nil"/>
            </w:tcBorders>
          </w:tcPr>
          <w:p w:rsidR="00443EC1" w:rsidRDefault="00443EC1">
            <w:pPr>
              <w:spacing w:before="0" w:after="0" w:line="320" w:lineRule="exact"/>
              <w:jc w:val="both"/>
              <w:rPr>
                <w:rFonts w:hint="cs"/>
                <w:szCs w:val="18"/>
              </w:rPr>
            </w:pPr>
            <w:r>
              <w:rPr>
                <w:rFonts w:hint="cs"/>
                <w:szCs w:val="18"/>
                <w:rtl/>
              </w:rPr>
              <w:t>952 70</w:t>
            </w:r>
          </w:p>
        </w:tc>
      </w:tr>
      <w:tr w:rsidR="00443EC1" w:rsidTr="00443EC1">
        <w:tblPrEx>
          <w:tblCellMar>
            <w:top w:w="0" w:type="dxa"/>
            <w:bottom w:w="0" w:type="dxa"/>
          </w:tblCellMar>
        </w:tblPrEx>
        <w:trPr>
          <w:trHeight w:val="495"/>
          <w:jc w:val="center"/>
        </w:trPr>
        <w:tc>
          <w:tcPr>
            <w:tcW w:w="2029" w:type="dxa"/>
            <w:tcBorders>
              <w:top w:val="nil"/>
              <w:bottom w:val="nil"/>
            </w:tcBorders>
          </w:tcPr>
          <w:p w:rsidR="00443EC1" w:rsidRDefault="00443EC1">
            <w:pPr>
              <w:spacing w:before="0" w:after="0" w:line="320" w:lineRule="exact"/>
              <w:jc w:val="both"/>
              <w:rPr>
                <w:rFonts w:hint="cs"/>
                <w:spacing w:val="0"/>
                <w:szCs w:val="18"/>
              </w:rPr>
            </w:pPr>
            <w:r>
              <w:rPr>
                <w:rFonts w:hint="cs"/>
                <w:spacing w:val="0"/>
                <w:szCs w:val="18"/>
                <w:rtl/>
              </w:rPr>
              <w:t>المبالغ المنفقة على الرعاية الصحية الأولية</w:t>
            </w:r>
          </w:p>
        </w:tc>
        <w:tc>
          <w:tcPr>
            <w:tcW w:w="756" w:type="dxa"/>
            <w:tcBorders>
              <w:top w:val="nil"/>
              <w:bottom w:val="nil"/>
            </w:tcBorders>
          </w:tcPr>
          <w:p w:rsidR="00443EC1" w:rsidRDefault="00443EC1">
            <w:pPr>
              <w:spacing w:before="0" w:after="0" w:line="320" w:lineRule="exact"/>
              <w:jc w:val="both"/>
              <w:rPr>
                <w:rFonts w:hint="cs"/>
                <w:szCs w:val="18"/>
              </w:rPr>
            </w:pPr>
            <w:r>
              <w:rPr>
                <w:rFonts w:hint="cs"/>
                <w:szCs w:val="18"/>
                <w:rtl/>
              </w:rPr>
              <w:t>798 8</w:t>
            </w:r>
          </w:p>
        </w:tc>
        <w:tc>
          <w:tcPr>
            <w:tcW w:w="770" w:type="dxa"/>
            <w:tcBorders>
              <w:top w:val="nil"/>
              <w:bottom w:val="nil"/>
            </w:tcBorders>
          </w:tcPr>
          <w:p w:rsidR="00443EC1" w:rsidRDefault="00443EC1">
            <w:pPr>
              <w:spacing w:before="0" w:after="0" w:line="320" w:lineRule="exact"/>
              <w:jc w:val="both"/>
              <w:rPr>
                <w:rFonts w:hint="cs"/>
                <w:szCs w:val="18"/>
              </w:rPr>
            </w:pPr>
            <w:r>
              <w:rPr>
                <w:rFonts w:hint="cs"/>
                <w:szCs w:val="18"/>
                <w:rtl/>
              </w:rPr>
              <w:t>104 10</w:t>
            </w:r>
          </w:p>
        </w:tc>
        <w:tc>
          <w:tcPr>
            <w:tcW w:w="713" w:type="dxa"/>
            <w:tcBorders>
              <w:top w:val="nil"/>
              <w:bottom w:val="nil"/>
            </w:tcBorders>
          </w:tcPr>
          <w:p w:rsidR="00443EC1" w:rsidRDefault="00443EC1">
            <w:pPr>
              <w:spacing w:before="0" w:after="0" w:line="320" w:lineRule="exact"/>
              <w:jc w:val="both"/>
              <w:rPr>
                <w:rFonts w:hint="cs"/>
                <w:szCs w:val="18"/>
              </w:rPr>
            </w:pPr>
            <w:r>
              <w:rPr>
                <w:rFonts w:hint="cs"/>
                <w:szCs w:val="18"/>
                <w:rtl/>
              </w:rPr>
              <w:t>256 12</w:t>
            </w:r>
          </w:p>
        </w:tc>
        <w:tc>
          <w:tcPr>
            <w:tcW w:w="826" w:type="dxa"/>
            <w:tcBorders>
              <w:top w:val="nil"/>
              <w:bottom w:val="nil"/>
            </w:tcBorders>
          </w:tcPr>
          <w:p w:rsidR="00443EC1" w:rsidRDefault="00443EC1">
            <w:pPr>
              <w:spacing w:before="0" w:after="0" w:line="320" w:lineRule="exact"/>
              <w:jc w:val="both"/>
              <w:rPr>
                <w:rFonts w:hint="cs"/>
                <w:szCs w:val="18"/>
              </w:rPr>
            </w:pPr>
            <w:r>
              <w:rPr>
                <w:rFonts w:hint="cs"/>
                <w:szCs w:val="18"/>
                <w:rtl/>
              </w:rPr>
              <w:t>232 15</w:t>
            </w:r>
          </w:p>
        </w:tc>
        <w:tc>
          <w:tcPr>
            <w:tcW w:w="742" w:type="dxa"/>
            <w:tcBorders>
              <w:top w:val="nil"/>
              <w:bottom w:val="nil"/>
            </w:tcBorders>
          </w:tcPr>
          <w:p w:rsidR="00443EC1" w:rsidRDefault="00443EC1">
            <w:pPr>
              <w:spacing w:before="0" w:after="0" w:line="320" w:lineRule="exact"/>
              <w:jc w:val="both"/>
              <w:rPr>
                <w:rFonts w:hint="cs"/>
                <w:szCs w:val="18"/>
              </w:rPr>
            </w:pPr>
            <w:r>
              <w:rPr>
                <w:rFonts w:hint="cs"/>
                <w:szCs w:val="18"/>
                <w:rtl/>
              </w:rPr>
              <w:t>909 17</w:t>
            </w:r>
          </w:p>
        </w:tc>
        <w:tc>
          <w:tcPr>
            <w:tcW w:w="728" w:type="dxa"/>
            <w:tcBorders>
              <w:top w:val="nil"/>
              <w:bottom w:val="nil"/>
            </w:tcBorders>
          </w:tcPr>
          <w:p w:rsidR="00443EC1" w:rsidRDefault="00443EC1">
            <w:pPr>
              <w:spacing w:before="0" w:after="0" w:line="320" w:lineRule="exact"/>
              <w:jc w:val="both"/>
              <w:rPr>
                <w:rFonts w:hint="cs"/>
                <w:szCs w:val="18"/>
              </w:rPr>
            </w:pPr>
            <w:r>
              <w:rPr>
                <w:rFonts w:hint="cs"/>
                <w:szCs w:val="18"/>
                <w:rtl/>
              </w:rPr>
              <w:t>065 21</w:t>
            </w:r>
          </w:p>
        </w:tc>
        <w:tc>
          <w:tcPr>
            <w:tcW w:w="756" w:type="dxa"/>
            <w:tcBorders>
              <w:top w:val="nil"/>
              <w:bottom w:val="nil"/>
            </w:tcBorders>
          </w:tcPr>
          <w:p w:rsidR="00443EC1" w:rsidRDefault="00443EC1">
            <w:pPr>
              <w:spacing w:before="0" w:after="0" w:line="320" w:lineRule="exact"/>
              <w:jc w:val="both"/>
              <w:rPr>
                <w:rFonts w:hint="cs"/>
                <w:szCs w:val="18"/>
              </w:rPr>
            </w:pPr>
            <w:r>
              <w:rPr>
                <w:rFonts w:hint="cs"/>
                <w:szCs w:val="18"/>
                <w:rtl/>
              </w:rPr>
              <w:t>125 24</w:t>
            </w:r>
          </w:p>
        </w:tc>
        <w:tc>
          <w:tcPr>
            <w:tcW w:w="728" w:type="dxa"/>
            <w:tcBorders>
              <w:top w:val="nil"/>
              <w:bottom w:val="nil"/>
            </w:tcBorders>
          </w:tcPr>
          <w:p w:rsidR="00443EC1" w:rsidRDefault="00443EC1">
            <w:pPr>
              <w:spacing w:before="0" w:after="0" w:line="320" w:lineRule="exact"/>
              <w:jc w:val="both"/>
              <w:rPr>
                <w:rFonts w:hint="cs"/>
                <w:szCs w:val="18"/>
              </w:rPr>
            </w:pPr>
            <w:r>
              <w:rPr>
                <w:rFonts w:hint="cs"/>
                <w:szCs w:val="18"/>
                <w:rtl/>
              </w:rPr>
              <w:t>285 26</w:t>
            </w:r>
          </w:p>
        </w:tc>
        <w:tc>
          <w:tcPr>
            <w:tcW w:w="728" w:type="dxa"/>
            <w:tcBorders>
              <w:top w:val="nil"/>
              <w:bottom w:val="nil"/>
            </w:tcBorders>
          </w:tcPr>
          <w:p w:rsidR="00443EC1" w:rsidRDefault="00443EC1">
            <w:pPr>
              <w:spacing w:before="0" w:after="0" w:line="320" w:lineRule="exact"/>
              <w:jc w:val="both"/>
              <w:rPr>
                <w:rFonts w:hint="cs"/>
                <w:szCs w:val="18"/>
              </w:rPr>
            </w:pPr>
            <w:r>
              <w:rPr>
                <w:rFonts w:hint="cs"/>
                <w:szCs w:val="18"/>
                <w:rtl/>
              </w:rPr>
              <w:t>548 28</w:t>
            </w:r>
          </w:p>
        </w:tc>
        <w:tc>
          <w:tcPr>
            <w:tcW w:w="794" w:type="dxa"/>
            <w:tcBorders>
              <w:top w:val="nil"/>
              <w:bottom w:val="nil"/>
            </w:tcBorders>
          </w:tcPr>
          <w:p w:rsidR="00443EC1" w:rsidRDefault="00443EC1">
            <w:pPr>
              <w:spacing w:before="0" w:after="0" w:line="320" w:lineRule="exact"/>
              <w:jc w:val="both"/>
              <w:rPr>
                <w:rFonts w:hint="cs"/>
                <w:szCs w:val="18"/>
              </w:rPr>
            </w:pPr>
            <w:r>
              <w:rPr>
                <w:rFonts w:hint="cs"/>
                <w:szCs w:val="18"/>
                <w:rtl/>
              </w:rPr>
              <w:t>165 31</w:t>
            </w:r>
          </w:p>
        </w:tc>
      </w:tr>
      <w:tr w:rsidR="00443EC1" w:rsidTr="00443EC1">
        <w:tblPrEx>
          <w:tblCellMar>
            <w:top w:w="0" w:type="dxa"/>
            <w:bottom w:w="0" w:type="dxa"/>
          </w:tblCellMar>
        </w:tblPrEx>
        <w:trPr>
          <w:jc w:val="center"/>
        </w:trPr>
        <w:tc>
          <w:tcPr>
            <w:tcW w:w="2029" w:type="dxa"/>
            <w:tcBorders>
              <w:top w:val="nil"/>
              <w:bottom w:val="nil"/>
            </w:tcBorders>
          </w:tcPr>
          <w:p w:rsidR="00443EC1" w:rsidRDefault="00443EC1">
            <w:pPr>
              <w:spacing w:before="0" w:after="0" w:line="320" w:lineRule="exact"/>
              <w:jc w:val="both"/>
              <w:rPr>
                <w:rFonts w:hint="cs"/>
                <w:spacing w:val="0"/>
                <w:szCs w:val="18"/>
              </w:rPr>
            </w:pPr>
            <w:r>
              <w:rPr>
                <w:rFonts w:hint="cs"/>
                <w:spacing w:val="0"/>
                <w:szCs w:val="18"/>
                <w:rtl/>
              </w:rPr>
              <w:t>المبالغ المنفقة على الصحة في الأرياف</w:t>
            </w:r>
          </w:p>
        </w:tc>
        <w:tc>
          <w:tcPr>
            <w:tcW w:w="756" w:type="dxa"/>
            <w:tcBorders>
              <w:top w:val="nil"/>
              <w:bottom w:val="nil"/>
            </w:tcBorders>
          </w:tcPr>
          <w:p w:rsidR="00443EC1" w:rsidRDefault="00443EC1">
            <w:pPr>
              <w:spacing w:before="0" w:after="0" w:line="320" w:lineRule="exact"/>
              <w:jc w:val="both"/>
              <w:rPr>
                <w:rFonts w:hint="cs"/>
                <w:szCs w:val="18"/>
              </w:rPr>
            </w:pPr>
            <w:r>
              <w:rPr>
                <w:rFonts w:hint="cs"/>
                <w:szCs w:val="18"/>
                <w:rtl/>
              </w:rPr>
              <w:t>757 3</w:t>
            </w:r>
          </w:p>
        </w:tc>
        <w:tc>
          <w:tcPr>
            <w:tcW w:w="770" w:type="dxa"/>
            <w:tcBorders>
              <w:top w:val="nil"/>
              <w:bottom w:val="nil"/>
            </w:tcBorders>
          </w:tcPr>
          <w:p w:rsidR="00443EC1" w:rsidRDefault="00443EC1">
            <w:pPr>
              <w:spacing w:before="0" w:after="0" w:line="320" w:lineRule="exact"/>
              <w:jc w:val="both"/>
              <w:rPr>
                <w:rFonts w:hint="cs"/>
                <w:szCs w:val="18"/>
              </w:rPr>
            </w:pPr>
            <w:r>
              <w:rPr>
                <w:rFonts w:hint="cs"/>
                <w:szCs w:val="18"/>
                <w:rtl/>
              </w:rPr>
              <w:t>294 4</w:t>
            </w:r>
          </w:p>
        </w:tc>
        <w:tc>
          <w:tcPr>
            <w:tcW w:w="713" w:type="dxa"/>
            <w:tcBorders>
              <w:top w:val="nil"/>
              <w:bottom w:val="nil"/>
            </w:tcBorders>
          </w:tcPr>
          <w:p w:rsidR="00443EC1" w:rsidRDefault="00443EC1">
            <w:pPr>
              <w:spacing w:before="0" w:after="0" w:line="320" w:lineRule="exact"/>
              <w:jc w:val="both"/>
              <w:rPr>
                <w:rFonts w:hint="cs"/>
                <w:szCs w:val="18"/>
              </w:rPr>
            </w:pPr>
            <w:r>
              <w:rPr>
                <w:rFonts w:hint="cs"/>
                <w:szCs w:val="18"/>
                <w:rtl/>
              </w:rPr>
              <w:t>623 4</w:t>
            </w:r>
          </w:p>
        </w:tc>
        <w:tc>
          <w:tcPr>
            <w:tcW w:w="826" w:type="dxa"/>
            <w:tcBorders>
              <w:top w:val="nil"/>
              <w:bottom w:val="nil"/>
            </w:tcBorders>
          </w:tcPr>
          <w:p w:rsidR="00443EC1" w:rsidRDefault="00443EC1">
            <w:pPr>
              <w:spacing w:before="0" w:after="0" w:line="320" w:lineRule="exact"/>
              <w:jc w:val="both"/>
              <w:rPr>
                <w:rFonts w:hint="cs"/>
                <w:szCs w:val="18"/>
              </w:rPr>
            </w:pPr>
            <w:r>
              <w:rPr>
                <w:rFonts w:hint="cs"/>
                <w:szCs w:val="18"/>
                <w:rtl/>
              </w:rPr>
              <w:t>030 6</w:t>
            </w:r>
          </w:p>
        </w:tc>
        <w:tc>
          <w:tcPr>
            <w:tcW w:w="742" w:type="dxa"/>
            <w:tcBorders>
              <w:top w:val="nil"/>
              <w:bottom w:val="nil"/>
            </w:tcBorders>
          </w:tcPr>
          <w:p w:rsidR="00443EC1" w:rsidRDefault="00443EC1">
            <w:pPr>
              <w:spacing w:before="0" w:after="0" w:line="320" w:lineRule="exact"/>
              <w:jc w:val="both"/>
              <w:rPr>
                <w:rFonts w:hint="cs"/>
                <w:szCs w:val="18"/>
              </w:rPr>
            </w:pPr>
            <w:r>
              <w:rPr>
                <w:rFonts w:hint="cs"/>
                <w:szCs w:val="18"/>
                <w:rtl/>
              </w:rPr>
              <w:t>680 6</w:t>
            </w:r>
          </w:p>
        </w:tc>
        <w:tc>
          <w:tcPr>
            <w:tcW w:w="728" w:type="dxa"/>
            <w:tcBorders>
              <w:top w:val="nil"/>
              <w:bottom w:val="nil"/>
            </w:tcBorders>
          </w:tcPr>
          <w:p w:rsidR="00443EC1" w:rsidRDefault="00443EC1">
            <w:pPr>
              <w:spacing w:before="0" w:after="0" w:line="320" w:lineRule="exact"/>
              <w:jc w:val="both"/>
              <w:rPr>
                <w:rFonts w:hint="cs"/>
                <w:szCs w:val="18"/>
              </w:rPr>
            </w:pPr>
            <w:r>
              <w:rPr>
                <w:rFonts w:hint="cs"/>
                <w:szCs w:val="18"/>
                <w:rtl/>
              </w:rPr>
              <w:t>466 7</w:t>
            </w:r>
          </w:p>
        </w:tc>
        <w:tc>
          <w:tcPr>
            <w:tcW w:w="756" w:type="dxa"/>
            <w:tcBorders>
              <w:top w:val="nil"/>
              <w:bottom w:val="nil"/>
            </w:tcBorders>
          </w:tcPr>
          <w:p w:rsidR="00443EC1" w:rsidRDefault="00443EC1">
            <w:pPr>
              <w:spacing w:before="0" w:after="0" w:line="320" w:lineRule="exact"/>
              <w:jc w:val="both"/>
              <w:rPr>
                <w:rFonts w:hint="cs"/>
                <w:szCs w:val="18"/>
              </w:rPr>
            </w:pPr>
            <w:r>
              <w:rPr>
                <w:rFonts w:hint="cs"/>
                <w:szCs w:val="18"/>
                <w:rtl/>
              </w:rPr>
              <w:t>149 8</w:t>
            </w:r>
          </w:p>
        </w:tc>
        <w:tc>
          <w:tcPr>
            <w:tcW w:w="728" w:type="dxa"/>
            <w:tcBorders>
              <w:top w:val="nil"/>
              <w:bottom w:val="nil"/>
            </w:tcBorders>
          </w:tcPr>
          <w:p w:rsidR="00443EC1" w:rsidRDefault="00443EC1">
            <w:pPr>
              <w:spacing w:before="0" w:after="0" w:line="320" w:lineRule="exact"/>
              <w:jc w:val="both"/>
              <w:rPr>
                <w:rFonts w:hint="cs"/>
                <w:szCs w:val="18"/>
              </w:rPr>
            </w:pPr>
            <w:r>
              <w:rPr>
                <w:rFonts w:hint="cs"/>
                <w:szCs w:val="18"/>
                <w:rtl/>
              </w:rPr>
              <w:t>610 8</w:t>
            </w:r>
          </w:p>
        </w:tc>
        <w:tc>
          <w:tcPr>
            <w:tcW w:w="728" w:type="dxa"/>
            <w:tcBorders>
              <w:top w:val="nil"/>
              <w:bottom w:val="nil"/>
            </w:tcBorders>
          </w:tcPr>
          <w:p w:rsidR="00443EC1" w:rsidRDefault="00443EC1">
            <w:pPr>
              <w:spacing w:before="0" w:after="0" w:line="320" w:lineRule="exact"/>
              <w:jc w:val="both"/>
              <w:rPr>
                <w:rFonts w:hint="cs"/>
                <w:szCs w:val="18"/>
              </w:rPr>
            </w:pPr>
            <w:r>
              <w:rPr>
                <w:rFonts w:hint="cs"/>
                <w:szCs w:val="18"/>
                <w:rtl/>
              </w:rPr>
              <w:t>421 9</w:t>
            </w:r>
          </w:p>
        </w:tc>
        <w:tc>
          <w:tcPr>
            <w:tcW w:w="794" w:type="dxa"/>
            <w:tcBorders>
              <w:top w:val="nil"/>
              <w:bottom w:val="nil"/>
            </w:tcBorders>
          </w:tcPr>
          <w:p w:rsidR="00443EC1" w:rsidRDefault="00443EC1">
            <w:pPr>
              <w:spacing w:before="0" w:after="0" w:line="320" w:lineRule="exact"/>
              <w:jc w:val="both"/>
              <w:rPr>
                <w:rFonts w:hint="cs"/>
                <w:szCs w:val="18"/>
              </w:rPr>
            </w:pPr>
            <w:r>
              <w:rPr>
                <w:rFonts w:hint="cs"/>
                <w:szCs w:val="18"/>
                <w:rtl/>
              </w:rPr>
              <w:t>065 10</w:t>
            </w:r>
          </w:p>
        </w:tc>
      </w:tr>
      <w:tr w:rsidR="00443EC1" w:rsidTr="00443EC1">
        <w:tblPrEx>
          <w:tblCellMar>
            <w:top w:w="0" w:type="dxa"/>
            <w:bottom w:w="0" w:type="dxa"/>
          </w:tblCellMar>
        </w:tblPrEx>
        <w:trPr>
          <w:jc w:val="center"/>
        </w:trPr>
        <w:tc>
          <w:tcPr>
            <w:tcW w:w="2029" w:type="dxa"/>
            <w:tcBorders>
              <w:top w:val="nil"/>
              <w:bottom w:val="nil"/>
            </w:tcBorders>
          </w:tcPr>
          <w:p w:rsidR="00443EC1" w:rsidRDefault="00443EC1">
            <w:pPr>
              <w:spacing w:before="0" w:after="0" w:line="320" w:lineRule="exact"/>
              <w:jc w:val="both"/>
              <w:rPr>
                <w:rFonts w:hint="cs"/>
                <w:spacing w:val="0"/>
                <w:szCs w:val="18"/>
              </w:rPr>
            </w:pPr>
            <w:r>
              <w:rPr>
                <w:rFonts w:hint="cs"/>
                <w:spacing w:val="0"/>
                <w:szCs w:val="18"/>
                <w:rtl/>
              </w:rPr>
              <w:t>النفقات الطبية العامة</w:t>
            </w:r>
          </w:p>
        </w:tc>
        <w:tc>
          <w:tcPr>
            <w:tcW w:w="756" w:type="dxa"/>
            <w:tcBorders>
              <w:top w:val="nil"/>
              <w:bottom w:val="nil"/>
            </w:tcBorders>
          </w:tcPr>
          <w:p w:rsidR="00443EC1" w:rsidRDefault="00443EC1">
            <w:pPr>
              <w:spacing w:before="0" w:after="0" w:line="320" w:lineRule="exact"/>
              <w:jc w:val="both"/>
              <w:rPr>
                <w:rFonts w:hint="cs"/>
                <w:szCs w:val="18"/>
              </w:rPr>
            </w:pPr>
            <w:r>
              <w:rPr>
                <w:rFonts w:hint="cs"/>
                <w:szCs w:val="18"/>
                <w:rtl/>
              </w:rPr>
              <w:t>041 5</w:t>
            </w:r>
          </w:p>
        </w:tc>
        <w:tc>
          <w:tcPr>
            <w:tcW w:w="770" w:type="dxa"/>
            <w:tcBorders>
              <w:top w:val="nil"/>
              <w:bottom w:val="nil"/>
            </w:tcBorders>
          </w:tcPr>
          <w:p w:rsidR="00443EC1" w:rsidRDefault="00443EC1">
            <w:pPr>
              <w:spacing w:before="0" w:after="0" w:line="320" w:lineRule="exact"/>
              <w:jc w:val="both"/>
              <w:rPr>
                <w:rFonts w:hint="cs"/>
                <w:szCs w:val="18"/>
              </w:rPr>
            </w:pPr>
            <w:r>
              <w:rPr>
                <w:rFonts w:hint="cs"/>
                <w:szCs w:val="18"/>
                <w:rtl/>
              </w:rPr>
              <w:t>810 5</w:t>
            </w:r>
          </w:p>
        </w:tc>
        <w:tc>
          <w:tcPr>
            <w:tcW w:w="713" w:type="dxa"/>
            <w:tcBorders>
              <w:top w:val="nil"/>
              <w:bottom w:val="nil"/>
            </w:tcBorders>
          </w:tcPr>
          <w:p w:rsidR="00443EC1" w:rsidRDefault="00443EC1">
            <w:pPr>
              <w:spacing w:before="0" w:after="0" w:line="320" w:lineRule="exact"/>
              <w:jc w:val="both"/>
              <w:rPr>
                <w:rFonts w:hint="cs"/>
                <w:szCs w:val="18"/>
              </w:rPr>
            </w:pPr>
            <w:r>
              <w:rPr>
                <w:rFonts w:hint="cs"/>
                <w:szCs w:val="18"/>
                <w:rtl/>
              </w:rPr>
              <w:t>633 7</w:t>
            </w:r>
          </w:p>
        </w:tc>
        <w:tc>
          <w:tcPr>
            <w:tcW w:w="826" w:type="dxa"/>
            <w:tcBorders>
              <w:top w:val="nil"/>
              <w:bottom w:val="nil"/>
            </w:tcBorders>
          </w:tcPr>
          <w:p w:rsidR="00443EC1" w:rsidRDefault="00443EC1">
            <w:pPr>
              <w:spacing w:before="0" w:after="0" w:line="320" w:lineRule="exact"/>
              <w:jc w:val="both"/>
              <w:rPr>
                <w:rFonts w:hint="cs"/>
                <w:szCs w:val="18"/>
              </w:rPr>
            </w:pPr>
            <w:r>
              <w:rPr>
                <w:rFonts w:hint="cs"/>
                <w:szCs w:val="18"/>
                <w:rtl/>
              </w:rPr>
              <w:t>202 9</w:t>
            </w:r>
          </w:p>
        </w:tc>
        <w:tc>
          <w:tcPr>
            <w:tcW w:w="742" w:type="dxa"/>
            <w:tcBorders>
              <w:top w:val="nil"/>
              <w:bottom w:val="nil"/>
            </w:tcBorders>
          </w:tcPr>
          <w:p w:rsidR="00443EC1" w:rsidRDefault="00443EC1">
            <w:pPr>
              <w:spacing w:before="0" w:after="0" w:line="320" w:lineRule="exact"/>
              <w:jc w:val="both"/>
              <w:rPr>
                <w:rFonts w:hint="cs"/>
                <w:szCs w:val="18"/>
              </w:rPr>
            </w:pPr>
            <w:r>
              <w:rPr>
                <w:rFonts w:hint="cs"/>
                <w:szCs w:val="18"/>
                <w:rtl/>
              </w:rPr>
              <w:t>229 11</w:t>
            </w:r>
          </w:p>
        </w:tc>
        <w:tc>
          <w:tcPr>
            <w:tcW w:w="728" w:type="dxa"/>
            <w:tcBorders>
              <w:top w:val="nil"/>
              <w:bottom w:val="nil"/>
            </w:tcBorders>
          </w:tcPr>
          <w:p w:rsidR="00443EC1" w:rsidRDefault="00443EC1">
            <w:pPr>
              <w:spacing w:before="0" w:after="0" w:line="320" w:lineRule="exact"/>
              <w:jc w:val="both"/>
              <w:rPr>
                <w:rFonts w:hint="cs"/>
                <w:szCs w:val="18"/>
              </w:rPr>
            </w:pPr>
            <w:r>
              <w:rPr>
                <w:rFonts w:hint="cs"/>
                <w:szCs w:val="18"/>
                <w:rtl/>
              </w:rPr>
              <w:t>599 13</w:t>
            </w:r>
          </w:p>
        </w:tc>
        <w:tc>
          <w:tcPr>
            <w:tcW w:w="756" w:type="dxa"/>
            <w:tcBorders>
              <w:top w:val="nil"/>
              <w:bottom w:val="nil"/>
            </w:tcBorders>
          </w:tcPr>
          <w:p w:rsidR="00443EC1" w:rsidRDefault="00443EC1">
            <w:pPr>
              <w:spacing w:before="0" w:after="0" w:line="320" w:lineRule="exact"/>
              <w:jc w:val="both"/>
              <w:rPr>
                <w:rFonts w:hint="cs"/>
                <w:szCs w:val="18"/>
              </w:rPr>
            </w:pPr>
            <w:r>
              <w:rPr>
                <w:rFonts w:hint="cs"/>
                <w:szCs w:val="18"/>
                <w:rtl/>
              </w:rPr>
              <w:t>976 15</w:t>
            </w:r>
          </w:p>
        </w:tc>
        <w:tc>
          <w:tcPr>
            <w:tcW w:w="728" w:type="dxa"/>
            <w:tcBorders>
              <w:top w:val="nil"/>
              <w:bottom w:val="nil"/>
            </w:tcBorders>
          </w:tcPr>
          <w:p w:rsidR="00443EC1" w:rsidRDefault="00443EC1">
            <w:pPr>
              <w:spacing w:before="0" w:after="0" w:line="320" w:lineRule="exact"/>
              <w:jc w:val="both"/>
              <w:rPr>
                <w:rFonts w:hint="cs"/>
                <w:szCs w:val="18"/>
              </w:rPr>
            </w:pPr>
            <w:r>
              <w:rPr>
                <w:rFonts w:hint="cs"/>
                <w:szCs w:val="18"/>
                <w:rtl/>
              </w:rPr>
              <w:t>675 17</w:t>
            </w:r>
          </w:p>
        </w:tc>
        <w:tc>
          <w:tcPr>
            <w:tcW w:w="728" w:type="dxa"/>
            <w:tcBorders>
              <w:top w:val="nil"/>
              <w:bottom w:val="nil"/>
            </w:tcBorders>
          </w:tcPr>
          <w:p w:rsidR="00443EC1" w:rsidRDefault="00443EC1">
            <w:pPr>
              <w:spacing w:before="0" w:after="0" w:line="320" w:lineRule="exact"/>
              <w:jc w:val="both"/>
              <w:rPr>
                <w:rFonts w:hint="cs"/>
                <w:szCs w:val="18"/>
              </w:rPr>
            </w:pPr>
            <w:r>
              <w:rPr>
                <w:rFonts w:hint="cs"/>
                <w:szCs w:val="18"/>
                <w:rtl/>
              </w:rPr>
              <w:t>127 19</w:t>
            </w:r>
          </w:p>
        </w:tc>
        <w:tc>
          <w:tcPr>
            <w:tcW w:w="794" w:type="dxa"/>
            <w:tcBorders>
              <w:top w:val="nil"/>
              <w:bottom w:val="nil"/>
            </w:tcBorders>
          </w:tcPr>
          <w:p w:rsidR="00443EC1" w:rsidRDefault="00443EC1">
            <w:pPr>
              <w:spacing w:before="0" w:after="0" w:line="320" w:lineRule="exact"/>
              <w:jc w:val="both"/>
              <w:rPr>
                <w:rFonts w:hint="cs"/>
                <w:szCs w:val="18"/>
              </w:rPr>
            </w:pPr>
            <w:r>
              <w:rPr>
                <w:rFonts w:hint="cs"/>
                <w:szCs w:val="18"/>
                <w:rtl/>
              </w:rPr>
              <w:t>100 21</w:t>
            </w:r>
          </w:p>
        </w:tc>
      </w:tr>
      <w:tr w:rsidR="00443EC1" w:rsidTr="00443EC1">
        <w:tblPrEx>
          <w:tblCellMar>
            <w:top w:w="0" w:type="dxa"/>
            <w:bottom w:w="0" w:type="dxa"/>
          </w:tblCellMar>
        </w:tblPrEx>
        <w:trPr>
          <w:jc w:val="center"/>
        </w:trPr>
        <w:tc>
          <w:tcPr>
            <w:tcW w:w="2029" w:type="dxa"/>
            <w:tcBorders>
              <w:top w:val="nil"/>
            </w:tcBorders>
          </w:tcPr>
          <w:p w:rsidR="00443EC1" w:rsidRDefault="00443EC1">
            <w:pPr>
              <w:spacing w:before="0" w:after="0" w:line="260" w:lineRule="exact"/>
              <w:jc w:val="both"/>
              <w:rPr>
                <w:rFonts w:hint="cs"/>
                <w:spacing w:val="0"/>
                <w:szCs w:val="18"/>
              </w:rPr>
            </w:pPr>
            <w:r>
              <w:rPr>
                <w:rFonts w:hint="cs"/>
                <w:spacing w:val="0"/>
                <w:szCs w:val="18"/>
                <w:rtl/>
              </w:rPr>
              <w:t>نفقات الرعاية الصحية الأولية كنسبة مئوية من الإنفاق الإجمالي على الصحة</w:t>
            </w:r>
          </w:p>
        </w:tc>
        <w:tc>
          <w:tcPr>
            <w:tcW w:w="756" w:type="dxa"/>
            <w:tcBorders>
              <w:top w:val="nil"/>
            </w:tcBorders>
          </w:tcPr>
          <w:p w:rsidR="00443EC1" w:rsidRDefault="00443EC1">
            <w:pPr>
              <w:spacing w:before="0" w:after="0" w:line="320" w:lineRule="exact"/>
              <w:jc w:val="both"/>
              <w:rPr>
                <w:rFonts w:hint="cs"/>
                <w:szCs w:val="18"/>
              </w:rPr>
            </w:pPr>
            <w:r>
              <w:rPr>
                <w:rFonts w:hint="cs"/>
                <w:szCs w:val="18"/>
                <w:rtl/>
              </w:rPr>
              <w:t>43.49</w:t>
            </w:r>
          </w:p>
        </w:tc>
        <w:tc>
          <w:tcPr>
            <w:tcW w:w="770" w:type="dxa"/>
            <w:tcBorders>
              <w:top w:val="nil"/>
            </w:tcBorders>
          </w:tcPr>
          <w:p w:rsidR="00443EC1" w:rsidRDefault="00443EC1">
            <w:pPr>
              <w:spacing w:before="0" w:after="0" w:line="320" w:lineRule="exact"/>
              <w:jc w:val="both"/>
              <w:rPr>
                <w:rFonts w:hint="cs"/>
                <w:szCs w:val="18"/>
              </w:rPr>
            </w:pPr>
            <w:r>
              <w:rPr>
                <w:rFonts w:hint="cs"/>
                <w:szCs w:val="18"/>
                <w:rtl/>
              </w:rPr>
              <w:t>44.60</w:t>
            </w:r>
          </w:p>
        </w:tc>
        <w:tc>
          <w:tcPr>
            <w:tcW w:w="713" w:type="dxa"/>
            <w:tcBorders>
              <w:top w:val="nil"/>
            </w:tcBorders>
          </w:tcPr>
          <w:p w:rsidR="00443EC1" w:rsidRDefault="00443EC1">
            <w:pPr>
              <w:spacing w:before="0" w:after="0" w:line="320" w:lineRule="exact"/>
              <w:jc w:val="both"/>
              <w:rPr>
                <w:rFonts w:hint="cs"/>
                <w:szCs w:val="18"/>
              </w:rPr>
            </w:pPr>
            <w:r>
              <w:rPr>
                <w:rFonts w:hint="cs"/>
                <w:szCs w:val="18"/>
                <w:rtl/>
              </w:rPr>
              <w:t>45.49</w:t>
            </w:r>
          </w:p>
        </w:tc>
        <w:tc>
          <w:tcPr>
            <w:tcW w:w="826" w:type="dxa"/>
            <w:tcBorders>
              <w:top w:val="nil"/>
            </w:tcBorders>
          </w:tcPr>
          <w:p w:rsidR="00443EC1" w:rsidRDefault="00443EC1">
            <w:pPr>
              <w:spacing w:before="0" w:after="0" w:line="320" w:lineRule="exact"/>
              <w:jc w:val="both"/>
              <w:rPr>
                <w:rFonts w:hint="cs"/>
                <w:szCs w:val="18"/>
              </w:rPr>
            </w:pPr>
            <w:r>
              <w:rPr>
                <w:rFonts w:hint="cs"/>
                <w:szCs w:val="18"/>
                <w:rtl/>
              </w:rPr>
              <w:t>45.01</w:t>
            </w:r>
          </w:p>
        </w:tc>
        <w:tc>
          <w:tcPr>
            <w:tcW w:w="742" w:type="dxa"/>
            <w:tcBorders>
              <w:top w:val="nil"/>
            </w:tcBorders>
          </w:tcPr>
          <w:p w:rsidR="00443EC1" w:rsidRDefault="00443EC1">
            <w:pPr>
              <w:spacing w:before="0" w:after="0" w:line="320" w:lineRule="exact"/>
              <w:jc w:val="both"/>
              <w:rPr>
                <w:rFonts w:hint="cs"/>
                <w:szCs w:val="18"/>
              </w:rPr>
            </w:pPr>
            <w:r>
              <w:rPr>
                <w:rFonts w:hint="cs"/>
                <w:szCs w:val="18"/>
                <w:rtl/>
              </w:rPr>
              <w:t>46.75</w:t>
            </w:r>
          </w:p>
        </w:tc>
        <w:tc>
          <w:tcPr>
            <w:tcW w:w="728" w:type="dxa"/>
            <w:tcBorders>
              <w:top w:val="nil"/>
            </w:tcBorders>
          </w:tcPr>
          <w:p w:rsidR="00443EC1" w:rsidRDefault="00443EC1">
            <w:pPr>
              <w:spacing w:before="0" w:after="0" w:line="320" w:lineRule="exact"/>
              <w:jc w:val="both"/>
              <w:rPr>
                <w:rFonts w:hint="cs"/>
                <w:szCs w:val="18"/>
              </w:rPr>
            </w:pPr>
            <w:r>
              <w:rPr>
                <w:rFonts w:hint="cs"/>
                <w:szCs w:val="18"/>
                <w:rtl/>
              </w:rPr>
              <w:t>45.70</w:t>
            </w:r>
          </w:p>
        </w:tc>
        <w:tc>
          <w:tcPr>
            <w:tcW w:w="756" w:type="dxa"/>
            <w:tcBorders>
              <w:top w:val="nil"/>
            </w:tcBorders>
          </w:tcPr>
          <w:p w:rsidR="00443EC1" w:rsidRDefault="00443EC1">
            <w:pPr>
              <w:spacing w:before="0" w:after="0" w:line="320" w:lineRule="exact"/>
              <w:jc w:val="both"/>
              <w:rPr>
                <w:rFonts w:hint="cs"/>
                <w:szCs w:val="18"/>
              </w:rPr>
            </w:pPr>
            <w:r>
              <w:rPr>
                <w:rFonts w:hint="cs"/>
                <w:szCs w:val="18"/>
                <w:rtl/>
              </w:rPr>
              <w:t>46.21</w:t>
            </w:r>
          </w:p>
        </w:tc>
        <w:tc>
          <w:tcPr>
            <w:tcW w:w="728" w:type="dxa"/>
            <w:tcBorders>
              <w:top w:val="nil"/>
            </w:tcBorders>
          </w:tcPr>
          <w:p w:rsidR="00443EC1" w:rsidRDefault="00443EC1">
            <w:pPr>
              <w:spacing w:before="0" w:after="0" w:line="320" w:lineRule="exact"/>
              <w:jc w:val="both"/>
              <w:rPr>
                <w:rFonts w:hint="cs"/>
                <w:szCs w:val="18"/>
              </w:rPr>
            </w:pPr>
            <w:r>
              <w:rPr>
                <w:rFonts w:hint="cs"/>
                <w:szCs w:val="18"/>
                <w:rtl/>
              </w:rPr>
              <w:t>44.76</w:t>
            </w:r>
          </w:p>
        </w:tc>
        <w:tc>
          <w:tcPr>
            <w:tcW w:w="728" w:type="dxa"/>
            <w:tcBorders>
              <w:top w:val="nil"/>
            </w:tcBorders>
          </w:tcPr>
          <w:p w:rsidR="00443EC1" w:rsidRDefault="00443EC1">
            <w:pPr>
              <w:spacing w:before="0" w:after="0" w:line="320" w:lineRule="exact"/>
              <w:jc w:val="both"/>
              <w:rPr>
                <w:rFonts w:hint="cs"/>
                <w:szCs w:val="18"/>
              </w:rPr>
            </w:pPr>
            <w:r>
              <w:rPr>
                <w:rFonts w:hint="cs"/>
                <w:szCs w:val="18"/>
                <w:rtl/>
              </w:rPr>
              <w:t>44.54</w:t>
            </w:r>
          </w:p>
        </w:tc>
        <w:tc>
          <w:tcPr>
            <w:tcW w:w="794" w:type="dxa"/>
            <w:tcBorders>
              <w:top w:val="nil"/>
            </w:tcBorders>
          </w:tcPr>
          <w:p w:rsidR="00443EC1" w:rsidRDefault="00443EC1">
            <w:pPr>
              <w:spacing w:before="0" w:after="0" w:line="320" w:lineRule="exact"/>
              <w:jc w:val="both"/>
              <w:rPr>
                <w:rFonts w:hint="cs"/>
                <w:szCs w:val="18"/>
              </w:rPr>
            </w:pPr>
            <w:r>
              <w:rPr>
                <w:rFonts w:hint="cs"/>
                <w:szCs w:val="18"/>
                <w:rtl/>
              </w:rPr>
              <w:t>43.92</w:t>
            </w:r>
          </w:p>
        </w:tc>
      </w:tr>
    </w:tbl>
    <w:p w:rsidR="00000000" w:rsidRDefault="00443EC1">
      <w:pPr>
        <w:spacing w:before="120"/>
        <w:jc w:val="both"/>
        <w:rPr>
          <w:rFonts w:hint="cs"/>
          <w:sz w:val="24"/>
          <w:szCs w:val="26"/>
          <w:rtl/>
        </w:rPr>
      </w:pPr>
      <w:r>
        <w:rPr>
          <w:rFonts w:hint="cs"/>
          <w:i/>
          <w:iCs/>
          <w:sz w:val="24"/>
          <w:szCs w:val="26"/>
          <w:rtl/>
        </w:rPr>
        <w:tab/>
        <w:t>المصدر</w:t>
      </w:r>
      <w:r>
        <w:rPr>
          <w:rFonts w:hint="cs"/>
          <w:sz w:val="24"/>
          <w:szCs w:val="26"/>
          <w:rtl/>
        </w:rPr>
        <w:t>: معهد اقتصاديات الصحة التابع لوزارة الصحة.</w:t>
      </w:r>
    </w:p>
    <w:p w:rsidR="00000000" w:rsidRDefault="00443EC1">
      <w:pPr>
        <w:jc w:val="center"/>
        <w:rPr>
          <w:rFonts w:hint="cs"/>
          <w:b/>
          <w:bCs/>
          <w:sz w:val="32"/>
          <w:szCs w:val="32"/>
          <w:rtl/>
        </w:rPr>
      </w:pPr>
      <w:r>
        <w:rPr>
          <w:rFonts w:hint="cs"/>
          <w:b/>
          <w:bCs/>
          <w:sz w:val="32"/>
          <w:szCs w:val="32"/>
          <w:rtl/>
        </w:rPr>
        <w:t>الجدول 16</w:t>
      </w:r>
    </w:p>
    <w:p w:rsidR="00000000" w:rsidRDefault="00443EC1">
      <w:pPr>
        <w:jc w:val="center"/>
        <w:rPr>
          <w:rFonts w:hint="cs"/>
          <w:b/>
          <w:bCs/>
          <w:sz w:val="32"/>
          <w:szCs w:val="32"/>
          <w:rtl/>
        </w:rPr>
      </w:pPr>
      <w:r>
        <w:rPr>
          <w:rFonts w:hint="cs"/>
          <w:b/>
          <w:bCs/>
          <w:sz w:val="32"/>
          <w:szCs w:val="32"/>
          <w:rtl/>
        </w:rPr>
        <w:t>معدل الوفيات في مرحلة الطفولة، 1991-2</w:t>
      </w:r>
      <w:r>
        <w:rPr>
          <w:rFonts w:hint="cs"/>
          <w:b/>
          <w:bCs/>
          <w:sz w:val="32"/>
          <w:szCs w:val="32"/>
          <w:rtl/>
        </w:rPr>
        <w:t>000 (لكل ألف طفل)</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7"/>
        <w:gridCol w:w="957"/>
        <w:gridCol w:w="957"/>
        <w:gridCol w:w="957"/>
        <w:gridCol w:w="957"/>
        <w:gridCol w:w="957"/>
        <w:gridCol w:w="957"/>
        <w:gridCol w:w="957"/>
        <w:gridCol w:w="957"/>
        <w:gridCol w:w="957"/>
      </w:tblGrid>
      <w:tr w:rsidR="00443EC1" w:rsidTr="00443EC1">
        <w:tblPrEx>
          <w:tblCellMar>
            <w:top w:w="0" w:type="dxa"/>
            <w:bottom w:w="0" w:type="dxa"/>
          </w:tblCellMar>
        </w:tblPrEx>
        <w:trPr>
          <w:cantSplit/>
          <w:jc w:val="center"/>
        </w:trPr>
        <w:tc>
          <w:tcPr>
            <w:tcW w:w="957" w:type="dxa"/>
            <w:vMerge w:val="restart"/>
          </w:tcPr>
          <w:p w:rsidR="00443EC1" w:rsidRDefault="00443EC1">
            <w:pPr>
              <w:spacing w:before="0" w:after="0" w:line="320" w:lineRule="exact"/>
              <w:jc w:val="center"/>
              <w:rPr>
                <w:szCs w:val="20"/>
              </w:rPr>
            </w:pPr>
          </w:p>
        </w:tc>
        <w:tc>
          <w:tcPr>
            <w:tcW w:w="2871" w:type="dxa"/>
            <w:gridSpan w:val="3"/>
          </w:tcPr>
          <w:p w:rsidR="00443EC1" w:rsidRDefault="00443EC1">
            <w:pPr>
              <w:spacing w:before="0" w:after="0" w:line="320" w:lineRule="exact"/>
              <w:jc w:val="center"/>
              <w:rPr>
                <w:rFonts w:hint="cs"/>
                <w:szCs w:val="22"/>
              </w:rPr>
            </w:pPr>
            <w:r>
              <w:rPr>
                <w:rFonts w:hint="cs"/>
                <w:szCs w:val="22"/>
                <w:rtl/>
              </w:rPr>
              <w:t>على صعيد البلاد</w:t>
            </w:r>
          </w:p>
        </w:tc>
        <w:tc>
          <w:tcPr>
            <w:tcW w:w="2871" w:type="dxa"/>
            <w:gridSpan w:val="3"/>
          </w:tcPr>
          <w:p w:rsidR="00443EC1" w:rsidRDefault="00443EC1">
            <w:pPr>
              <w:spacing w:before="0" w:after="0" w:line="320" w:lineRule="exact"/>
              <w:jc w:val="center"/>
              <w:rPr>
                <w:rFonts w:hint="cs"/>
                <w:szCs w:val="22"/>
              </w:rPr>
            </w:pPr>
            <w:r>
              <w:rPr>
                <w:rFonts w:hint="cs"/>
                <w:szCs w:val="22"/>
                <w:rtl/>
              </w:rPr>
              <w:t>في المدن</w:t>
            </w:r>
          </w:p>
        </w:tc>
        <w:tc>
          <w:tcPr>
            <w:tcW w:w="2871" w:type="dxa"/>
            <w:gridSpan w:val="3"/>
          </w:tcPr>
          <w:p w:rsidR="00443EC1" w:rsidRDefault="00443EC1">
            <w:pPr>
              <w:spacing w:before="0" w:after="0" w:line="320" w:lineRule="exact"/>
              <w:jc w:val="center"/>
              <w:rPr>
                <w:rFonts w:hint="cs"/>
                <w:szCs w:val="22"/>
              </w:rPr>
            </w:pPr>
            <w:r>
              <w:rPr>
                <w:rFonts w:hint="cs"/>
                <w:szCs w:val="22"/>
                <w:rtl/>
              </w:rPr>
              <w:t>في الأرياف</w:t>
            </w:r>
          </w:p>
        </w:tc>
      </w:tr>
      <w:tr w:rsidR="00443EC1" w:rsidTr="00443EC1">
        <w:tblPrEx>
          <w:tblCellMar>
            <w:top w:w="0" w:type="dxa"/>
            <w:bottom w:w="0" w:type="dxa"/>
          </w:tblCellMar>
        </w:tblPrEx>
        <w:trPr>
          <w:cantSplit/>
          <w:jc w:val="center"/>
        </w:trPr>
        <w:tc>
          <w:tcPr>
            <w:tcW w:w="957" w:type="dxa"/>
            <w:vMerge/>
            <w:tcBorders>
              <w:bottom w:val="single" w:sz="4" w:space="0" w:color="auto"/>
            </w:tcBorders>
          </w:tcPr>
          <w:p w:rsidR="00443EC1" w:rsidRDefault="00443EC1">
            <w:pPr>
              <w:spacing w:before="0" w:after="0" w:line="320" w:lineRule="exact"/>
              <w:jc w:val="center"/>
              <w:rPr>
                <w:rFonts w:hint="cs"/>
                <w:szCs w:val="20"/>
              </w:rPr>
            </w:pPr>
          </w:p>
        </w:tc>
        <w:tc>
          <w:tcPr>
            <w:tcW w:w="957" w:type="dxa"/>
            <w:tcBorders>
              <w:bottom w:val="single" w:sz="4" w:space="0" w:color="auto"/>
            </w:tcBorders>
            <w:vAlign w:val="bottom"/>
          </w:tcPr>
          <w:p w:rsidR="00443EC1" w:rsidRDefault="00443EC1">
            <w:pPr>
              <w:spacing w:before="0" w:after="0" w:line="320" w:lineRule="exact"/>
              <w:jc w:val="center"/>
              <w:rPr>
                <w:rFonts w:hint="cs"/>
                <w:szCs w:val="20"/>
              </w:rPr>
            </w:pPr>
            <w:r>
              <w:rPr>
                <w:rFonts w:hint="cs"/>
                <w:szCs w:val="20"/>
                <w:rtl/>
              </w:rPr>
              <w:t>معدل وفيات المولودين الجدد</w:t>
            </w:r>
          </w:p>
        </w:tc>
        <w:tc>
          <w:tcPr>
            <w:tcW w:w="957" w:type="dxa"/>
            <w:tcBorders>
              <w:bottom w:val="single" w:sz="4" w:space="0" w:color="auto"/>
            </w:tcBorders>
            <w:vAlign w:val="bottom"/>
          </w:tcPr>
          <w:p w:rsidR="00443EC1" w:rsidRDefault="00443EC1">
            <w:pPr>
              <w:spacing w:before="0" w:after="0" w:line="320" w:lineRule="exact"/>
              <w:jc w:val="center"/>
              <w:rPr>
                <w:rFonts w:hint="cs"/>
                <w:szCs w:val="20"/>
              </w:rPr>
            </w:pPr>
            <w:r>
              <w:rPr>
                <w:rFonts w:hint="cs"/>
                <w:szCs w:val="20"/>
                <w:rtl/>
              </w:rPr>
              <w:t>معدل وفيات الرُضع</w:t>
            </w:r>
          </w:p>
        </w:tc>
        <w:tc>
          <w:tcPr>
            <w:tcW w:w="957" w:type="dxa"/>
            <w:tcBorders>
              <w:bottom w:val="single" w:sz="4" w:space="0" w:color="auto"/>
            </w:tcBorders>
            <w:vAlign w:val="bottom"/>
          </w:tcPr>
          <w:p w:rsidR="00443EC1" w:rsidRDefault="00443EC1">
            <w:pPr>
              <w:spacing w:before="0" w:after="0" w:line="320" w:lineRule="exact"/>
              <w:jc w:val="center"/>
              <w:rPr>
                <w:rFonts w:hint="cs"/>
                <w:szCs w:val="20"/>
              </w:rPr>
            </w:pPr>
            <w:r>
              <w:rPr>
                <w:rFonts w:hint="cs"/>
                <w:szCs w:val="20"/>
                <w:rtl/>
              </w:rPr>
              <w:t>معدل وفيات الأطفال دون سن الخامسة</w:t>
            </w:r>
          </w:p>
        </w:tc>
        <w:tc>
          <w:tcPr>
            <w:tcW w:w="957" w:type="dxa"/>
            <w:tcBorders>
              <w:bottom w:val="single" w:sz="4" w:space="0" w:color="auto"/>
            </w:tcBorders>
            <w:vAlign w:val="bottom"/>
          </w:tcPr>
          <w:p w:rsidR="00443EC1" w:rsidRDefault="00443EC1">
            <w:pPr>
              <w:spacing w:before="0" w:after="0" w:line="320" w:lineRule="exact"/>
              <w:jc w:val="center"/>
              <w:rPr>
                <w:rFonts w:hint="cs"/>
                <w:szCs w:val="20"/>
              </w:rPr>
            </w:pPr>
            <w:r>
              <w:rPr>
                <w:rFonts w:hint="cs"/>
                <w:szCs w:val="20"/>
                <w:rtl/>
              </w:rPr>
              <w:t>معدل وفيات المولودين الجدد</w:t>
            </w:r>
          </w:p>
        </w:tc>
        <w:tc>
          <w:tcPr>
            <w:tcW w:w="957" w:type="dxa"/>
            <w:tcBorders>
              <w:bottom w:val="single" w:sz="4" w:space="0" w:color="auto"/>
            </w:tcBorders>
            <w:vAlign w:val="bottom"/>
          </w:tcPr>
          <w:p w:rsidR="00443EC1" w:rsidRDefault="00443EC1">
            <w:pPr>
              <w:spacing w:before="0" w:after="0" w:line="320" w:lineRule="exact"/>
              <w:jc w:val="center"/>
              <w:rPr>
                <w:rFonts w:hint="cs"/>
                <w:szCs w:val="20"/>
              </w:rPr>
            </w:pPr>
            <w:r>
              <w:rPr>
                <w:rFonts w:hint="cs"/>
                <w:szCs w:val="20"/>
                <w:rtl/>
              </w:rPr>
              <w:t>معدل وفيات الرُضع</w:t>
            </w:r>
          </w:p>
        </w:tc>
        <w:tc>
          <w:tcPr>
            <w:tcW w:w="957" w:type="dxa"/>
            <w:tcBorders>
              <w:bottom w:val="single" w:sz="4" w:space="0" w:color="auto"/>
            </w:tcBorders>
            <w:vAlign w:val="bottom"/>
          </w:tcPr>
          <w:p w:rsidR="00443EC1" w:rsidRDefault="00443EC1">
            <w:pPr>
              <w:spacing w:before="0" w:after="0" w:line="320" w:lineRule="exact"/>
              <w:jc w:val="center"/>
              <w:rPr>
                <w:rFonts w:hint="cs"/>
                <w:szCs w:val="20"/>
              </w:rPr>
            </w:pPr>
            <w:r>
              <w:rPr>
                <w:rFonts w:hint="cs"/>
                <w:szCs w:val="20"/>
                <w:rtl/>
              </w:rPr>
              <w:t>معدل وفيات الأطفال دون سن الخامسة</w:t>
            </w:r>
          </w:p>
        </w:tc>
        <w:tc>
          <w:tcPr>
            <w:tcW w:w="957" w:type="dxa"/>
            <w:tcBorders>
              <w:bottom w:val="single" w:sz="4" w:space="0" w:color="auto"/>
            </w:tcBorders>
            <w:vAlign w:val="bottom"/>
          </w:tcPr>
          <w:p w:rsidR="00443EC1" w:rsidRDefault="00443EC1">
            <w:pPr>
              <w:spacing w:before="0" w:after="0" w:line="320" w:lineRule="exact"/>
              <w:jc w:val="center"/>
              <w:rPr>
                <w:rFonts w:hint="cs"/>
                <w:szCs w:val="20"/>
              </w:rPr>
            </w:pPr>
            <w:r>
              <w:rPr>
                <w:rFonts w:hint="cs"/>
                <w:szCs w:val="20"/>
                <w:rtl/>
              </w:rPr>
              <w:t>معدل وفيات المولودين الجدد</w:t>
            </w:r>
          </w:p>
        </w:tc>
        <w:tc>
          <w:tcPr>
            <w:tcW w:w="957" w:type="dxa"/>
            <w:tcBorders>
              <w:bottom w:val="single" w:sz="4" w:space="0" w:color="auto"/>
            </w:tcBorders>
            <w:vAlign w:val="bottom"/>
          </w:tcPr>
          <w:p w:rsidR="00443EC1" w:rsidRDefault="00443EC1">
            <w:pPr>
              <w:spacing w:before="0" w:after="0" w:line="320" w:lineRule="exact"/>
              <w:jc w:val="center"/>
              <w:rPr>
                <w:rFonts w:hint="cs"/>
                <w:szCs w:val="20"/>
              </w:rPr>
            </w:pPr>
            <w:r>
              <w:rPr>
                <w:rFonts w:hint="cs"/>
                <w:szCs w:val="20"/>
                <w:rtl/>
              </w:rPr>
              <w:t>معدل وفيات الرُضع</w:t>
            </w:r>
          </w:p>
        </w:tc>
        <w:tc>
          <w:tcPr>
            <w:tcW w:w="957" w:type="dxa"/>
            <w:tcBorders>
              <w:bottom w:val="single" w:sz="4" w:space="0" w:color="auto"/>
            </w:tcBorders>
            <w:vAlign w:val="bottom"/>
          </w:tcPr>
          <w:p w:rsidR="00443EC1" w:rsidRDefault="00443EC1">
            <w:pPr>
              <w:spacing w:before="0" w:after="0" w:line="320" w:lineRule="exact"/>
              <w:jc w:val="center"/>
              <w:rPr>
                <w:rFonts w:hint="cs"/>
                <w:szCs w:val="20"/>
              </w:rPr>
            </w:pPr>
            <w:r>
              <w:rPr>
                <w:rFonts w:hint="cs"/>
                <w:szCs w:val="20"/>
                <w:rtl/>
              </w:rPr>
              <w:t>معدل وفيات الأطفال دون سن الخامسة</w:t>
            </w:r>
          </w:p>
        </w:tc>
      </w:tr>
      <w:tr w:rsidR="00443EC1" w:rsidTr="00443EC1">
        <w:tblPrEx>
          <w:tblCellMar>
            <w:top w:w="0" w:type="dxa"/>
            <w:bottom w:w="0" w:type="dxa"/>
          </w:tblCellMar>
        </w:tblPrEx>
        <w:trPr>
          <w:jc w:val="center"/>
        </w:trPr>
        <w:tc>
          <w:tcPr>
            <w:tcW w:w="957" w:type="dxa"/>
            <w:tcBorders>
              <w:bottom w:val="nil"/>
            </w:tcBorders>
          </w:tcPr>
          <w:p w:rsidR="00443EC1" w:rsidRDefault="00443EC1">
            <w:pPr>
              <w:spacing w:before="0" w:after="0" w:line="320" w:lineRule="exact"/>
              <w:jc w:val="both"/>
              <w:rPr>
                <w:rFonts w:hint="cs"/>
                <w:szCs w:val="22"/>
              </w:rPr>
            </w:pPr>
            <w:r>
              <w:rPr>
                <w:rFonts w:hint="cs"/>
                <w:szCs w:val="22"/>
                <w:rtl/>
              </w:rPr>
              <w:t>1991</w:t>
            </w:r>
          </w:p>
        </w:tc>
        <w:tc>
          <w:tcPr>
            <w:tcW w:w="957" w:type="dxa"/>
            <w:tcBorders>
              <w:bottom w:val="nil"/>
            </w:tcBorders>
          </w:tcPr>
          <w:p w:rsidR="00443EC1" w:rsidRDefault="00443EC1">
            <w:pPr>
              <w:spacing w:before="0" w:after="0" w:line="320" w:lineRule="exact"/>
              <w:jc w:val="center"/>
              <w:rPr>
                <w:rFonts w:hint="cs"/>
                <w:szCs w:val="22"/>
              </w:rPr>
            </w:pPr>
            <w:r>
              <w:rPr>
                <w:rFonts w:hint="cs"/>
                <w:szCs w:val="22"/>
                <w:rtl/>
              </w:rPr>
              <w:t>33.1</w:t>
            </w:r>
          </w:p>
        </w:tc>
        <w:tc>
          <w:tcPr>
            <w:tcW w:w="957" w:type="dxa"/>
            <w:tcBorders>
              <w:bottom w:val="nil"/>
            </w:tcBorders>
          </w:tcPr>
          <w:p w:rsidR="00443EC1" w:rsidRDefault="00443EC1">
            <w:pPr>
              <w:spacing w:before="0" w:after="0" w:line="320" w:lineRule="exact"/>
              <w:jc w:val="center"/>
              <w:rPr>
                <w:rFonts w:hint="cs"/>
                <w:szCs w:val="22"/>
              </w:rPr>
            </w:pPr>
            <w:r>
              <w:rPr>
                <w:rFonts w:hint="cs"/>
                <w:szCs w:val="22"/>
                <w:rtl/>
              </w:rPr>
              <w:t>50.2</w:t>
            </w:r>
          </w:p>
        </w:tc>
        <w:tc>
          <w:tcPr>
            <w:tcW w:w="957" w:type="dxa"/>
            <w:tcBorders>
              <w:bottom w:val="nil"/>
            </w:tcBorders>
          </w:tcPr>
          <w:p w:rsidR="00443EC1" w:rsidRDefault="00443EC1">
            <w:pPr>
              <w:spacing w:before="0" w:after="0" w:line="320" w:lineRule="exact"/>
              <w:jc w:val="center"/>
              <w:rPr>
                <w:rFonts w:hint="cs"/>
                <w:szCs w:val="22"/>
              </w:rPr>
            </w:pPr>
            <w:r>
              <w:rPr>
                <w:rFonts w:hint="cs"/>
                <w:szCs w:val="22"/>
                <w:rtl/>
              </w:rPr>
              <w:t>61.0</w:t>
            </w:r>
          </w:p>
        </w:tc>
        <w:tc>
          <w:tcPr>
            <w:tcW w:w="957" w:type="dxa"/>
            <w:tcBorders>
              <w:bottom w:val="nil"/>
            </w:tcBorders>
          </w:tcPr>
          <w:p w:rsidR="00443EC1" w:rsidRDefault="00443EC1">
            <w:pPr>
              <w:spacing w:before="0" w:after="0" w:line="320" w:lineRule="exact"/>
              <w:jc w:val="center"/>
              <w:rPr>
                <w:rFonts w:hint="cs"/>
                <w:szCs w:val="22"/>
              </w:rPr>
            </w:pPr>
            <w:r>
              <w:rPr>
                <w:rFonts w:hint="cs"/>
                <w:szCs w:val="22"/>
                <w:rtl/>
              </w:rPr>
              <w:t>12.5</w:t>
            </w:r>
          </w:p>
        </w:tc>
        <w:tc>
          <w:tcPr>
            <w:tcW w:w="957" w:type="dxa"/>
            <w:tcBorders>
              <w:bottom w:val="nil"/>
            </w:tcBorders>
          </w:tcPr>
          <w:p w:rsidR="00443EC1" w:rsidRDefault="00443EC1">
            <w:pPr>
              <w:spacing w:before="0" w:after="0" w:line="320" w:lineRule="exact"/>
              <w:jc w:val="center"/>
              <w:rPr>
                <w:rFonts w:hint="cs"/>
                <w:szCs w:val="22"/>
              </w:rPr>
            </w:pPr>
            <w:r>
              <w:rPr>
                <w:rFonts w:hint="cs"/>
                <w:szCs w:val="22"/>
                <w:rtl/>
              </w:rPr>
              <w:t>17.3</w:t>
            </w:r>
          </w:p>
        </w:tc>
        <w:tc>
          <w:tcPr>
            <w:tcW w:w="957" w:type="dxa"/>
            <w:tcBorders>
              <w:bottom w:val="nil"/>
            </w:tcBorders>
          </w:tcPr>
          <w:p w:rsidR="00443EC1" w:rsidRDefault="00443EC1">
            <w:pPr>
              <w:spacing w:before="0" w:after="0" w:line="320" w:lineRule="exact"/>
              <w:jc w:val="center"/>
              <w:rPr>
                <w:rFonts w:hint="cs"/>
                <w:szCs w:val="22"/>
              </w:rPr>
            </w:pPr>
            <w:r>
              <w:rPr>
                <w:rFonts w:hint="cs"/>
                <w:szCs w:val="22"/>
                <w:rtl/>
              </w:rPr>
              <w:t>20.9</w:t>
            </w:r>
          </w:p>
        </w:tc>
        <w:tc>
          <w:tcPr>
            <w:tcW w:w="957" w:type="dxa"/>
            <w:tcBorders>
              <w:bottom w:val="nil"/>
            </w:tcBorders>
          </w:tcPr>
          <w:p w:rsidR="00443EC1" w:rsidRDefault="00443EC1">
            <w:pPr>
              <w:spacing w:before="0" w:after="0" w:line="320" w:lineRule="exact"/>
              <w:jc w:val="center"/>
              <w:rPr>
                <w:rFonts w:hint="cs"/>
                <w:szCs w:val="22"/>
              </w:rPr>
            </w:pPr>
            <w:r>
              <w:rPr>
                <w:rFonts w:hint="cs"/>
                <w:szCs w:val="22"/>
                <w:rtl/>
              </w:rPr>
              <w:t>37.9</w:t>
            </w:r>
          </w:p>
        </w:tc>
        <w:tc>
          <w:tcPr>
            <w:tcW w:w="957" w:type="dxa"/>
            <w:tcBorders>
              <w:bottom w:val="nil"/>
            </w:tcBorders>
          </w:tcPr>
          <w:p w:rsidR="00443EC1" w:rsidRDefault="00443EC1">
            <w:pPr>
              <w:spacing w:before="0" w:after="0" w:line="320" w:lineRule="exact"/>
              <w:jc w:val="center"/>
              <w:rPr>
                <w:rFonts w:hint="cs"/>
                <w:szCs w:val="22"/>
              </w:rPr>
            </w:pPr>
            <w:r>
              <w:rPr>
                <w:rFonts w:hint="cs"/>
                <w:szCs w:val="22"/>
                <w:rtl/>
              </w:rPr>
              <w:t>58.0</w:t>
            </w:r>
          </w:p>
        </w:tc>
        <w:tc>
          <w:tcPr>
            <w:tcW w:w="957" w:type="dxa"/>
            <w:tcBorders>
              <w:bottom w:val="nil"/>
            </w:tcBorders>
          </w:tcPr>
          <w:p w:rsidR="00443EC1" w:rsidRDefault="00443EC1">
            <w:pPr>
              <w:spacing w:before="0" w:after="0" w:line="320" w:lineRule="exact"/>
              <w:jc w:val="center"/>
              <w:rPr>
                <w:rFonts w:hint="cs"/>
                <w:szCs w:val="22"/>
              </w:rPr>
            </w:pPr>
            <w:r>
              <w:rPr>
                <w:rFonts w:hint="cs"/>
                <w:szCs w:val="22"/>
                <w:rtl/>
              </w:rPr>
              <w:t>71.1</w:t>
            </w:r>
          </w:p>
        </w:tc>
      </w:tr>
      <w:tr w:rsidR="00443EC1" w:rsidTr="00443EC1">
        <w:tblPrEx>
          <w:tblCellMar>
            <w:top w:w="0" w:type="dxa"/>
            <w:bottom w:w="0" w:type="dxa"/>
          </w:tblCellMar>
        </w:tblPrEx>
        <w:trPr>
          <w:jc w:val="center"/>
        </w:trPr>
        <w:tc>
          <w:tcPr>
            <w:tcW w:w="957" w:type="dxa"/>
            <w:tcBorders>
              <w:top w:val="nil"/>
              <w:bottom w:val="nil"/>
            </w:tcBorders>
          </w:tcPr>
          <w:p w:rsidR="00443EC1" w:rsidRDefault="00443EC1">
            <w:pPr>
              <w:spacing w:before="0" w:after="0" w:line="320" w:lineRule="exact"/>
              <w:jc w:val="both"/>
              <w:rPr>
                <w:rFonts w:hint="cs"/>
                <w:szCs w:val="22"/>
              </w:rPr>
            </w:pPr>
            <w:r>
              <w:rPr>
                <w:rFonts w:hint="cs"/>
                <w:szCs w:val="22"/>
                <w:rtl/>
              </w:rPr>
              <w:t>1992</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32.5</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46.7</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57.4</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13.9</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18.4</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20.7</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36.8</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53.2</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65.6</w:t>
            </w:r>
          </w:p>
        </w:tc>
      </w:tr>
      <w:tr w:rsidR="00443EC1" w:rsidTr="00443EC1">
        <w:tblPrEx>
          <w:tblCellMar>
            <w:top w:w="0" w:type="dxa"/>
            <w:bottom w:w="0" w:type="dxa"/>
          </w:tblCellMar>
        </w:tblPrEx>
        <w:trPr>
          <w:jc w:val="center"/>
        </w:trPr>
        <w:tc>
          <w:tcPr>
            <w:tcW w:w="957" w:type="dxa"/>
            <w:tcBorders>
              <w:top w:val="nil"/>
              <w:bottom w:val="nil"/>
            </w:tcBorders>
          </w:tcPr>
          <w:p w:rsidR="00443EC1" w:rsidRDefault="00443EC1">
            <w:pPr>
              <w:spacing w:before="0" w:after="0" w:line="320" w:lineRule="exact"/>
              <w:jc w:val="both"/>
              <w:rPr>
                <w:rFonts w:hint="cs"/>
                <w:szCs w:val="22"/>
              </w:rPr>
            </w:pPr>
            <w:r>
              <w:rPr>
                <w:rFonts w:hint="cs"/>
                <w:szCs w:val="22"/>
                <w:rtl/>
              </w:rPr>
              <w:t>1993</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31.2</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43.6</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53.1</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12.9</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15.9</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18.3</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35.4</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50.0</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61.1</w:t>
            </w:r>
          </w:p>
        </w:tc>
      </w:tr>
      <w:tr w:rsidR="00443EC1" w:rsidTr="00443EC1">
        <w:tblPrEx>
          <w:tblCellMar>
            <w:top w:w="0" w:type="dxa"/>
            <w:bottom w:w="0" w:type="dxa"/>
          </w:tblCellMar>
        </w:tblPrEx>
        <w:trPr>
          <w:jc w:val="center"/>
        </w:trPr>
        <w:tc>
          <w:tcPr>
            <w:tcW w:w="957" w:type="dxa"/>
            <w:tcBorders>
              <w:top w:val="nil"/>
              <w:bottom w:val="nil"/>
            </w:tcBorders>
          </w:tcPr>
          <w:p w:rsidR="00443EC1" w:rsidRDefault="00443EC1">
            <w:pPr>
              <w:spacing w:before="0" w:after="0" w:line="320" w:lineRule="exact"/>
              <w:jc w:val="both"/>
              <w:rPr>
                <w:rFonts w:hint="cs"/>
                <w:szCs w:val="22"/>
              </w:rPr>
            </w:pPr>
            <w:r>
              <w:rPr>
                <w:rFonts w:hint="cs"/>
                <w:szCs w:val="22"/>
                <w:rtl/>
              </w:rPr>
              <w:t>1994</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28.5</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39.9</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49.6</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12.2</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15.5</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18.0</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32.3</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45.6</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56.9</w:t>
            </w:r>
          </w:p>
        </w:tc>
      </w:tr>
      <w:tr w:rsidR="00443EC1" w:rsidTr="00443EC1">
        <w:tblPrEx>
          <w:tblCellMar>
            <w:top w:w="0" w:type="dxa"/>
            <w:bottom w:w="0" w:type="dxa"/>
          </w:tblCellMar>
        </w:tblPrEx>
        <w:trPr>
          <w:jc w:val="center"/>
        </w:trPr>
        <w:tc>
          <w:tcPr>
            <w:tcW w:w="957" w:type="dxa"/>
            <w:tcBorders>
              <w:top w:val="nil"/>
              <w:bottom w:val="nil"/>
            </w:tcBorders>
          </w:tcPr>
          <w:p w:rsidR="00443EC1" w:rsidRDefault="00443EC1">
            <w:pPr>
              <w:spacing w:before="0" w:after="0" w:line="320" w:lineRule="exact"/>
              <w:jc w:val="both"/>
              <w:rPr>
                <w:rFonts w:hint="cs"/>
                <w:szCs w:val="22"/>
              </w:rPr>
            </w:pPr>
            <w:r>
              <w:rPr>
                <w:rFonts w:hint="cs"/>
                <w:szCs w:val="22"/>
                <w:rtl/>
              </w:rPr>
              <w:t>1995</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27.3</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36.4</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44.5</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10.6</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14.2</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16.4</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31.1</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41.6</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51.1</w:t>
            </w:r>
          </w:p>
        </w:tc>
      </w:tr>
      <w:tr w:rsidR="00443EC1" w:rsidTr="00443EC1">
        <w:tblPrEx>
          <w:tblCellMar>
            <w:top w:w="0" w:type="dxa"/>
            <w:bottom w:w="0" w:type="dxa"/>
          </w:tblCellMar>
        </w:tblPrEx>
        <w:trPr>
          <w:jc w:val="center"/>
        </w:trPr>
        <w:tc>
          <w:tcPr>
            <w:tcW w:w="957" w:type="dxa"/>
            <w:tcBorders>
              <w:top w:val="nil"/>
              <w:bottom w:val="nil"/>
            </w:tcBorders>
          </w:tcPr>
          <w:p w:rsidR="00443EC1" w:rsidRDefault="00443EC1">
            <w:pPr>
              <w:spacing w:before="0" w:after="0" w:line="320" w:lineRule="exact"/>
              <w:jc w:val="both"/>
              <w:rPr>
                <w:rFonts w:hint="cs"/>
                <w:szCs w:val="22"/>
              </w:rPr>
            </w:pPr>
            <w:r>
              <w:rPr>
                <w:rFonts w:hint="cs"/>
                <w:szCs w:val="22"/>
                <w:rtl/>
              </w:rPr>
              <w:t>1997</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33.1</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42.3</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13.1</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15.5</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37.7</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48.5</w:t>
            </w:r>
          </w:p>
        </w:tc>
      </w:tr>
      <w:tr w:rsidR="00443EC1" w:rsidTr="00443EC1">
        <w:tblPrEx>
          <w:tblCellMar>
            <w:top w:w="0" w:type="dxa"/>
            <w:bottom w:w="0" w:type="dxa"/>
          </w:tblCellMar>
        </w:tblPrEx>
        <w:trPr>
          <w:jc w:val="center"/>
        </w:trPr>
        <w:tc>
          <w:tcPr>
            <w:tcW w:w="957" w:type="dxa"/>
            <w:tcBorders>
              <w:top w:val="nil"/>
              <w:bottom w:val="nil"/>
            </w:tcBorders>
          </w:tcPr>
          <w:p w:rsidR="00443EC1" w:rsidRDefault="00443EC1">
            <w:pPr>
              <w:spacing w:before="0" w:after="0" w:line="320" w:lineRule="exact"/>
              <w:jc w:val="both"/>
              <w:rPr>
                <w:rFonts w:hint="cs"/>
                <w:szCs w:val="22"/>
              </w:rPr>
            </w:pPr>
            <w:r>
              <w:rPr>
                <w:rFonts w:hint="cs"/>
                <w:szCs w:val="22"/>
                <w:rtl/>
              </w:rPr>
              <w:t>1998</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22.3</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33.2</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42.0</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10.0</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13.5</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16.2</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25.1</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37.7</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47.9</w:t>
            </w:r>
          </w:p>
        </w:tc>
      </w:tr>
      <w:tr w:rsidR="00443EC1" w:rsidTr="00443EC1">
        <w:tblPrEx>
          <w:tblCellMar>
            <w:top w:w="0" w:type="dxa"/>
            <w:bottom w:w="0" w:type="dxa"/>
          </w:tblCellMar>
        </w:tblPrEx>
        <w:trPr>
          <w:jc w:val="center"/>
        </w:trPr>
        <w:tc>
          <w:tcPr>
            <w:tcW w:w="957" w:type="dxa"/>
            <w:tcBorders>
              <w:top w:val="nil"/>
              <w:bottom w:val="nil"/>
            </w:tcBorders>
          </w:tcPr>
          <w:p w:rsidR="00443EC1" w:rsidRDefault="00443EC1">
            <w:pPr>
              <w:spacing w:before="0" w:after="0" w:line="320" w:lineRule="exact"/>
              <w:jc w:val="both"/>
              <w:rPr>
                <w:rFonts w:hint="cs"/>
                <w:szCs w:val="22"/>
              </w:rPr>
            </w:pPr>
            <w:r>
              <w:rPr>
                <w:rFonts w:hint="cs"/>
                <w:szCs w:val="22"/>
                <w:rtl/>
              </w:rPr>
              <w:t>1999</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22.2</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33.3</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41.4</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9.5</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11.9</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14.3</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25.1</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38.2</w:t>
            </w:r>
          </w:p>
        </w:tc>
        <w:tc>
          <w:tcPr>
            <w:tcW w:w="957" w:type="dxa"/>
            <w:tcBorders>
              <w:top w:val="nil"/>
              <w:bottom w:val="nil"/>
            </w:tcBorders>
          </w:tcPr>
          <w:p w:rsidR="00443EC1" w:rsidRDefault="00443EC1">
            <w:pPr>
              <w:spacing w:before="0" w:after="0" w:line="320" w:lineRule="exact"/>
              <w:jc w:val="center"/>
              <w:rPr>
                <w:rFonts w:hint="cs"/>
                <w:szCs w:val="22"/>
              </w:rPr>
            </w:pPr>
            <w:r>
              <w:rPr>
                <w:rFonts w:hint="cs"/>
                <w:szCs w:val="22"/>
                <w:rtl/>
              </w:rPr>
              <w:t>47.7</w:t>
            </w:r>
          </w:p>
        </w:tc>
      </w:tr>
      <w:tr w:rsidR="00443EC1" w:rsidTr="00443EC1">
        <w:tblPrEx>
          <w:tblCellMar>
            <w:top w:w="0" w:type="dxa"/>
            <w:bottom w:w="0" w:type="dxa"/>
          </w:tblCellMar>
        </w:tblPrEx>
        <w:trPr>
          <w:jc w:val="center"/>
        </w:trPr>
        <w:tc>
          <w:tcPr>
            <w:tcW w:w="957" w:type="dxa"/>
            <w:tcBorders>
              <w:top w:val="nil"/>
            </w:tcBorders>
          </w:tcPr>
          <w:p w:rsidR="00443EC1" w:rsidRDefault="00443EC1">
            <w:pPr>
              <w:spacing w:before="0" w:after="0" w:line="320" w:lineRule="exact"/>
              <w:jc w:val="both"/>
              <w:rPr>
                <w:rFonts w:hint="cs"/>
                <w:szCs w:val="22"/>
                <w:rtl/>
              </w:rPr>
            </w:pPr>
            <w:r>
              <w:rPr>
                <w:rFonts w:hint="cs"/>
                <w:szCs w:val="22"/>
                <w:rtl/>
              </w:rPr>
              <w:t>2000</w:t>
            </w:r>
          </w:p>
        </w:tc>
        <w:tc>
          <w:tcPr>
            <w:tcW w:w="957" w:type="dxa"/>
            <w:tcBorders>
              <w:top w:val="nil"/>
            </w:tcBorders>
          </w:tcPr>
          <w:p w:rsidR="00443EC1" w:rsidRDefault="00443EC1">
            <w:pPr>
              <w:spacing w:before="0" w:after="0" w:line="320" w:lineRule="exact"/>
              <w:jc w:val="center"/>
              <w:rPr>
                <w:rFonts w:hint="cs"/>
                <w:szCs w:val="22"/>
              </w:rPr>
            </w:pPr>
            <w:r>
              <w:rPr>
                <w:rFonts w:hint="cs"/>
                <w:szCs w:val="22"/>
                <w:rtl/>
              </w:rPr>
              <w:t>22.8</w:t>
            </w:r>
          </w:p>
        </w:tc>
        <w:tc>
          <w:tcPr>
            <w:tcW w:w="957" w:type="dxa"/>
            <w:tcBorders>
              <w:top w:val="nil"/>
            </w:tcBorders>
          </w:tcPr>
          <w:p w:rsidR="00443EC1" w:rsidRDefault="00443EC1">
            <w:pPr>
              <w:spacing w:before="0" w:after="0" w:line="320" w:lineRule="exact"/>
              <w:jc w:val="center"/>
              <w:rPr>
                <w:rFonts w:hint="cs"/>
                <w:szCs w:val="22"/>
              </w:rPr>
            </w:pPr>
            <w:r>
              <w:rPr>
                <w:rFonts w:hint="cs"/>
                <w:szCs w:val="22"/>
                <w:rtl/>
              </w:rPr>
              <w:t>32.2</w:t>
            </w:r>
          </w:p>
        </w:tc>
        <w:tc>
          <w:tcPr>
            <w:tcW w:w="957" w:type="dxa"/>
            <w:tcBorders>
              <w:top w:val="nil"/>
            </w:tcBorders>
          </w:tcPr>
          <w:p w:rsidR="00443EC1" w:rsidRDefault="00443EC1">
            <w:pPr>
              <w:spacing w:before="0" w:after="0" w:line="320" w:lineRule="exact"/>
              <w:jc w:val="center"/>
              <w:rPr>
                <w:rFonts w:hint="cs"/>
                <w:szCs w:val="22"/>
              </w:rPr>
            </w:pPr>
            <w:r>
              <w:rPr>
                <w:rFonts w:hint="cs"/>
                <w:szCs w:val="22"/>
                <w:rtl/>
              </w:rPr>
              <w:t>39.7</w:t>
            </w:r>
          </w:p>
        </w:tc>
        <w:tc>
          <w:tcPr>
            <w:tcW w:w="957" w:type="dxa"/>
            <w:tcBorders>
              <w:top w:val="nil"/>
            </w:tcBorders>
          </w:tcPr>
          <w:p w:rsidR="00443EC1" w:rsidRDefault="00443EC1">
            <w:pPr>
              <w:spacing w:before="0" w:after="0" w:line="320" w:lineRule="exact"/>
              <w:jc w:val="center"/>
              <w:rPr>
                <w:rFonts w:hint="cs"/>
                <w:szCs w:val="22"/>
              </w:rPr>
            </w:pPr>
            <w:r>
              <w:rPr>
                <w:rFonts w:hint="cs"/>
                <w:szCs w:val="22"/>
                <w:rtl/>
              </w:rPr>
              <w:t>9.5</w:t>
            </w:r>
          </w:p>
        </w:tc>
        <w:tc>
          <w:tcPr>
            <w:tcW w:w="957" w:type="dxa"/>
            <w:tcBorders>
              <w:top w:val="nil"/>
            </w:tcBorders>
          </w:tcPr>
          <w:p w:rsidR="00443EC1" w:rsidRDefault="00443EC1">
            <w:pPr>
              <w:spacing w:before="0" w:after="0" w:line="320" w:lineRule="exact"/>
              <w:jc w:val="center"/>
              <w:rPr>
                <w:rFonts w:hint="cs"/>
                <w:szCs w:val="22"/>
              </w:rPr>
            </w:pPr>
            <w:r>
              <w:rPr>
                <w:rFonts w:hint="cs"/>
                <w:szCs w:val="22"/>
                <w:rtl/>
              </w:rPr>
              <w:t>11.8</w:t>
            </w:r>
          </w:p>
        </w:tc>
        <w:tc>
          <w:tcPr>
            <w:tcW w:w="957" w:type="dxa"/>
            <w:tcBorders>
              <w:top w:val="nil"/>
            </w:tcBorders>
          </w:tcPr>
          <w:p w:rsidR="00443EC1" w:rsidRDefault="00443EC1">
            <w:pPr>
              <w:spacing w:before="0" w:after="0" w:line="320" w:lineRule="exact"/>
              <w:jc w:val="center"/>
              <w:rPr>
                <w:rFonts w:hint="cs"/>
                <w:szCs w:val="22"/>
              </w:rPr>
            </w:pPr>
            <w:r>
              <w:rPr>
                <w:rFonts w:hint="cs"/>
                <w:szCs w:val="22"/>
                <w:rtl/>
              </w:rPr>
              <w:t>13.8</w:t>
            </w:r>
          </w:p>
        </w:tc>
        <w:tc>
          <w:tcPr>
            <w:tcW w:w="957" w:type="dxa"/>
            <w:tcBorders>
              <w:top w:val="nil"/>
            </w:tcBorders>
          </w:tcPr>
          <w:p w:rsidR="00443EC1" w:rsidRDefault="00443EC1">
            <w:pPr>
              <w:spacing w:before="0" w:after="0" w:line="320" w:lineRule="exact"/>
              <w:jc w:val="center"/>
              <w:rPr>
                <w:rFonts w:hint="cs"/>
                <w:szCs w:val="22"/>
              </w:rPr>
            </w:pPr>
            <w:r>
              <w:rPr>
                <w:rFonts w:hint="cs"/>
                <w:szCs w:val="22"/>
                <w:rtl/>
              </w:rPr>
              <w:t>25.8</w:t>
            </w:r>
          </w:p>
        </w:tc>
        <w:tc>
          <w:tcPr>
            <w:tcW w:w="957" w:type="dxa"/>
            <w:tcBorders>
              <w:top w:val="nil"/>
            </w:tcBorders>
          </w:tcPr>
          <w:p w:rsidR="00443EC1" w:rsidRDefault="00443EC1">
            <w:pPr>
              <w:spacing w:before="0" w:after="0" w:line="320" w:lineRule="exact"/>
              <w:jc w:val="center"/>
              <w:rPr>
                <w:rFonts w:hint="cs"/>
                <w:szCs w:val="22"/>
              </w:rPr>
            </w:pPr>
            <w:r>
              <w:rPr>
                <w:rFonts w:hint="cs"/>
                <w:szCs w:val="22"/>
                <w:rtl/>
              </w:rPr>
              <w:t>37.0</w:t>
            </w:r>
          </w:p>
        </w:tc>
        <w:tc>
          <w:tcPr>
            <w:tcW w:w="957" w:type="dxa"/>
            <w:tcBorders>
              <w:top w:val="nil"/>
            </w:tcBorders>
          </w:tcPr>
          <w:p w:rsidR="00443EC1" w:rsidRDefault="00443EC1">
            <w:pPr>
              <w:spacing w:before="0" w:after="0" w:line="320" w:lineRule="exact"/>
              <w:jc w:val="center"/>
              <w:rPr>
                <w:rFonts w:hint="cs"/>
                <w:szCs w:val="22"/>
              </w:rPr>
            </w:pPr>
            <w:r>
              <w:rPr>
                <w:rFonts w:hint="cs"/>
                <w:szCs w:val="22"/>
                <w:rtl/>
              </w:rPr>
              <w:t>45.7</w:t>
            </w:r>
          </w:p>
        </w:tc>
      </w:tr>
    </w:tbl>
    <w:p w:rsidR="00000000" w:rsidRDefault="00443EC1">
      <w:pPr>
        <w:spacing w:before="120"/>
        <w:jc w:val="both"/>
        <w:rPr>
          <w:sz w:val="26"/>
          <w:szCs w:val="28"/>
          <w:rtl/>
        </w:rPr>
      </w:pPr>
      <w:r>
        <w:rPr>
          <w:rFonts w:hint="cs"/>
          <w:sz w:val="26"/>
          <w:szCs w:val="28"/>
          <w:rtl/>
        </w:rPr>
        <w:tab/>
      </w:r>
      <w:r>
        <w:rPr>
          <w:rFonts w:hint="cs"/>
          <w:i/>
          <w:iCs/>
          <w:sz w:val="26"/>
          <w:szCs w:val="28"/>
          <w:rtl/>
        </w:rPr>
        <w:t>المصدر</w:t>
      </w:r>
      <w:r>
        <w:rPr>
          <w:rFonts w:hint="cs"/>
          <w:sz w:val="26"/>
          <w:szCs w:val="28"/>
          <w:rtl/>
        </w:rPr>
        <w:t>: وزارة الصح</w:t>
      </w:r>
      <w:r>
        <w:rPr>
          <w:rFonts w:hint="cs"/>
          <w:sz w:val="26"/>
          <w:szCs w:val="28"/>
          <w:rtl/>
        </w:rPr>
        <w:t>ة.</w:t>
      </w:r>
    </w:p>
    <w:p w:rsidR="00000000" w:rsidRDefault="00443EC1">
      <w:pPr>
        <w:spacing w:before="120" w:line="380" w:lineRule="exact"/>
        <w:jc w:val="center"/>
        <w:rPr>
          <w:rFonts w:hint="cs"/>
          <w:b/>
          <w:bCs/>
          <w:rtl/>
        </w:rPr>
      </w:pPr>
      <w:r>
        <w:rPr>
          <w:sz w:val="26"/>
          <w:szCs w:val="28"/>
          <w:rtl/>
        </w:rPr>
        <w:br w:type="page"/>
      </w:r>
      <w:r>
        <w:rPr>
          <w:rFonts w:hint="cs"/>
          <w:b/>
          <w:bCs/>
          <w:rtl/>
        </w:rPr>
        <w:t>الجدول 17</w:t>
      </w:r>
    </w:p>
    <w:p w:rsidR="00000000" w:rsidRDefault="00443EC1">
      <w:pPr>
        <w:spacing w:line="380" w:lineRule="exact"/>
        <w:jc w:val="center"/>
        <w:rPr>
          <w:rFonts w:hint="cs"/>
          <w:b/>
          <w:bCs/>
          <w:rtl/>
        </w:rPr>
      </w:pPr>
      <w:r>
        <w:rPr>
          <w:rFonts w:hint="cs"/>
          <w:b/>
          <w:bCs/>
          <w:rtl/>
        </w:rPr>
        <w:t>التحسينات المُدخلة على شبكات توزيع المياه في جميع أرجاء البلد</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22"/>
        <w:gridCol w:w="1050"/>
        <w:gridCol w:w="957"/>
        <w:gridCol w:w="970"/>
        <w:gridCol w:w="888"/>
        <w:gridCol w:w="875"/>
        <w:gridCol w:w="909"/>
      </w:tblGrid>
      <w:tr w:rsidR="00443EC1" w:rsidTr="00443EC1">
        <w:tblPrEx>
          <w:tblCellMar>
            <w:top w:w="0" w:type="dxa"/>
            <w:bottom w:w="0" w:type="dxa"/>
          </w:tblCellMar>
        </w:tblPrEx>
        <w:trPr>
          <w:jc w:val="center"/>
        </w:trPr>
        <w:tc>
          <w:tcPr>
            <w:tcW w:w="4120" w:type="dxa"/>
            <w:tcBorders>
              <w:bottom w:val="single" w:sz="4" w:space="0" w:color="auto"/>
            </w:tcBorders>
          </w:tcPr>
          <w:p w:rsidR="00443EC1" w:rsidRDefault="00443EC1">
            <w:pPr>
              <w:spacing w:before="0" w:after="0" w:line="300" w:lineRule="exact"/>
              <w:jc w:val="both"/>
              <w:rPr>
                <w:rStyle w:val="FootnoteReference"/>
                <w:rFonts w:hint="cs"/>
                <w:bCs w:val="0"/>
                <w:sz w:val="20"/>
                <w:szCs w:val="20"/>
                <w:vertAlign w:val="baseline"/>
                <w:rtl/>
              </w:rPr>
            </w:pPr>
          </w:p>
        </w:tc>
        <w:tc>
          <w:tcPr>
            <w:tcW w:w="1064" w:type="dxa"/>
            <w:tcBorders>
              <w:bottom w:val="single" w:sz="4" w:space="0" w:color="auto"/>
            </w:tcBorders>
            <w:vAlign w:val="bottom"/>
          </w:tcPr>
          <w:p w:rsidR="00443EC1" w:rsidRDefault="00443EC1">
            <w:pPr>
              <w:spacing w:before="0" w:after="0" w:line="300" w:lineRule="exact"/>
              <w:jc w:val="center"/>
              <w:rPr>
                <w:rStyle w:val="FootnoteReference"/>
                <w:rFonts w:hint="cs"/>
                <w:bCs w:val="0"/>
                <w:szCs w:val="22"/>
                <w:vertAlign w:val="baseline"/>
              </w:rPr>
            </w:pPr>
            <w:r>
              <w:rPr>
                <w:rFonts w:hint="cs"/>
                <w:szCs w:val="22"/>
                <w:rtl/>
              </w:rPr>
              <w:t>الوحدة</w:t>
            </w:r>
          </w:p>
        </w:tc>
        <w:tc>
          <w:tcPr>
            <w:tcW w:w="966" w:type="dxa"/>
            <w:tcBorders>
              <w:bottom w:val="single" w:sz="4" w:space="0" w:color="auto"/>
            </w:tcBorders>
            <w:vAlign w:val="bottom"/>
          </w:tcPr>
          <w:p w:rsidR="00443EC1" w:rsidRDefault="00443EC1">
            <w:pPr>
              <w:spacing w:before="0" w:after="0" w:line="300" w:lineRule="exact"/>
              <w:jc w:val="center"/>
              <w:rPr>
                <w:rStyle w:val="FootnoteReference"/>
                <w:rFonts w:hint="cs"/>
                <w:bCs w:val="0"/>
                <w:szCs w:val="22"/>
                <w:vertAlign w:val="baseline"/>
              </w:rPr>
            </w:pPr>
            <w:r>
              <w:rPr>
                <w:rFonts w:hint="cs"/>
                <w:szCs w:val="22"/>
                <w:rtl/>
              </w:rPr>
              <w:t>نهاية عام 1987</w:t>
            </w:r>
          </w:p>
        </w:tc>
        <w:tc>
          <w:tcPr>
            <w:tcW w:w="980" w:type="dxa"/>
            <w:tcBorders>
              <w:bottom w:val="single" w:sz="4" w:space="0" w:color="auto"/>
            </w:tcBorders>
            <w:vAlign w:val="bottom"/>
          </w:tcPr>
          <w:p w:rsidR="00443EC1" w:rsidRDefault="00443EC1">
            <w:pPr>
              <w:spacing w:before="0" w:after="0" w:line="300" w:lineRule="exact"/>
              <w:jc w:val="center"/>
              <w:rPr>
                <w:rStyle w:val="FootnoteReference"/>
                <w:rFonts w:hint="cs"/>
                <w:bCs w:val="0"/>
                <w:szCs w:val="22"/>
                <w:vertAlign w:val="baseline"/>
              </w:rPr>
            </w:pPr>
            <w:r>
              <w:rPr>
                <w:rFonts w:hint="cs"/>
                <w:szCs w:val="22"/>
                <w:rtl/>
              </w:rPr>
              <w:t>نهاية عام 1989</w:t>
            </w:r>
          </w:p>
        </w:tc>
        <w:tc>
          <w:tcPr>
            <w:tcW w:w="896" w:type="dxa"/>
            <w:tcBorders>
              <w:bottom w:val="single" w:sz="4" w:space="0" w:color="auto"/>
            </w:tcBorders>
            <w:vAlign w:val="bottom"/>
          </w:tcPr>
          <w:p w:rsidR="00443EC1" w:rsidRDefault="00443EC1">
            <w:pPr>
              <w:spacing w:before="0" w:after="0" w:line="300" w:lineRule="exact"/>
              <w:jc w:val="center"/>
              <w:rPr>
                <w:rStyle w:val="FootnoteReference"/>
                <w:rFonts w:hint="cs"/>
                <w:bCs w:val="0"/>
                <w:szCs w:val="22"/>
                <w:vertAlign w:val="baseline"/>
              </w:rPr>
            </w:pPr>
            <w:r>
              <w:rPr>
                <w:rFonts w:hint="cs"/>
                <w:szCs w:val="22"/>
                <w:rtl/>
              </w:rPr>
              <w:t>نهاية عام 1991</w:t>
            </w:r>
          </w:p>
        </w:tc>
        <w:tc>
          <w:tcPr>
            <w:tcW w:w="882" w:type="dxa"/>
            <w:tcBorders>
              <w:bottom w:val="single" w:sz="4" w:space="0" w:color="auto"/>
            </w:tcBorders>
            <w:vAlign w:val="bottom"/>
          </w:tcPr>
          <w:p w:rsidR="00443EC1" w:rsidRDefault="00443EC1">
            <w:pPr>
              <w:spacing w:before="0" w:after="0" w:line="300" w:lineRule="exact"/>
              <w:jc w:val="center"/>
              <w:rPr>
                <w:rStyle w:val="FootnoteReference"/>
                <w:rFonts w:hint="cs"/>
                <w:bCs w:val="0"/>
                <w:szCs w:val="22"/>
                <w:vertAlign w:val="baseline"/>
              </w:rPr>
            </w:pPr>
            <w:r>
              <w:rPr>
                <w:rFonts w:hint="cs"/>
                <w:szCs w:val="22"/>
                <w:rtl/>
              </w:rPr>
              <w:t>نهاية عام 1993</w:t>
            </w:r>
          </w:p>
        </w:tc>
        <w:tc>
          <w:tcPr>
            <w:tcW w:w="920" w:type="dxa"/>
            <w:tcBorders>
              <w:bottom w:val="single" w:sz="4" w:space="0" w:color="auto"/>
            </w:tcBorders>
            <w:vAlign w:val="bottom"/>
          </w:tcPr>
          <w:p w:rsidR="00443EC1" w:rsidRDefault="00443EC1">
            <w:pPr>
              <w:spacing w:before="0" w:after="0" w:line="300" w:lineRule="exact"/>
              <w:jc w:val="center"/>
              <w:rPr>
                <w:rStyle w:val="FootnoteReference"/>
                <w:rFonts w:hint="cs"/>
                <w:bCs w:val="0"/>
                <w:szCs w:val="22"/>
                <w:vertAlign w:val="baseline"/>
              </w:rPr>
            </w:pPr>
            <w:r>
              <w:rPr>
                <w:rFonts w:hint="cs"/>
                <w:szCs w:val="22"/>
                <w:rtl/>
              </w:rPr>
              <w:t>نهاية عام 2001</w:t>
            </w:r>
          </w:p>
        </w:tc>
      </w:tr>
      <w:tr w:rsidR="00443EC1" w:rsidTr="00443EC1">
        <w:tblPrEx>
          <w:tblCellMar>
            <w:top w:w="0" w:type="dxa"/>
            <w:bottom w:w="0" w:type="dxa"/>
          </w:tblCellMar>
        </w:tblPrEx>
        <w:trPr>
          <w:jc w:val="center"/>
        </w:trPr>
        <w:tc>
          <w:tcPr>
            <w:tcW w:w="4120" w:type="dxa"/>
            <w:tcBorders>
              <w:bottom w:val="nil"/>
            </w:tcBorders>
          </w:tcPr>
          <w:p w:rsidR="00443EC1" w:rsidRDefault="00443EC1">
            <w:pPr>
              <w:spacing w:before="0" w:after="0" w:line="300" w:lineRule="exact"/>
              <w:jc w:val="both"/>
              <w:rPr>
                <w:rStyle w:val="FootnoteReference"/>
                <w:rFonts w:hint="cs"/>
                <w:bCs w:val="0"/>
                <w:szCs w:val="22"/>
                <w:vertAlign w:val="baseline"/>
              </w:rPr>
            </w:pPr>
            <w:r>
              <w:rPr>
                <w:rFonts w:hint="cs"/>
                <w:szCs w:val="22"/>
                <w:rtl/>
              </w:rPr>
              <w:t>عدد السكان المنتفعين من التحسينات المدخلة على شبكات توزيع المياه</w:t>
            </w:r>
          </w:p>
        </w:tc>
        <w:tc>
          <w:tcPr>
            <w:tcW w:w="1064" w:type="dxa"/>
            <w:tcBorders>
              <w:bottom w:val="nil"/>
            </w:tcBorders>
          </w:tcPr>
          <w:p w:rsidR="00443EC1" w:rsidRDefault="00443EC1">
            <w:pPr>
              <w:spacing w:before="0" w:after="0" w:line="300" w:lineRule="exact"/>
              <w:jc w:val="both"/>
              <w:rPr>
                <w:rStyle w:val="FootnoteReference"/>
                <w:rFonts w:hint="cs"/>
                <w:bCs w:val="0"/>
                <w:szCs w:val="22"/>
                <w:vertAlign w:val="baseline"/>
              </w:rPr>
            </w:pPr>
            <w:r>
              <w:rPr>
                <w:rFonts w:hint="cs"/>
                <w:szCs w:val="22"/>
                <w:rtl/>
              </w:rPr>
              <w:t>بالملايين</w:t>
            </w:r>
          </w:p>
        </w:tc>
        <w:tc>
          <w:tcPr>
            <w:tcW w:w="966" w:type="dxa"/>
            <w:tcBorders>
              <w:bottom w:val="nil"/>
            </w:tcBorders>
          </w:tcPr>
          <w:p w:rsidR="00443EC1" w:rsidRDefault="00443EC1">
            <w:pPr>
              <w:spacing w:before="0" w:after="0" w:line="300" w:lineRule="exact"/>
              <w:jc w:val="both"/>
              <w:rPr>
                <w:rStyle w:val="FootnoteReference"/>
                <w:rFonts w:hint="cs"/>
                <w:bCs w:val="0"/>
                <w:szCs w:val="22"/>
                <w:vertAlign w:val="baseline"/>
              </w:rPr>
            </w:pPr>
            <w:r>
              <w:rPr>
                <w:rFonts w:hint="cs"/>
                <w:szCs w:val="22"/>
                <w:rtl/>
              </w:rPr>
              <w:t>509.94</w:t>
            </w:r>
          </w:p>
        </w:tc>
        <w:tc>
          <w:tcPr>
            <w:tcW w:w="980" w:type="dxa"/>
            <w:tcBorders>
              <w:bottom w:val="nil"/>
            </w:tcBorders>
          </w:tcPr>
          <w:p w:rsidR="00443EC1" w:rsidRDefault="00443EC1">
            <w:pPr>
              <w:spacing w:before="0" w:after="0" w:line="300" w:lineRule="exact"/>
              <w:jc w:val="both"/>
              <w:rPr>
                <w:rStyle w:val="FootnoteReference"/>
                <w:rFonts w:hint="cs"/>
                <w:bCs w:val="0"/>
                <w:szCs w:val="22"/>
                <w:vertAlign w:val="baseline"/>
              </w:rPr>
            </w:pPr>
            <w:r>
              <w:rPr>
                <w:rFonts w:hint="cs"/>
                <w:szCs w:val="22"/>
                <w:rtl/>
              </w:rPr>
              <w:t>615.43</w:t>
            </w:r>
          </w:p>
        </w:tc>
        <w:tc>
          <w:tcPr>
            <w:tcW w:w="896" w:type="dxa"/>
            <w:tcBorders>
              <w:bottom w:val="nil"/>
            </w:tcBorders>
          </w:tcPr>
          <w:p w:rsidR="00443EC1" w:rsidRDefault="00443EC1">
            <w:pPr>
              <w:spacing w:before="0" w:after="0" w:line="300" w:lineRule="exact"/>
              <w:jc w:val="both"/>
              <w:rPr>
                <w:rStyle w:val="FootnoteReference"/>
                <w:rFonts w:hint="cs"/>
                <w:bCs w:val="0"/>
                <w:sz w:val="20"/>
                <w:szCs w:val="20"/>
                <w:vertAlign w:val="baseline"/>
              </w:rPr>
            </w:pPr>
            <w:r>
              <w:rPr>
                <w:rFonts w:hint="cs"/>
                <w:sz w:val="20"/>
                <w:szCs w:val="20"/>
                <w:rtl/>
              </w:rPr>
              <w:t>705.55</w:t>
            </w:r>
          </w:p>
        </w:tc>
        <w:tc>
          <w:tcPr>
            <w:tcW w:w="882" w:type="dxa"/>
            <w:tcBorders>
              <w:bottom w:val="nil"/>
            </w:tcBorders>
          </w:tcPr>
          <w:p w:rsidR="00443EC1" w:rsidRDefault="00443EC1">
            <w:pPr>
              <w:spacing w:before="0" w:after="0" w:line="300" w:lineRule="exact"/>
              <w:jc w:val="both"/>
              <w:rPr>
                <w:rStyle w:val="FootnoteReference"/>
                <w:rFonts w:hint="cs"/>
                <w:bCs w:val="0"/>
                <w:sz w:val="20"/>
                <w:szCs w:val="20"/>
                <w:vertAlign w:val="baseline"/>
              </w:rPr>
            </w:pPr>
            <w:r>
              <w:rPr>
                <w:rFonts w:hint="cs"/>
                <w:sz w:val="20"/>
                <w:szCs w:val="20"/>
                <w:rtl/>
              </w:rPr>
              <w:t>762.11</w:t>
            </w:r>
          </w:p>
        </w:tc>
        <w:tc>
          <w:tcPr>
            <w:tcW w:w="920" w:type="dxa"/>
            <w:tcBorders>
              <w:bottom w:val="nil"/>
            </w:tcBorders>
          </w:tcPr>
          <w:p w:rsidR="00443EC1" w:rsidRDefault="00443EC1">
            <w:pPr>
              <w:spacing w:before="0" w:after="0" w:line="300" w:lineRule="exact"/>
              <w:jc w:val="both"/>
              <w:rPr>
                <w:rStyle w:val="FootnoteReference"/>
                <w:rFonts w:hint="cs"/>
                <w:bCs w:val="0"/>
                <w:sz w:val="20"/>
                <w:szCs w:val="20"/>
                <w:vertAlign w:val="baseline"/>
              </w:rPr>
            </w:pPr>
            <w:r>
              <w:rPr>
                <w:rFonts w:hint="cs"/>
                <w:sz w:val="20"/>
                <w:szCs w:val="20"/>
                <w:rtl/>
              </w:rPr>
              <w:t>681.13</w:t>
            </w:r>
          </w:p>
        </w:tc>
      </w:tr>
      <w:tr w:rsidR="00443EC1" w:rsidTr="00443EC1">
        <w:tblPrEx>
          <w:tblCellMar>
            <w:top w:w="0" w:type="dxa"/>
            <w:bottom w:w="0" w:type="dxa"/>
          </w:tblCellMar>
        </w:tblPrEx>
        <w:trPr>
          <w:jc w:val="center"/>
        </w:trPr>
        <w:tc>
          <w:tcPr>
            <w:tcW w:w="4120" w:type="dxa"/>
            <w:tcBorders>
              <w:top w:val="nil"/>
              <w:bottom w:val="nil"/>
            </w:tcBorders>
          </w:tcPr>
          <w:p w:rsidR="00443EC1" w:rsidRDefault="00443EC1">
            <w:pPr>
              <w:spacing w:before="0" w:after="0" w:line="300" w:lineRule="exact"/>
              <w:jc w:val="both"/>
              <w:rPr>
                <w:rFonts w:hint="cs"/>
                <w:szCs w:val="22"/>
                <w:rtl/>
              </w:rPr>
            </w:pPr>
            <w:r>
              <w:rPr>
                <w:rFonts w:hint="cs"/>
                <w:szCs w:val="22"/>
                <w:rtl/>
              </w:rPr>
              <w:t>نسبة مئوية من سكان الأرياف</w:t>
            </w:r>
          </w:p>
        </w:tc>
        <w:tc>
          <w:tcPr>
            <w:tcW w:w="1064" w:type="dxa"/>
            <w:tcBorders>
              <w:top w:val="nil"/>
              <w:bottom w:val="nil"/>
            </w:tcBorders>
          </w:tcPr>
          <w:p w:rsidR="00443EC1" w:rsidRDefault="00443EC1">
            <w:pPr>
              <w:spacing w:before="0" w:after="0" w:line="300" w:lineRule="exact"/>
              <w:jc w:val="both"/>
              <w:rPr>
                <w:rFonts w:hint="cs"/>
                <w:szCs w:val="22"/>
                <w:rtl/>
              </w:rPr>
            </w:pPr>
            <w:r>
              <w:rPr>
                <w:rFonts w:hint="cs"/>
                <w:szCs w:val="22"/>
                <w:rtl/>
              </w:rPr>
              <w:t>بالنسبة المئوية</w:t>
            </w:r>
          </w:p>
        </w:tc>
        <w:tc>
          <w:tcPr>
            <w:tcW w:w="966" w:type="dxa"/>
            <w:tcBorders>
              <w:top w:val="nil"/>
              <w:bottom w:val="nil"/>
            </w:tcBorders>
          </w:tcPr>
          <w:p w:rsidR="00443EC1" w:rsidRDefault="00443EC1">
            <w:pPr>
              <w:spacing w:before="0" w:after="0" w:line="300" w:lineRule="exact"/>
              <w:jc w:val="both"/>
              <w:rPr>
                <w:rFonts w:hint="cs"/>
                <w:szCs w:val="22"/>
                <w:rtl/>
              </w:rPr>
            </w:pPr>
            <w:r>
              <w:rPr>
                <w:rFonts w:hint="cs"/>
                <w:szCs w:val="22"/>
                <w:rtl/>
              </w:rPr>
              <w:t>60.2</w:t>
            </w:r>
          </w:p>
        </w:tc>
        <w:tc>
          <w:tcPr>
            <w:tcW w:w="980" w:type="dxa"/>
            <w:tcBorders>
              <w:top w:val="nil"/>
              <w:bottom w:val="nil"/>
            </w:tcBorders>
          </w:tcPr>
          <w:p w:rsidR="00443EC1" w:rsidRDefault="00443EC1">
            <w:pPr>
              <w:spacing w:before="0" w:after="0" w:line="300" w:lineRule="exact"/>
              <w:jc w:val="both"/>
              <w:rPr>
                <w:rFonts w:hint="cs"/>
                <w:szCs w:val="22"/>
                <w:rtl/>
              </w:rPr>
            </w:pPr>
            <w:r>
              <w:rPr>
                <w:rFonts w:hint="cs"/>
                <w:szCs w:val="22"/>
                <w:rtl/>
              </w:rPr>
              <w:t>70.3</w:t>
            </w:r>
          </w:p>
        </w:tc>
        <w:tc>
          <w:tcPr>
            <w:tcW w:w="896" w:type="dxa"/>
            <w:tcBorders>
              <w:top w:val="nil"/>
              <w:bottom w:val="nil"/>
            </w:tcBorders>
          </w:tcPr>
          <w:p w:rsidR="00443EC1" w:rsidRDefault="00443EC1">
            <w:pPr>
              <w:spacing w:before="0" w:after="0" w:line="300" w:lineRule="exact"/>
              <w:jc w:val="both"/>
              <w:rPr>
                <w:rFonts w:hint="cs"/>
                <w:sz w:val="20"/>
                <w:szCs w:val="20"/>
                <w:rtl/>
              </w:rPr>
            </w:pPr>
            <w:r>
              <w:rPr>
                <w:rFonts w:hint="cs"/>
                <w:sz w:val="20"/>
                <w:szCs w:val="20"/>
                <w:rtl/>
              </w:rPr>
              <w:t>77.0</w:t>
            </w:r>
          </w:p>
        </w:tc>
        <w:tc>
          <w:tcPr>
            <w:tcW w:w="882" w:type="dxa"/>
            <w:tcBorders>
              <w:top w:val="nil"/>
              <w:bottom w:val="nil"/>
            </w:tcBorders>
          </w:tcPr>
          <w:p w:rsidR="00443EC1" w:rsidRDefault="00443EC1">
            <w:pPr>
              <w:spacing w:before="0" w:after="0" w:line="300" w:lineRule="exact"/>
              <w:jc w:val="both"/>
              <w:rPr>
                <w:rFonts w:hint="cs"/>
                <w:sz w:val="20"/>
                <w:szCs w:val="20"/>
                <w:rtl/>
              </w:rPr>
            </w:pPr>
            <w:r>
              <w:rPr>
                <w:rFonts w:hint="cs"/>
                <w:sz w:val="20"/>
                <w:szCs w:val="20"/>
                <w:rtl/>
              </w:rPr>
              <w:t>82.9</w:t>
            </w:r>
          </w:p>
        </w:tc>
        <w:tc>
          <w:tcPr>
            <w:tcW w:w="920" w:type="dxa"/>
            <w:tcBorders>
              <w:top w:val="nil"/>
              <w:bottom w:val="nil"/>
            </w:tcBorders>
          </w:tcPr>
          <w:p w:rsidR="00443EC1" w:rsidRDefault="00443EC1">
            <w:pPr>
              <w:spacing w:before="0" w:after="0" w:line="300" w:lineRule="exact"/>
              <w:jc w:val="both"/>
              <w:rPr>
                <w:rFonts w:hint="cs"/>
                <w:sz w:val="20"/>
                <w:szCs w:val="20"/>
                <w:rtl/>
              </w:rPr>
            </w:pPr>
            <w:r>
              <w:rPr>
                <w:rFonts w:hint="cs"/>
                <w:sz w:val="20"/>
                <w:szCs w:val="20"/>
                <w:rtl/>
              </w:rPr>
              <w:t>91.0</w:t>
            </w:r>
          </w:p>
        </w:tc>
      </w:tr>
      <w:tr w:rsidR="00443EC1" w:rsidTr="00443EC1">
        <w:tblPrEx>
          <w:tblCellMar>
            <w:top w:w="0" w:type="dxa"/>
            <w:bottom w:w="0" w:type="dxa"/>
          </w:tblCellMar>
        </w:tblPrEx>
        <w:trPr>
          <w:jc w:val="center"/>
        </w:trPr>
        <w:tc>
          <w:tcPr>
            <w:tcW w:w="4120" w:type="dxa"/>
            <w:tcBorders>
              <w:top w:val="nil"/>
              <w:bottom w:val="nil"/>
            </w:tcBorders>
          </w:tcPr>
          <w:p w:rsidR="00443EC1" w:rsidRDefault="00443EC1">
            <w:pPr>
              <w:spacing w:before="0" w:after="0" w:line="300" w:lineRule="exact"/>
              <w:jc w:val="both"/>
              <w:rPr>
                <w:rFonts w:hint="cs"/>
                <w:szCs w:val="22"/>
                <w:rtl/>
              </w:rPr>
            </w:pPr>
            <w:r>
              <w:rPr>
                <w:rFonts w:hint="cs"/>
                <w:szCs w:val="22"/>
                <w:rtl/>
              </w:rPr>
              <w:t>نوع التحسينات المُدخلة على شبكات توزيع المياه:</w:t>
            </w:r>
          </w:p>
        </w:tc>
        <w:tc>
          <w:tcPr>
            <w:tcW w:w="1064" w:type="dxa"/>
            <w:tcBorders>
              <w:top w:val="nil"/>
              <w:bottom w:val="nil"/>
            </w:tcBorders>
          </w:tcPr>
          <w:p w:rsidR="00443EC1" w:rsidRDefault="00443EC1">
            <w:pPr>
              <w:spacing w:before="0" w:after="0" w:line="300" w:lineRule="exact"/>
              <w:jc w:val="both"/>
              <w:rPr>
                <w:rFonts w:hint="cs"/>
                <w:szCs w:val="22"/>
                <w:rtl/>
              </w:rPr>
            </w:pPr>
          </w:p>
        </w:tc>
        <w:tc>
          <w:tcPr>
            <w:tcW w:w="966" w:type="dxa"/>
            <w:tcBorders>
              <w:top w:val="nil"/>
              <w:bottom w:val="nil"/>
            </w:tcBorders>
          </w:tcPr>
          <w:p w:rsidR="00443EC1" w:rsidRDefault="00443EC1">
            <w:pPr>
              <w:spacing w:before="0" w:after="0" w:line="300" w:lineRule="exact"/>
              <w:jc w:val="both"/>
              <w:rPr>
                <w:rFonts w:hint="cs"/>
                <w:szCs w:val="22"/>
                <w:rtl/>
              </w:rPr>
            </w:pPr>
          </w:p>
        </w:tc>
        <w:tc>
          <w:tcPr>
            <w:tcW w:w="980" w:type="dxa"/>
            <w:tcBorders>
              <w:top w:val="nil"/>
              <w:bottom w:val="nil"/>
            </w:tcBorders>
          </w:tcPr>
          <w:p w:rsidR="00443EC1" w:rsidRDefault="00443EC1">
            <w:pPr>
              <w:spacing w:before="0" w:after="0" w:line="300" w:lineRule="exact"/>
              <w:jc w:val="both"/>
              <w:rPr>
                <w:rFonts w:hint="cs"/>
                <w:szCs w:val="22"/>
                <w:rtl/>
              </w:rPr>
            </w:pPr>
          </w:p>
        </w:tc>
        <w:tc>
          <w:tcPr>
            <w:tcW w:w="896" w:type="dxa"/>
            <w:tcBorders>
              <w:top w:val="nil"/>
              <w:bottom w:val="nil"/>
            </w:tcBorders>
          </w:tcPr>
          <w:p w:rsidR="00443EC1" w:rsidRDefault="00443EC1">
            <w:pPr>
              <w:spacing w:before="0" w:after="0" w:line="300" w:lineRule="exact"/>
              <w:jc w:val="both"/>
              <w:rPr>
                <w:rFonts w:hint="cs"/>
                <w:sz w:val="20"/>
                <w:szCs w:val="20"/>
                <w:rtl/>
              </w:rPr>
            </w:pPr>
          </w:p>
        </w:tc>
        <w:tc>
          <w:tcPr>
            <w:tcW w:w="882" w:type="dxa"/>
            <w:tcBorders>
              <w:top w:val="nil"/>
              <w:bottom w:val="nil"/>
            </w:tcBorders>
          </w:tcPr>
          <w:p w:rsidR="00443EC1" w:rsidRDefault="00443EC1">
            <w:pPr>
              <w:spacing w:before="0" w:after="0" w:line="300" w:lineRule="exact"/>
              <w:jc w:val="both"/>
              <w:rPr>
                <w:rFonts w:hint="cs"/>
                <w:sz w:val="20"/>
                <w:szCs w:val="20"/>
                <w:rtl/>
              </w:rPr>
            </w:pPr>
          </w:p>
        </w:tc>
        <w:tc>
          <w:tcPr>
            <w:tcW w:w="920" w:type="dxa"/>
            <w:tcBorders>
              <w:top w:val="nil"/>
              <w:bottom w:val="nil"/>
            </w:tcBorders>
          </w:tcPr>
          <w:p w:rsidR="00443EC1" w:rsidRDefault="00443EC1">
            <w:pPr>
              <w:spacing w:before="0" w:after="0" w:line="300" w:lineRule="exact"/>
              <w:jc w:val="both"/>
              <w:rPr>
                <w:rFonts w:hint="cs"/>
                <w:sz w:val="20"/>
                <w:szCs w:val="20"/>
                <w:rtl/>
              </w:rPr>
            </w:pPr>
          </w:p>
        </w:tc>
      </w:tr>
      <w:tr w:rsidR="00443EC1" w:rsidTr="00443EC1">
        <w:tblPrEx>
          <w:tblCellMar>
            <w:top w:w="0" w:type="dxa"/>
            <w:bottom w:w="0" w:type="dxa"/>
          </w:tblCellMar>
        </w:tblPrEx>
        <w:trPr>
          <w:jc w:val="center"/>
        </w:trPr>
        <w:tc>
          <w:tcPr>
            <w:tcW w:w="4120" w:type="dxa"/>
            <w:tcBorders>
              <w:top w:val="nil"/>
              <w:bottom w:val="nil"/>
            </w:tcBorders>
          </w:tcPr>
          <w:p w:rsidR="00443EC1" w:rsidRDefault="00443EC1">
            <w:pPr>
              <w:tabs>
                <w:tab w:val="left" w:pos="191"/>
                <w:tab w:val="left" w:pos="499"/>
              </w:tabs>
              <w:spacing w:before="0" w:after="0" w:line="300" w:lineRule="exact"/>
              <w:jc w:val="both"/>
              <w:rPr>
                <w:rFonts w:hint="cs"/>
                <w:szCs w:val="22"/>
                <w:rtl/>
              </w:rPr>
            </w:pPr>
            <w:r>
              <w:rPr>
                <w:szCs w:val="22"/>
                <w:rtl/>
              </w:rPr>
              <w:tab/>
            </w:r>
            <w:r>
              <w:rPr>
                <w:rFonts w:hint="cs"/>
                <w:szCs w:val="22"/>
                <w:rtl/>
              </w:rPr>
              <w:t>-</w:t>
            </w:r>
            <w:r>
              <w:rPr>
                <w:szCs w:val="22"/>
                <w:rtl/>
              </w:rPr>
              <w:tab/>
            </w:r>
            <w:r>
              <w:rPr>
                <w:rFonts w:hint="cs"/>
                <w:szCs w:val="22"/>
                <w:rtl/>
              </w:rPr>
              <w:t>محطات المياه التي تضح المياه إلى الحنفيات</w:t>
            </w:r>
          </w:p>
        </w:tc>
        <w:tc>
          <w:tcPr>
            <w:tcW w:w="1064" w:type="dxa"/>
            <w:tcBorders>
              <w:top w:val="nil"/>
              <w:bottom w:val="nil"/>
            </w:tcBorders>
          </w:tcPr>
          <w:p w:rsidR="00443EC1" w:rsidRDefault="00443EC1">
            <w:pPr>
              <w:spacing w:before="0" w:after="0" w:line="300" w:lineRule="exact"/>
              <w:jc w:val="both"/>
              <w:rPr>
                <w:rFonts w:hint="cs"/>
                <w:szCs w:val="22"/>
                <w:rtl/>
              </w:rPr>
            </w:pPr>
            <w:r>
              <w:rPr>
                <w:rFonts w:hint="cs"/>
                <w:szCs w:val="22"/>
                <w:rtl/>
              </w:rPr>
              <w:t>بالوحدات</w:t>
            </w:r>
          </w:p>
        </w:tc>
        <w:tc>
          <w:tcPr>
            <w:tcW w:w="966" w:type="dxa"/>
            <w:tcBorders>
              <w:top w:val="nil"/>
              <w:bottom w:val="nil"/>
            </w:tcBorders>
          </w:tcPr>
          <w:p w:rsidR="00443EC1" w:rsidRDefault="00443EC1">
            <w:pPr>
              <w:spacing w:before="0" w:after="0" w:line="300" w:lineRule="exact"/>
              <w:jc w:val="both"/>
              <w:rPr>
                <w:rFonts w:hint="cs"/>
                <w:szCs w:val="22"/>
                <w:rtl/>
              </w:rPr>
            </w:pPr>
            <w:r>
              <w:rPr>
                <w:rFonts w:hint="cs"/>
                <w:szCs w:val="22"/>
                <w:rtl/>
              </w:rPr>
              <w:t>107 204</w:t>
            </w:r>
          </w:p>
        </w:tc>
        <w:tc>
          <w:tcPr>
            <w:tcW w:w="980" w:type="dxa"/>
            <w:tcBorders>
              <w:top w:val="nil"/>
              <w:bottom w:val="nil"/>
            </w:tcBorders>
          </w:tcPr>
          <w:p w:rsidR="00443EC1" w:rsidRDefault="00443EC1">
            <w:pPr>
              <w:spacing w:before="0" w:after="0" w:line="300" w:lineRule="exact"/>
              <w:jc w:val="both"/>
              <w:rPr>
                <w:rFonts w:hint="cs"/>
                <w:szCs w:val="22"/>
                <w:rtl/>
              </w:rPr>
            </w:pPr>
            <w:r>
              <w:rPr>
                <w:rFonts w:hint="cs"/>
                <w:szCs w:val="22"/>
                <w:rtl/>
              </w:rPr>
              <w:t>096 302</w:t>
            </w:r>
          </w:p>
        </w:tc>
        <w:tc>
          <w:tcPr>
            <w:tcW w:w="896" w:type="dxa"/>
            <w:tcBorders>
              <w:top w:val="nil"/>
              <w:bottom w:val="nil"/>
            </w:tcBorders>
          </w:tcPr>
          <w:p w:rsidR="00443EC1" w:rsidRDefault="00443EC1">
            <w:pPr>
              <w:spacing w:before="0" w:after="0" w:line="300" w:lineRule="exact"/>
              <w:jc w:val="both"/>
              <w:rPr>
                <w:rFonts w:hint="cs"/>
                <w:sz w:val="20"/>
                <w:szCs w:val="20"/>
                <w:rtl/>
              </w:rPr>
            </w:pPr>
            <w:r>
              <w:rPr>
                <w:rFonts w:hint="cs"/>
                <w:sz w:val="20"/>
                <w:szCs w:val="20"/>
                <w:rtl/>
              </w:rPr>
              <w:t>691 522</w:t>
            </w:r>
          </w:p>
        </w:tc>
        <w:tc>
          <w:tcPr>
            <w:tcW w:w="882" w:type="dxa"/>
            <w:tcBorders>
              <w:top w:val="nil"/>
              <w:bottom w:val="nil"/>
            </w:tcBorders>
          </w:tcPr>
          <w:p w:rsidR="00443EC1" w:rsidRDefault="00443EC1">
            <w:pPr>
              <w:spacing w:before="0" w:after="0" w:line="300" w:lineRule="exact"/>
              <w:jc w:val="both"/>
              <w:rPr>
                <w:rFonts w:hint="cs"/>
                <w:sz w:val="20"/>
                <w:szCs w:val="20"/>
                <w:rtl/>
              </w:rPr>
            </w:pPr>
            <w:r>
              <w:rPr>
                <w:rFonts w:hint="cs"/>
                <w:sz w:val="20"/>
                <w:szCs w:val="20"/>
                <w:rtl/>
              </w:rPr>
              <w:t>251 591</w:t>
            </w:r>
          </w:p>
        </w:tc>
        <w:tc>
          <w:tcPr>
            <w:tcW w:w="920" w:type="dxa"/>
            <w:tcBorders>
              <w:top w:val="nil"/>
              <w:bottom w:val="nil"/>
            </w:tcBorders>
          </w:tcPr>
          <w:p w:rsidR="00443EC1" w:rsidRDefault="00443EC1">
            <w:pPr>
              <w:spacing w:before="0" w:after="0" w:line="300" w:lineRule="exact"/>
              <w:jc w:val="both"/>
              <w:rPr>
                <w:rFonts w:hint="cs"/>
                <w:sz w:val="20"/>
                <w:szCs w:val="20"/>
                <w:rtl/>
              </w:rPr>
            </w:pPr>
            <w:r>
              <w:rPr>
                <w:rFonts w:hint="cs"/>
                <w:sz w:val="20"/>
                <w:szCs w:val="20"/>
                <w:rtl/>
              </w:rPr>
              <w:t>138 694</w:t>
            </w:r>
          </w:p>
        </w:tc>
      </w:tr>
      <w:tr w:rsidR="00443EC1" w:rsidTr="00443EC1">
        <w:tblPrEx>
          <w:tblCellMar>
            <w:top w:w="0" w:type="dxa"/>
            <w:bottom w:w="0" w:type="dxa"/>
          </w:tblCellMar>
        </w:tblPrEx>
        <w:trPr>
          <w:jc w:val="center"/>
        </w:trPr>
        <w:tc>
          <w:tcPr>
            <w:tcW w:w="4120" w:type="dxa"/>
            <w:tcBorders>
              <w:top w:val="nil"/>
              <w:bottom w:val="nil"/>
            </w:tcBorders>
          </w:tcPr>
          <w:p w:rsidR="00443EC1" w:rsidRDefault="00443EC1">
            <w:pPr>
              <w:tabs>
                <w:tab w:val="left" w:pos="191"/>
                <w:tab w:val="left" w:pos="625"/>
              </w:tabs>
              <w:spacing w:before="0" w:after="0" w:line="300" w:lineRule="exact"/>
              <w:jc w:val="both"/>
              <w:rPr>
                <w:rFonts w:hint="cs"/>
                <w:szCs w:val="22"/>
                <w:rtl/>
              </w:rPr>
            </w:pPr>
            <w:r>
              <w:rPr>
                <w:szCs w:val="22"/>
                <w:rtl/>
              </w:rPr>
              <w:tab/>
            </w:r>
            <w:r>
              <w:rPr>
                <w:rFonts w:hint="cs"/>
                <w:szCs w:val="22"/>
                <w:rtl/>
              </w:rPr>
              <w:tab/>
            </w:r>
            <w:r>
              <w:rPr>
                <w:szCs w:val="22"/>
                <w:rtl/>
              </w:rPr>
              <w:t xml:space="preserve">عدد </w:t>
            </w:r>
            <w:r>
              <w:rPr>
                <w:rFonts w:hint="cs"/>
                <w:szCs w:val="22"/>
                <w:rtl/>
              </w:rPr>
              <w:t>السكان المستفيدين</w:t>
            </w:r>
          </w:p>
        </w:tc>
        <w:tc>
          <w:tcPr>
            <w:tcW w:w="1064" w:type="dxa"/>
            <w:tcBorders>
              <w:top w:val="nil"/>
              <w:bottom w:val="nil"/>
            </w:tcBorders>
          </w:tcPr>
          <w:p w:rsidR="00443EC1" w:rsidRDefault="00443EC1">
            <w:pPr>
              <w:spacing w:before="0" w:after="0" w:line="300" w:lineRule="exact"/>
              <w:jc w:val="both"/>
              <w:rPr>
                <w:rFonts w:hint="cs"/>
                <w:szCs w:val="22"/>
                <w:rtl/>
              </w:rPr>
            </w:pPr>
            <w:r>
              <w:rPr>
                <w:rFonts w:hint="cs"/>
                <w:szCs w:val="22"/>
                <w:rtl/>
              </w:rPr>
              <w:t>بالملايين</w:t>
            </w:r>
          </w:p>
        </w:tc>
        <w:tc>
          <w:tcPr>
            <w:tcW w:w="966" w:type="dxa"/>
            <w:tcBorders>
              <w:top w:val="nil"/>
              <w:bottom w:val="nil"/>
            </w:tcBorders>
          </w:tcPr>
          <w:p w:rsidR="00443EC1" w:rsidRDefault="00443EC1">
            <w:pPr>
              <w:spacing w:before="0" w:after="0" w:line="300" w:lineRule="exact"/>
              <w:jc w:val="both"/>
              <w:rPr>
                <w:rFonts w:hint="cs"/>
                <w:szCs w:val="22"/>
                <w:rtl/>
              </w:rPr>
            </w:pPr>
            <w:r>
              <w:rPr>
                <w:rFonts w:hint="cs"/>
                <w:szCs w:val="22"/>
                <w:rtl/>
              </w:rPr>
              <w:t>174.15</w:t>
            </w:r>
          </w:p>
        </w:tc>
        <w:tc>
          <w:tcPr>
            <w:tcW w:w="980" w:type="dxa"/>
            <w:tcBorders>
              <w:top w:val="nil"/>
              <w:bottom w:val="nil"/>
            </w:tcBorders>
          </w:tcPr>
          <w:p w:rsidR="00443EC1" w:rsidRDefault="00443EC1">
            <w:pPr>
              <w:spacing w:before="0" w:after="0" w:line="300" w:lineRule="exact"/>
              <w:jc w:val="both"/>
              <w:rPr>
                <w:rFonts w:hint="cs"/>
                <w:szCs w:val="22"/>
                <w:rtl/>
              </w:rPr>
            </w:pPr>
            <w:r>
              <w:rPr>
                <w:rFonts w:hint="cs"/>
                <w:szCs w:val="22"/>
                <w:rtl/>
              </w:rPr>
              <w:t>227.25</w:t>
            </w:r>
          </w:p>
        </w:tc>
        <w:tc>
          <w:tcPr>
            <w:tcW w:w="896" w:type="dxa"/>
            <w:tcBorders>
              <w:top w:val="nil"/>
              <w:bottom w:val="nil"/>
            </w:tcBorders>
          </w:tcPr>
          <w:p w:rsidR="00443EC1" w:rsidRDefault="00443EC1">
            <w:pPr>
              <w:spacing w:before="0" w:after="0" w:line="300" w:lineRule="exact"/>
              <w:jc w:val="both"/>
              <w:rPr>
                <w:rFonts w:hint="cs"/>
                <w:sz w:val="20"/>
                <w:szCs w:val="20"/>
                <w:rtl/>
              </w:rPr>
            </w:pPr>
            <w:r>
              <w:rPr>
                <w:rFonts w:hint="cs"/>
                <w:sz w:val="20"/>
                <w:szCs w:val="20"/>
                <w:rtl/>
              </w:rPr>
              <w:t>300.92</w:t>
            </w:r>
          </w:p>
        </w:tc>
        <w:tc>
          <w:tcPr>
            <w:tcW w:w="882" w:type="dxa"/>
            <w:tcBorders>
              <w:top w:val="nil"/>
              <w:bottom w:val="nil"/>
            </w:tcBorders>
          </w:tcPr>
          <w:p w:rsidR="00443EC1" w:rsidRDefault="00443EC1">
            <w:pPr>
              <w:spacing w:before="0" w:after="0" w:line="300" w:lineRule="exact"/>
              <w:jc w:val="both"/>
              <w:rPr>
                <w:rFonts w:hint="cs"/>
                <w:sz w:val="20"/>
                <w:szCs w:val="20"/>
                <w:rtl/>
              </w:rPr>
            </w:pPr>
            <w:r>
              <w:rPr>
                <w:rFonts w:hint="cs"/>
                <w:sz w:val="20"/>
                <w:szCs w:val="20"/>
                <w:rtl/>
              </w:rPr>
              <w:t>350.07</w:t>
            </w:r>
          </w:p>
        </w:tc>
        <w:tc>
          <w:tcPr>
            <w:tcW w:w="920" w:type="dxa"/>
            <w:tcBorders>
              <w:top w:val="nil"/>
              <w:bottom w:val="nil"/>
            </w:tcBorders>
          </w:tcPr>
          <w:p w:rsidR="00443EC1" w:rsidRDefault="00443EC1">
            <w:pPr>
              <w:spacing w:before="0" w:after="0" w:line="300" w:lineRule="exact"/>
              <w:jc w:val="both"/>
              <w:rPr>
                <w:rFonts w:hint="cs"/>
                <w:sz w:val="20"/>
                <w:szCs w:val="20"/>
                <w:rtl/>
              </w:rPr>
            </w:pPr>
            <w:r>
              <w:rPr>
                <w:rFonts w:hint="cs"/>
                <w:sz w:val="20"/>
                <w:szCs w:val="20"/>
                <w:rtl/>
              </w:rPr>
              <w:t>521.46</w:t>
            </w:r>
          </w:p>
        </w:tc>
      </w:tr>
      <w:tr w:rsidR="00443EC1" w:rsidTr="00443EC1">
        <w:tblPrEx>
          <w:tblCellMar>
            <w:top w:w="0" w:type="dxa"/>
            <w:bottom w:w="0" w:type="dxa"/>
          </w:tblCellMar>
        </w:tblPrEx>
        <w:trPr>
          <w:jc w:val="center"/>
        </w:trPr>
        <w:tc>
          <w:tcPr>
            <w:tcW w:w="4120" w:type="dxa"/>
            <w:tcBorders>
              <w:top w:val="nil"/>
              <w:bottom w:val="nil"/>
            </w:tcBorders>
          </w:tcPr>
          <w:p w:rsidR="00443EC1" w:rsidRDefault="00443EC1">
            <w:pPr>
              <w:tabs>
                <w:tab w:val="left" w:pos="191"/>
                <w:tab w:val="left" w:pos="625"/>
              </w:tabs>
              <w:spacing w:before="0" w:after="0" w:line="300" w:lineRule="exact"/>
              <w:jc w:val="both"/>
              <w:rPr>
                <w:rFonts w:hint="cs"/>
                <w:szCs w:val="22"/>
                <w:rtl/>
              </w:rPr>
            </w:pPr>
            <w:r>
              <w:rPr>
                <w:szCs w:val="22"/>
                <w:rtl/>
              </w:rPr>
              <w:tab/>
            </w:r>
            <w:r>
              <w:rPr>
                <w:rFonts w:hint="cs"/>
                <w:szCs w:val="22"/>
                <w:rtl/>
              </w:rPr>
              <w:tab/>
              <w:t>كنسبة مئوية من عدد السكان الإجمالي</w:t>
            </w:r>
          </w:p>
        </w:tc>
        <w:tc>
          <w:tcPr>
            <w:tcW w:w="1064" w:type="dxa"/>
            <w:tcBorders>
              <w:top w:val="nil"/>
              <w:bottom w:val="nil"/>
            </w:tcBorders>
          </w:tcPr>
          <w:p w:rsidR="00443EC1" w:rsidRDefault="00443EC1">
            <w:pPr>
              <w:spacing w:before="0" w:after="0" w:line="300" w:lineRule="exact"/>
              <w:jc w:val="both"/>
              <w:rPr>
                <w:rFonts w:hint="cs"/>
                <w:szCs w:val="22"/>
                <w:rtl/>
              </w:rPr>
            </w:pPr>
            <w:r>
              <w:rPr>
                <w:rFonts w:hint="cs"/>
                <w:szCs w:val="22"/>
                <w:rtl/>
              </w:rPr>
              <w:t>بالنسبة المئوية</w:t>
            </w:r>
          </w:p>
        </w:tc>
        <w:tc>
          <w:tcPr>
            <w:tcW w:w="966" w:type="dxa"/>
            <w:tcBorders>
              <w:top w:val="nil"/>
              <w:bottom w:val="nil"/>
            </w:tcBorders>
          </w:tcPr>
          <w:p w:rsidR="00443EC1" w:rsidRDefault="00443EC1">
            <w:pPr>
              <w:spacing w:before="0" w:after="0" w:line="300" w:lineRule="exact"/>
              <w:jc w:val="both"/>
              <w:rPr>
                <w:rFonts w:hint="cs"/>
                <w:szCs w:val="22"/>
                <w:rtl/>
              </w:rPr>
            </w:pPr>
            <w:r>
              <w:rPr>
                <w:rFonts w:hint="cs"/>
                <w:szCs w:val="22"/>
                <w:rtl/>
              </w:rPr>
              <w:t>34.2</w:t>
            </w:r>
          </w:p>
        </w:tc>
        <w:tc>
          <w:tcPr>
            <w:tcW w:w="980" w:type="dxa"/>
            <w:tcBorders>
              <w:top w:val="nil"/>
              <w:bottom w:val="nil"/>
            </w:tcBorders>
          </w:tcPr>
          <w:p w:rsidR="00443EC1" w:rsidRDefault="00443EC1">
            <w:pPr>
              <w:spacing w:before="0" w:after="0" w:line="300" w:lineRule="exact"/>
              <w:jc w:val="both"/>
              <w:rPr>
                <w:rFonts w:hint="cs"/>
                <w:szCs w:val="22"/>
                <w:rtl/>
              </w:rPr>
            </w:pPr>
            <w:r>
              <w:rPr>
                <w:rFonts w:hint="cs"/>
                <w:szCs w:val="22"/>
                <w:rtl/>
              </w:rPr>
              <w:t>36.9</w:t>
            </w:r>
          </w:p>
        </w:tc>
        <w:tc>
          <w:tcPr>
            <w:tcW w:w="896" w:type="dxa"/>
            <w:tcBorders>
              <w:top w:val="nil"/>
              <w:bottom w:val="nil"/>
            </w:tcBorders>
          </w:tcPr>
          <w:p w:rsidR="00443EC1" w:rsidRDefault="00443EC1">
            <w:pPr>
              <w:spacing w:before="0" w:after="0" w:line="300" w:lineRule="exact"/>
              <w:jc w:val="both"/>
              <w:rPr>
                <w:rFonts w:hint="cs"/>
                <w:sz w:val="20"/>
                <w:szCs w:val="20"/>
                <w:rtl/>
              </w:rPr>
            </w:pPr>
            <w:r>
              <w:rPr>
                <w:rFonts w:hint="cs"/>
                <w:sz w:val="20"/>
                <w:szCs w:val="20"/>
                <w:rtl/>
              </w:rPr>
              <w:t>42.7</w:t>
            </w:r>
          </w:p>
        </w:tc>
        <w:tc>
          <w:tcPr>
            <w:tcW w:w="882" w:type="dxa"/>
            <w:tcBorders>
              <w:top w:val="nil"/>
              <w:bottom w:val="nil"/>
            </w:tcBorders>
          </w:tcPr>
          <w:p w:rsidR="00443EC1" w:rsidRDefault="00443EC1">
            <w:pPr>
              <w:spacing w:before="0" w:after="0" w:line="300" w:lineRule="exact"/>
              <w:jc w:val="both"/>
              <w:rPr>
                <w:rFonts w:hint="cs"/>
                <w:sz w:val="20"/>
                <w:szCs w:val="20"/>
                <w:rtl/>
              </w:rPr>
            </w:pPr>
            <w:r>
              <w:rPr>
                <w:rFonts w:hint="cs"/>
                <w:sz w:val="20"/>
                <w:szCs w:val="20"/>
                <w:rtl/>
              </w:rPr>
              <w:t>45.9</w:t>
            </w:r>
          </w:p>
        </w:tc>
        <w:tc>
          <w:tcPr>
            <w:tcW w:w="920" w:type="dxa"/>
            <w:tcBorders>
              <w:top w:val="nil"/>
              <w:bottom w:val="nil"/>
            </w:tcBorders>
          </w:tcPr>
          <w:p w:rsidR="00443EC1" w:rsidRDefault="00443EC1">
            <w:pPr>
              <w:spacing w:before="0" w:after="0" w:line="300" w:lineRule="exact"/>
              <w:jc w:val="both"/>
              <w:rPr>
                <w:rFonts w:hint="cs"/>
                <w:sz w:val="20"/>
                <w:szCs w:val="20"/>
                <w:rtl/>
              </w:rPr>
            </w:pPr>
            <w:r>
              <w:rPr>
                <w:rFonts w:hint="cs"/>
                <w:sz w:val="20"/>
                <w:szCs w:val="20"/>
                <w:rtl/>
              </w:rPr>
              <w:t>55.1</w:t>
            </w:r>
          </w:p>
        </w:tc>
      </w:tr>
      <w:tr w:rsidR="00443EC1" w:rsidTr="00443EC1">
        <w:tblPrEx>
          <w:tblCellMar>
            <w:top w:w="0" w:type="dxa"/>
            <w:bottom w:w="0" w:type="dxa"/>
          </w:tblCellMar>
        </w:tblPrEx>
        <w:trPr>
          <w:jc w:val="center"/>
        </w:trPr>
        <w:tc>
          <w:tcPr>
            <w:tcW w:w="4120" w:type="dxa"/>
            <w:tcBorders>
              <w:top w:val="nil"/>
              <w:bottom w:val="nil"/>
            </w:tcBorders>
          </w:tcPr>
          <w:p w:rsidR="00443EC1" w:rsidRDefault="00443EC1">
            <w:pPr>
              <w:tabs>
                <w:tab w:val="left" w:pos="191"/>
                <w:tab w:val="left" w:pos="499"/>
              </w:tabs>
              <w:spacing w:before="0" w:after="0" w:line="300" w:lineRule="exact"/>
              <w:jc w:val="both"/>
              <w:rPr>
                <w:rFonts w:hint="cs"/>
                <w:szCs w:val="22"/>
                <w:rtl/>
              </w:rPr>
            </w:pPr>
            <w:r>
              <w:rPr>
                <w:szCs w:val="22"/>
                <w:rtl/>
              </w:rPr>
              <w:tab/>
            </w:r>
            <w:r>
              <w:rPr>
                <w:rFonts w:hint="cs"/>
                <w:szCs w:val="22"/>
                <w:rtl/>
              </w:rPr>
              <w:t>-</w:t>
            </w:r>
            <w:r>
              <w:rPr>
                <w:szCs w:val="22"/>
                <w:rtl/>
              </w:rPr>
              <w:tab/>
            </w:r>
            <w:r>
              <w:rPr>
                <w:rFonts w:hint="cs"/>
                <w:szCs w:val="22"/>
                <w:rtl/>
              </w:rPr>
              <w:t>الآبار والمضخات اليدوية</w:t>
            </w:r>
          </w:p>
        </w:tc>
        <w:tc>
          <w:tcPr>
            <w:tcW w:w="1064" w:type="dxa"/>
            <w:tcBorders>
              <w:top w:val="nil"/>
              <w:bottom w:val="nil"/>
            </w:tcBorders>
          </w:tcPr>
          <w:p w:rsidR="00443EC1" w:rsidRDefault="00443EC1">
            <w:pPr>
              <w:spacing w:before="0" w:after="0" w:line="300" w:lineRule="exact"/>
              <w:jc w:val="both"/>
              <w:rPr>
                <w:rFonts w:hint="cs"/>
                <w:szCs w:val="22"/>
                <w:rtl/>
              </w:rPr>
            </w:pPr>
            <w:r>
              <w:rPr>
                <w:rFonts w:hint="cs"/>
                <w:szCs w:val="22"/>
                <w:rtl/>
              </w:rPr>
              <w:t>بالملايين</w:t>
            </w:r>
          </w:p>
        </w:tc>
        <w:tc>
          <w:tcPr>
            <w:tcW w:w="966" w:type="dxa"/>
            <w:tcBorders>
              <w:top w:val="nil"/>
              <w:bottom w:val="nil"/>
            </w:tcBorders>
          </w:tcPr>
          <w:p w:rsidR="00443EC1" w:rsidRDefault="00443EC1">
            <w:pPr>
              <w:spacing w:before="0" w:after="0" w:line="300" w:lineRule="exact"/>
              <w:jc w:val="both"/>
              <w:rPr>
                <w:rFonts w:hint="cs"/>
                <w:szCs w:val="22"/>
                <w:rtl/>
              </w:rPr>
            </w:pPr>
            <w:r>
              <w:rPr>
                <w:rFonts w:hint="cs"/>
                <w:szCs w:val="22"/>
                <w:rtl/>
              </w:rPr>
              <w:t>48.230</w:t>
            </w:r>
          </w:p>
        </w:tc>
        <w:tc>
          <w:tcPr>
            <w:tcW w:w="980" w:type="dxa"/>
            <w:tcBorders>
              <w:top w:val="nil"/>
              <w:bottom w:val="nil"/>
            </w:tcBorders>
          </w:tcPr>
          <w:p w:rsidR="00443EC1" w:rsidRDefault="00443EC1">
            <w:pPr>
              <w:spacing w:before="0" w:after="0" w:line="300" w:lineRule="exact"/>
              <w:jc w:val="both"/>
              <w:rPr>
                <w:rFonts w:hint="cs"/>
                <w:szCs w:val="22"/>
                <w:rtl/>
              </w:rPr>
            </w:pPr>
            <w:r>
              <w:rPr>
                <w:rFonts w:hint="cs"/>
                <w:szCs w:val="22"/>
                <w:rtl/>
              </w:rPr>
              <w:t>30.410</w:t>
            </w:r>
          </w:p>
        </w:tc>
        <w:tc>
          <w:tcPr>
            <w:tcW w:w="896" w:type="dxa"/>
            <w:tcBorders>
              <w:top w:val="nil"/>
              <w:bottom w:val="nil"/>
            </w:tcBorders>
          </w:tcPr>
          <w:p w:rsidR="00443EC1" w:rsidRDefault="00443EC1">
            <w:pPr>
              <w:spacing w:before="0" w:after="0" w:line="300" w:lineRule="exact"/>
              <w:jc w:val="both"/>
              <w:rPr>
                <w:rFonts w:hint="cs"/>
                <w:sz w:val="20"/>
                <w:szCs w:val="20"/>
                <w:rtl/>
              </w:rPr>
            </w:pPr>
            <w:r>
              <w:rPr>
                <w:rFonts w:hint="cs"/>
                <w:sz w:val="20"/>
                <w:szCs w:val="20"/>
                <w:rtl/>
              </w:rPr>
              <w:t>36.070</w:t>
            </w:r>
          </w:p>
        </w:tc>
        <w:tc>
          <w:tcPr>
            <w:tcW w:w="882" w:type="dxa"/>
            <w:tcBorders>
              <w:top w:val="nil"/>
              <w:bottom w:val="nil"/>
            </w:tcBorders>
          </w:tcPr>
          <w:p w:rsidR="00443EC1" w:rsidRDefault="00443EC1">
            <w:pPr>
              <w:spacing w:before="0" w:after="0" w:line="300" w:lineRule="exact"/>
              <w:jc w:val="both"/>
              <w:rPr>
                <w:rFonts w:hint="cs"/>
                <w:sz w:val="20"/>
                <w:szCs w:val="20"/>
                <w:rtl/>
              </w:rPr>
            </w:pPr>
            <w:r>
              <w:rPr>
                <w:rFonts w:hint="cs"/>
                <w:sz w:val="20"/>
                <w:szCs w:val="20"/>
                <w:rtl/>
              </w:rPr>
              <w:t>39.760</w:t>
            </w:r>
          </w:p>
        </w:tc>
        <w:tc>
          <w:tcPr>
            <w:tcW w:w="920" w:type="dxa"/>
            <w:tcBorders>
              <w:top w:val="nil"/>
              <w:bottom w:val="nil"/>
            </w:tcBorders>
          </w:tcPr>
          <w:p w:rsidR="00443EC1" w:rsidRDefault="00443EC1">
            <w:pPr>
              <w:spacing w:before="0" w:after="0" w:line="300" w:lineRule="exact"/>
              <w:jc w:val="both"/>
              <w:rPr>
                <w:rFonts w:hint="cs"/>
                <w:sz w:val="20"/>
                <w:szCs w:val="20"/>
                <w:rtl/>
              </w:rPr>
            </w:pPr>
            <w:r>
              <w:rPr>
                <w:rFonts w:hint="cs"/>
                <w:sz w:val="20"/>
                <w:szCs w:val="20"/>
                <w:rtl/>
              </w:rPr>
              <w:t>67.250</w:t>
            </w:r>
          </w:p>
        </w:tc>
      </w:tr>
      <w:tr w:rsidR="00443EC1" w:rsidTr="00443EC1">
        <w:tblPrEx>
          <w:tblCellMar>
            <w:top w:w="0" w:type="dxa"/>
            <w:bottom w:w="0" w:type="dxa"/>
          </w:tblCellMar>
        </w:tblPrEx>
        <w:trPr>
          <w:jc w:val="center"/>
        </w:trPr>
        <w:tc>
          <w:tcPr>
            <w:tcW w:w="4120" w:type="dxa"/>
            <w:tcBorders>
              <w:top w:val="nil"/>
              <w:bottom w:val="nil"/>
            </w:tcBorders>
          </w:tcPr>
          <w:p w:rsidR="00443EC1" w:rsidRDefault="00443EC1">
            <w:pPr>
              <w:tabs>
                <w:tab w:val="left" w:pos="191"/>
                <w:tab w:val="left" w:pos="625"/>
              </w:tabs>
              <w:spacing w:before="0" w:after="0" w:line="300" w:lineRule="exact"/>
              <w:jc w:val="both"/>
              <w:rPr>
                <w:szCs w:val="22"/>
                <w:rtl/>
              </w:rPr>
            </w:pPr>
            <w:r>
              <w:rPr>
                <w:szCs w:val="22"/>
                <w:rtl/>
              </w:rPr>
              <w:tab/>
            </w:r>
            <w:r>
              <w:rPr>
                <w:rFonts w:hint="cs"/>
                <w:szCs w:val="22"/>
                <w:rtl/>
              </w:rPr>
              <w:tab/>
              <w:t>عدد السكان المستفيدين</w:t>
            </w:r>
          </w:p>
        </w:tc>
        <w:tc>
          <w:tcPr>
            <w:tcW w:w="1064" w:type="dxa"/>
            <w:tcBorders>
              <w:top w:val="nil"/>
              <w:bottom w:val="nil"/>
            </w:tcBorders>
          </w:tcPr>
          <w:p w:rsidR="00443EC1" w:rsidRDefault="00443EC1">
            <w:pPr>
              <w:spacing w:before="0" w:after="0" w:line="300" w:lineRule="exact"/>
              <w:jc w:val="both"/>
              <w:rPr>
                <w:rFonts w:hint="cs"/>
                <w:szCs w:val="22"/>
                <w:rtl/>
              </w:rPr>
            </w:pPr>
            <w:r>
              <w:rPr>
                <w:rFonts w:hint="cs"/>
                <w:szCs w:val="22"/>
                <w:rtl/>
              </w:rPr>
              <w:t>بالملايين</w:t>
            </w:r>
          </w:p>
        </w:tc>
        <w:tc>
          <w:tcPr>
            <w:tcW w:w="966" w:type="dxa"/>
            <w:tcBorders>
              <w:top w:val="nil"/>
              <w:bottom w:val="nil"/>
            </w:tcBorders>
          </w:tcPr>
          <w:p w:rsidR="00443EC1" w:rsidRDefault="00443EC1">
            <w:pPr>
              <w:spacing w:before="0" w:after="0" w:line="300" w:lineRule="exact"/>
              <w:jc w:val="both"/>
              <w:rPr>
                <w:rFonts w:hint="cs"/>
                <w:szCs w:val="22"/>
                <w:rtl/>
              </w:rPr>
            </w:pPr>
            <w:r>
              <w:rPr>
                <w:rFonts w:hint="cs"/>
                <w:szCs w:val="22"/>
                <w:rtl/>
              </w:rPr>
              <w:t>137.72</w:t>
            </w:r>
          </w:p>
        </w:tc>
        <w:tc>
          <w:tcPr>
            <w:tcW w:w="980" w:type="dxa"/>
            <w:tcBorders>
              <w:top w:val="nil"/>
              <w:bottom w:val="nil"/>
            </w:tcBorders>
          </w:tcPr>
          <w:p w:rsidR="00443EC1" w:rsidRDefault="00443EC1">
            <w:pPr>
              <w:spacing w:before="0" w:after="0" w:line="300" w:lineRule="exact"/>
              <w:jc w:val="both"/>
              <w:rPr>
                <w:rFonts w:hint="cs"/>
                <w:szCs w:val="22"/>
                <w:rtl/>
              </w:rPr>
            </w:pPr>
            <w:r>
              <w:rPr>
                <w:rFonts w:hint="cs"/>
                <w:szCs w:val="22"/>
                <w:rtl/>
              </w:rPr>
              <w:t>183.98</w:t>
            </w:r>
          </w:p>
        </w:tc>
        <w:tc>
          <w:tcPr>
            <w:tcW w:w="896" w:type="dxa"/>
            <w:tcBorders>
              <w:top w:val="nil"/>
              <w:bottom w:val="nil"/>
            </w:tcBorders>
          </w:tcPr>
          <w:p w:rsidR="00443EC1" w:rsidRDefault="00443EC1">
            <w:pPr>
              <w:spacing w:before="0" w:after="0" w:line="300" w:lineRule="exact"/>
              <w:jc w:val="both"/>
              <w:rPr>
                <w:rFonts w:hint="cs"/>
                <w:sz w:val="20"/>
                <w:szCs w:val="20"/>
                <w:rtl/>
              </w:rPr>
            </w:pPr>
            <w:r>
              <w:rPr>
                <w:rFonts w:hint="cs"/>
                <w:sz w:val="20"/>
                <w:szCs w:val="20"/>
                <w:rtl/>
              </w:rPr>
              <w:t>198.98</w:t>
            </w:r>
          </w:p>
        </w:tc>
        <w:tc>
          <w:tcPr>
            <w:tcW w:w="882" w:type="dxa"/>
            <w:tcBorders>
              <w:top w:val="nil"/>
              <w:bottom w:val="nil"/>
            </w:tcBorders>
          </w:tcPr>
          <w:p w:rsidR="00443EC1" w:rsidRDefault="00443EC1">
            <w:pPr>
              <w:spacing w:before="0" w:after="0" w:line="300" w:lineRule="exact"/>
              <w:jc w:val="both"/>
              <w:rPr>
                <w:rFonts w:hint="cs"/>
                <w:sz w:val="20"/>
                <w:szCs w:val="20"/>
                <w:rtl/>
              </w:rPr>
            </w:pPr>
            <w:r>
              <w:rPr>
                <w:rFonts w:hint="cs"/>
                <w:sz w:val="20"/>
                <w:szCs w:val="20"/>
                <w:rtl/>
              </w:rPr>
              <w:t>206.62</w:t>
            </w:r>
          </w:p>
        </w:tc>
        <w:tc>
          <w:tcPr>
            <w:tcW w:w="920" w:type="dxa"/>
            <w:tcBorders>
              <w:top w:val="nil"/>
              <w:bottom w:val="nil"/>
            </w:tcBorders>
          </w:tcPr>
          <w:p w:rsidR="00443EC1" w:rsidRDefault="00443EC1">
            <w:pPr>
              <w:spacing w:before="0" w:after="0" w:line="300" w:lineRule="exact"/>
              <w:jc w:val="both"/>
              <w:rPr>
                <w:rFonts w:hint="cs"/>
                <w:sz w:val="20"/>
                <w:szCs w:val="20"/>
                <w:rtl/>
              </w:rPr>
            </w:pPr>
            <w:r>
              <w:rPr>
                <w:rFonts w:hint="cs"/>
                <w:sz w:val="20"/>
                <w:szCs w:val="20"/>
                <w:rtl/>
              </w:rPr>
              <w:t>212.14</w:t>
            </w:r>
          </w:p>
        </w:tc>
      </w:tr>
      <w:tr w:rsidR="00443EC1" w:rsidTr="00443EC1">
        <w:tblPrEx>
          <w:tblCellMar>
            <w:top w:w="0" w:type="dxa"/>
            <w:bottom w:w="0" w:type="dxa"/>
          </w:tblCellMar>
        </w:tblPrEx>
        <w:trPr>
          <w:jc w:val="center"/>
        </w:trPr>
        <w:tc>
          <w:tcPr>
            <w:tcW w:w="4120" w:type="dxa"/>
            <w:tcBorders>
              <w:top w:val="nil"/>
              <w:bottom w:val="nil"/>
            </w:tcBorders>
          </w:tcPr>
          <w:p w:rsidR="00443EC1" w:rsidRDefault="00443EC1">
            <w:pPr>
              <w:tabs>
                <w:tab w:val="left" w:pos="191"/>
                <w:tab w:val="left" w:pos="625"/>
              </w:tabs>
              <w:spacing w:before="0" w:after="0" w:line="300" w:lineRule="exact"/>
              <w:jc w:val="both"/>
              <w:rPr>
                <w:szCs w:val="22"/>
                <w:rtl/>
              </w:rPr>
            </w:pPr>
            <w:r>
              <w:rPr>
                <w:szCs w:val="22"/>
                <w:rtl/>
              </w:rPr>
              <w:tab/>
            </w:r>
            <w:r>
              <w:rPr>
                <w:rFonts w:hint="cs"/>
                <w:szCs w:val="22"/>
                <w:rtl/>
              </w:rPr>
              <w:tab/>
              <w:t>كنسبة مئوية من عدد السكان الإجمالي</w:t>
            </w:r>
          </w:p>
        </w:tc>
        <w:tc>
          <w:tcPr>
            <w:tcW w:w="1064" w:type="dxa"/>
            <w:tcBorders>
              <w:top w:val="nil"/>
              <w:bottom w:val="nil"/>
            </w:tcBorders>
          </w:tcPr>
          <w:p w:rsidR="00443EC1" w:rsidRDefault="00443EC1">
            <w:pPr>
              <w:spacing w:before="0" w:after="0" w:line="300" w:lineRule="exact"/>
              <w:jc w:val="both"/>
              <w:rPr>
                <w:rFonts w:hint="cs"/>
                <w:szCs w:val="22"/>
                <w:rtl/>
              </w:rPr>
            </w:pPr>
            <w:r>
              <w:rPr>
                <w:rFonts w:hint="cs"/>
                <w:szCs w:val="22"/>
                <w:rtl/>
              </w:rPr>
              <w:t>بالنسبة المئوية</w:t>
            </w:r>
          </w:p>
        </w:tc>
        <w:tc>
          <w:tcPr>
            <w:tcW w:w="966" w:type="dxa"/>
            <w:tcBorders>
              <w:top w:val="nil"/>
              <w:bottom w:val="nil"/>
            </w:tcBorders>
          </w:tcPr>
          <w:p w:rsidR="00443EC1" w:rsidRDefault="00443EC1">
            <w:pPr>
              <w:spacing w:before="0" w:after="0" w:line="300" w:lineRule="exact"/>
              <w:jc w:val="both"/>
              <w:rPr>
                <w:rFonts w:hint="cs"/>
                <w:szCs w:val="22"/>
                <w:rtl/>
              </w:rPr>
            </w:pPr>
            <w:r>
              <w:rPr>
                <w:rFonts w:hint="cs"/>
                <w:szCs w:val="22"/>
                <w:rtl/>
              </w:rPr>
              <w:t xml:space="preserve">     27</w:t>
            </w:r>
          </w:p>
        </w:tc>
        <w:tc>
          <w:tcPr>
            <w:tcW w:w="980" w:type="dxa"/>
            <w:tcBorders>
              <w:top w:val="nil"/>
              <w:bottom w:val="nil"/>
            </w:tcBorders>
          </w:tcPr>
          <w:p w:rsidR="00443EC1" w:rsidRDefault="00443EC1">
            <w:pPr>
              <w:spacing w:before="0" w:after="0" w:line="300" w:lineRule="exact"/>
              <w:jc w:val="both"/>
              <w:rPr>
                <w:rFonts w:hint="cs"/>
                <w:szCs w:val="22"/>
                <w:rtl/>
              </w:rPr>
            </w:pPr>
            <w:r>
              <w:rPr>
                <w:rFonts w:hint="cs"/>
                <w:szCs w:val="22"/>
                <w:rtl/>
              </w:rPr>
              <w:t>29.9</w:t>
            </w:r>
          </w:p>
        </w:tc>
        <w:tc>
          <w:tcPr>
            <w:tcW w:w="896" w:type="dxa"/>
            <w:tcBorders>
              <w:top w:val="nil"/>
              <w:bottom w:val="nil"/>
            </w:tcBorders>
          </w:tcPr>
          <w:p w:rsidR="00443EC1" w:rsidRDefault="00443EC1">
            <w:pPr>
              <w:spacing w:before="0" w:after="0" w:line="300" w:lineRule="exact"/>
              <w:jc w:val="both"/>
              <w:rPr>
                <w:rFonts w:hint="cs"/>
                <w:sz w:val="20"/>
                <w:szCs w:val="20"/>
                <w:rtl/>
              </w:rPr>
            </w:pPr>
            <w:r>
              <w:rPr>
                <w:rFonts w:hint="cs"/>
                <w:sz w:val="20"/>
                <w:szCs w:val="20"/>
                <w:rtl/>
              </w:rPr>
              <w:t>28.2</w:t>
            </w:r>
          </w:p>
        </w:tc>
        <w:tc>
          <w:tcPr>
            <w:tcW w:w="882" w:type="dxa"/>
            <w:tcBorders>
              <w:top w:val="nil"/>
              <w:bottom w:val="nil"/>
            </w:tcBorders>
          </w:tcPr>
          <w:p w:rsidR="00443EC1" w:rsidRDefault="00443EC1">
            <w:pPr>
              <w:spacing w:before="0" w:after="0" w:line="300" w:lineRule="exact"/>
              <w:jc w:val="both"/>
              <w:rPr>
                <w:rFonts w:hint="cs"/>
                <w:sz w:val="20"/>
                <w:szCs w:val="20"/>
                <w:rtl/>
              </w:rPr>
            </w:pPr>
            <w:r>
              <w:rPr>
                <w:rFonts w:hint="cs"/>
                <w:sz w:val="20"/>
                <w:szCs w:val="20"/>
                <w:rtl/>
              </w:rPr>
              <w:t>27.1</w:t>
            </w:r>
          </w:p>
        </w:tc>
        <w:tc>
          <w:tcPr>
            <w:tcW w:w="920" w:type="dxa"/>
            <w:tcBorders>
              <w:top w:val="nil"/>
              <w:bottom w:val="nil"/>
            </w:tcBorders>
          </w:tcPr>
          <w:p w:rsidR="00443EC1" w:rsidRDefault="00443EC1">
            <w:pPr>
              <w:spacing w:before="0" w:after="0" w:line="300" w:lineRule="exact"/>
              <w:jc w:val="both"/>
              <w:rPr>
                <w:rFonts w:hint="cs"/>
                <w:sz w:val="20"/>
                <w:szCs w:val="20"/>
                <w:rtl/>
              </w:rPr>
            </w:pPr>
            <w:r>
              <w:rPr>
                <w:rFonts w:hint="cs"/>
                <w:sz w:val="20"/>
                <w:szCs w:val="20"/>
                <w:rtl/>
              </w:rPr>
              <w:t>22.4</w:t>
            </w:r>
          </w:p>
        </w:tc>
      </w:tr>
      <w:tr w:rsidR="00443EC1" w:rsidTr="00443EC1">
        <w:tblPrEx>
          <w:tblCellMar>
            <w:top w:w="0" w:type="dxa"/>
            <w:bottom w:w="0" w:type="dxa"/>
          </w:tblCellMar>
        </w:tblPrEx>
        <w:trPr>
          <w:jc w:val="center"/>
        </w:trPr>
        <w:tc>
          <w:tcPr>
            <w:tcW w:w="4120" w:type="dxa"/>
            <w:tcBorders>
              <w:top w:val="nil"/>
              <w:bottom w:val="nil"/>
            </w:tcBorders>
          </w:tcPr>
          <w:p w:rsidR="00443EC1" w:rsidRDefault="00443EC1">
            <w:pPr>
              <w:tabs>
                <w:tab w:val="left" w:pos="191"/>
                <w:tab w:val="left" w:pos="499"/>
              </w:tabs>
              <w:spacing w:before="0" w:after="0" w:line="300" w:lineRule="exact"/>
              <w:jc w:val="both"/>
              <w:rPr>
                <w:szCs w:val="22"/>
                <w:rtl/>
              </w:rPr>
            </w:pPr>
            <w:r>
              <w:rPr>
                <w:szCs w:val="22"/>
                <w:rtl/>
              </w:rPr>
              <w:tab/>
            </w:r>
            <w:r>
              <w:rPr>
                <w:rFonts w:hint="cs"/>
                <w:szCs w:val="22"/>
                <w:rtl/>
              </w:rPr>
              <w:t>-</w:t>
            </w:r>
            <w:r>
              <w:rPr>
                <w:szCs w:val="22"/>
                <w:rtl/>
              </w:rPr>
              <w:tab/>
            </w:r>
            <w:r>
              <w:rPr>
                <w:rFonts w:hint="cs"/>
                <w:szCs w:val="22"/>
                <w:rtl/>
              </w:rPr>
              <w:t>تحسينات أخرى</w:t>
            </w:r>
          </w:p>
        </w:tc>
        <w:tc>
          <w:tcPr>
            <w:tcW w:w="1064" w:type="dxa"/>
            <w:tcBorders>
              <w:top w:val="nil"/>
              <w:bottom w:val="nil"/>
            </w:tcBorders>
          </w:tcPr>
          <w:p w:rsidR="00443EC1" w:rsidRDefault="00443EC1">
            <w:pPr>
              <w:spacing w:before="0" w:after="0" w:line="300" w:lineRule="exact"/>
              <w:jc w:val="both"/>
              <w:rPr>
                <w:rFonts w:hint="cs"/>
                <w:szCs w:val="22"/>
                <w:rtl/>
              </w:rPr>
            </w:pPr>
            <w:r>
              <w:rPr>
                <w:rFonts w:hint="cs"/>
                <w:szCs w:val="22"/>
                <w:rtl/>
              </w:rPr>
              <w:t>بالملايين</w:t>
            </w:r>
          </w:p>
        </w:tc>
        <w:tc>
          <w:tcPr>
            <w:tcW w:w="966" w:type="dxa"/>
            <w:tcBorders>
              <w:top w:val="nil"/>
              <w:bottom w:val="nil"/>
            </w:tcBorders>
          </w:tcPr>
          <w:p w:rsidR="00443EC1" w:rsidRDefault="00443EC1">
            <w:pPr>
              <w:spacing w:before="0" w:after="0" w:line="300" w:lineRule="exact"/>
              <w:jc w:val="both"/>
              <w:rPr>
                <w:rFonts w:hint="cs"/>
                <w:szCs w:val="22"/>
                <w:rtl/>
              </w:rPr>
            </w:pPr>
            <w:r>
              <w:rPr>
                <w:rFonts w:hint="cs"/>
                <w:szCs w:val="22"/>
                <w:rtl/>
              </w:rPr>
              <w:t>198.07</w:t>
            </w:r>
          </w:p>
        </w:tc>
        <w:tc>
          <w:tcPr>
            <w:tcW w:w="980" w:type="dxa"/>
            <w:tcBorders>
              <w:top w:val="nil"/>
              <w:bottom w:val="nil"/>
            </w:tcBorders>
          </w:tcPr>
          <w:p w:rsidR="00443EC1" w:rsidRDefault="00443EC1">
            <w:pPr>
              <w:spacing w:before="0" w:after="0" w:line="300" w:lineRule="exact"/>
              <w:jc w:val="both"/>
              <w:rPr>
                <w:rFonts w:hint="cs"/>
                <w:szCs w:val="22"/>
                <w:rtl/>
              </w:rPr>
            </w:pPr>
            <w:r>
              <w:rPr>
                <w:rFonts w:hint="cs"/>
                <w:szCs w:val="22"/>
                <w:rtl/>
              </w:rPr>
              <w:t>204.22</w:t>
            </w:r>
          </w:p>
        </w:tc>
        <w:tc>
          <w:tcPr>
            <w:tcW w:w="896" w:type="dxa"/>
            <w:tcBorders>
              <w:top w:val="nil"/>
              <w:bottom w:val="nil"/>
            </w:tcBorders>
          </w:tcPr>
          <w:p w:rsidR="00443EC1" w:rsidRDefault="00443EC1">
            <w:pPr>
              <w:spacing w:before="0" w:after="0" w:line="300" w:lineRule="exact"/>
              <w:jc w:val="both"/>
              <w:rPr>
                <w:rFonts w:hint="cs"/>
                <w:sz w:val="20"/>
                <w:szCs w:val="20"/>
                <w:rtl/>
              </w:rPr>
            </w:pPr>
            <w:r>
              <w:rPr>
                <w:rFonts w:hint="cs"/>
                <w:sz w:val="20"/>
                <w:szCs w:val="20"/>
                <w:rtl/>
              </w:rPr>
              <w:t>205.65</w:t>
            </w:r>
          </w:p>
        </w:tc>
        <w:tc>
          <w:tcPr>
            <w:tcW w:w="882" w:type="dxa"/>
            <w:tcBorders>
              <w:top w:val="nil"/>
              <w:bottom w:val="nil"/>
            </w:tcBorders>
          </w:tcPr>
          <w:p w:rsidR="00443EC1" w:rsidRDefault="00443EC1">
            <w:pPr>
              <w:spacing w:before="0" w:after="0" w:line="300" w:lineRule="exact"/>
              <w:jc w:val="both"/>
              <w:rPr>
                <w:rFonts w:hint="cs"/>
                <w:sz w:val="20"/>
                <w:szCs w:val="20"/>
                <w:rtl/>
              </w:rPr>
            </w:pPr>
            <w:r>
              <w:rPr>
                <w:rFonts w:hint="cs"/>
                <w:sz w:val="20"/>
                <w:szCs w:val="20"/>
                <w:rtl/>
              </w:rPr>
              <w:t>205.42</w:t>
            </w:r>
          </w:p>
        </w:tc>
        <w:tc>
          <w:tcPr>
            <w:tcW w:w="920" w:type="dxa"/>
            <w:tcBorders>
              <w:top w:val="nil"/>
              <w:bottom w:val="nil"/>
            </w:tcBorders>
          </w:tcPr>
          <w:p w:rsidR="00443EC1" w:rsidRDefault="00443EC1">
            <w:pPr>
              <w:spacing w:before="0" w:after="0" w:line="300" w:lineRule="exact"/>
              <w:jc w:val="both"/>
              <w:rPr>
                <w:rFonts w:hint="cs"/>
                <w:sz w:val="20"/>
                <w:szCs w:val="20"/>
                <w:rtl/>
              </w:rPr>
            </w:pPr>
            <w:r>
              <w:rPr>
                <w:rFonts w:hint="cs"/>
                <w:sz w:val="20"/>
                <w:szCs w:val="20"/>
                <w:rtl/>
              </w:rPr>
              <w:t>127.53</w:t>
            </w:r>
          </w:p>
        </w:tc>
      </w:tr>
      <w:tr w:rsidR="00443EC1" w:rsidTr="00443EC1">
        <w:tblPrEx>
          <w:tblCellMar>
            <w:top w:w="0" w:type="dxa"/>
            <w:bottom w:w="0" w:type="dxa"/>
          </w:tblCellMar>
        </w:tblPrEx>
        <w:trPr>
          <w:jc w:val="center"/>
        </w:trPr>
        <w:tc>
          <w:tcPr>
            <w:tcW w:w="4120" w:type="dxa"/>
            <w:tcBorders>
              <w:top w:val="nil"/>
              <w:bottom w:val="single" w:sz="4" w:space="0" w:color="auto"/>
            </w:tcBorders>
          </w:tcPr>
          <w:p w:rsidR="00443EC1" w:rsidRDefault="00443EC1">
            <w:pPr>
              <w:tabs>
                <w:tab w:val="left" w:pos="191"/>
                <w:tab w:val="left" w:pos="625"/>
              </w:tabs>
              <w:spacing w:before="0" w:after="0" w:line="300" w:lineRule="exact"/>
              <w:jc w:val="both"/>
              <w:rPr>
                <w:szCs w:val="22"/>
                <w:rtl/>
              </w:rPr>
            </w:pPr>
            <w:r>
              <w:rPr>
                <w:szCs w:val="22"/>
                <w:rtl/>
              </w:rPr>
              <w:tab/>
            </w:r>
            <w:r>
              <w:rPr>
                <w:szCs w:val="22"/>
                <w:rtl/>
              </w:rPr>
              <w:tab/>
            </w:r>
            <w:r>
              <w:rPr>
                <w:rFonts w:hint="cs"/>
                <w:szCs w:val="22"/>
                <w:rtl/>
              </w:rPr>
              <w:t>كنسبة مئوية من عدد السكان الإجمالي</w:t>
            </w:r>
          </w:p>
        </w:tc>
        <w:tc>
          <w:tcPr>
            <w:tcW w:w="1064" w:type="dxa"/>
            <w:tcBorders>
              <w:top w:val="nil"/>
              <w:bottom w:val="single" w:sz="4" w:space="0" w:color="auto"/>
            </w:tcBorders>
          </w:tcPr>
          <w:p w:rsidR="00443EC1" w:rsidRDefault="00443EC1">
            <w:pPr>
              <w:spacing w:before="0" w:after="0" w:line="300" w:lineRule="exact"/>
              <w:jc w:val="both"/>
              <w:rPr>
                <w:rFonts w:hint="cs"/>
                <w:szCs w:val="22"/>
                <w:rtl/>
              </w:rPr>
            </w:pPr>
            <w:r>
              <w:rPr>
                <w:rFonts w:hint="cs"/>
                <w:szCs w:val="22"/>
                <w:rtl/>
              </w:rPr>
              <w:t>بالنسبة المئوية</w:t>
            </w:r>
          </w:p>
        </w:tc>
        <w:tc>
          <w:tcPr>
            <w:tcW w:w="966" w:type="dxa"/>
            <w:tcBorders>
              <w:top w:val="nil"/>
              <w:bottom w:val="single" w:sz="4" w:space="0" w:color="auto"/>
            </w:tcBorders>
          </w:tcPr>
          <w:p w:rsidR="00443EC1" w:rsidRDefault="00443EC1">
            <w:pPr>
              <w:spacing w:before="0" w:after="0" w:line="300" w:lineRule="exact"/>
              <w:jc w:val="both"/>
              <w:rPr>
                <w:rFonts w:hint="cs"/>
                <w:szCs w:val="22"/>
                <w:rtl/>
              </w:rPr>
            </w:pPr>
            <w:r>
              <w:rPr>
                <w:rFonts w:hint="cs"/>
                <w:szCs w:val="22"/>
                <w:rtl/>
              </w:rPr>
              <w:t>38.8</w:t>
            </w:r>
          </w:p>
        </w:tc>
        <w:tc>
          <w:tcPr>
            <w:tcW w:w="980" w:type="dxa"/>
            <w:tcBorders>
              <w:top w:val="nil"/>
              <w:bottom w:val="single" w:sz="4" w:space="0" w:color="auto"/>
            </w:tcBorders>
          </w:tcPr>
          <w:p w:rsidR="00443EC1" w:rsidRDefault="00443EC1">
            <w:pPr>
              <w:spacing w:before="0" w:after="0" w:line="300" w:lineRule="exact"/>
              <w:jc w:val="both"/>
              <w:rPr>
                <w:rFonts w:hint="cs"/>
                <w:szCs w:val="22"/>
                <w:rtl/>
              </w:rPr>
            </w:pPr>
            <w:r>
              <w:rPr>
                <w:rFonts w:hint="cs"/>
                <w:szCs w:val="22"/>
                <w:rtl/>
              </w:rPr>
              <w:t>33.2</w:t>
            </w:r>
          </w:p>
        </w:tc>
        <w:tc>
          <w:tcPr>
            <w:tcW w:w="896" w:type="dxa"/>
            <w:tcBorders>
              <w:top w:val="nil"/>
              <w:bottom w:val="single" w:sz="4" w:space="0" w:color="auto"/>
            </w:tcBorders>
          </w:tcPr>
          <w:p w:rsidR="00443EC1" w:rsidRDefault="00443EC1">
            <w:pPr>
              <w:spacing w:before="0" w:after="0" w:line="300" w:lineRule="exact"/>
              <w:jc w:val="both"/>
              <w:rPr>
                <w:rFonts w:hint="cs"/>
                <w:sz w:val="20"/>
                <w:szCs w:val="20"/>
                <w:rtl/>
              </w:rPr>
            </w:pPr>
            <w:r>
              <w:rPr>
                <w:rFonts w:hint="cs"/>
                <w:sz w:val="20"/>
                <w:szCs w:val="20"/>
                <w:rtl/>
              </w:rPr>
              <w:t>29.1</w:t>
            </w:r>
          </w:p>
        </w:tc>
        <w:tc>
          <w:tcPr>
            <w:tcW w:w="882" w:type="dxa"/>
            <w:tcBorders>
              <w:top w:val="nil"/>
              <w:bottom w:val="single" w:sz="4" w:space="0" w:color="auto"/>
            </w:tcBorders>
          </w:tcPr>
          <w:p w:rsidR="00443EC1" w:rsidRDefault="00443EC1">
            <w:pPr>
              <w:spacing w:before="0" w:after="0" w:line="300" w:lineRule="exact"/>
              <w:jc w:val="both"/>
              <w:rPr>
                <w:rFonts w:hint="cs"/>
                <w:sz w:val="20"/>
                <w:szCs w:val="20"/>
                <w:rtl/>
              </w:rPr>
            </w:pPr>
            <w:r>
              <w:rPr>
                <w:rFonts w:hint="cs"/>
                <w:sz w:val="20"/>
                <w:szCs w:val="20"/>
                <w:rtl/>
              </w:rPr>
              <w:t>27.0</w:t>
            </w:r>
          </w:p>
        </w:tc>
        <w:tc>
          <w:tcPr>
            <w:tcW w:w="920" w:type="dxa"/>
            <w:tcBorders>
              <w:top w:val="nil"/>
              <w:bottom w:val="single" w:sz="4" w:space="0" w:color="auto"/>
            </w:tcBorders>
          </w:tcPr>
          <w:p w:rsidR="00443EC1" w:rsidRDefault="00443EC1">
            <w:pPr>
              <w:spacing w:before="0" w:after="0" w:line="300" w:lineRule="exact"/>
              <w:jc w:val="both"/>
              <w:rPr>
                <w:rFonts w:hint="cs"/>
                <w:sz w:val="20"/>
                <w:szCs w:val="20"/>
                <w:rtl/>
              </w:rPr>
            </w:pPr>
            <w:r>
              <w:rPr>
                <w:rFonts w:hint="cs"/>
                <w:sz w:val="20"/>
                <w:szCs w:val="20"/>
                <w:rtl/>
              </w:rPr>
              <w:t>14.8</w:t>
            </w:r>
          </w:p>
        </w:tc>
      </w:tr>
    </w:tbl>
    <w:p w:rsidR="00000000" w:rsidRDefault="00443EC1">
      <w:pPr>
        <w:spacing w:before="120" w:after="0" w:line="340" w:lineRule="exact"/>
        <w:jc w:val="both"/>
        <w:rPr>
          <w:rFonts w:hint="cs"/>
          <w:sz w:val="26"/>
          <w:szCs w:val="28"/>
          <w:rtl/>
        </w:rPr>
      </w:pPr>
      <w:r>
        <w:rPr>
          <w:rFonts w:hint="cs"/>
          <w:sz w:val="26"/>
          <w:szCs w:val="28"/>
          <w:rtl/>
        </w:rPr>
        <w:tab/>
      </w:r>
      <w:r>
        <w:rPr>
          <w:rFonts w:hint="cs"/>
          <w:i/>
          <w:iCs/>
          <w:sz w:val="26"/>
          <w:szCs w:val="28"/>
          <w:rtl/>
        </w:rPr>
        <w:t>المصدر</w:t>
      </w:r>
      <w:r>
        <w:rPr>
          <w:rFonts w:hint="cs"/>
          <w:sz w:val="26"/>
          <w:szCs w:val="28"/>
          <w:rtl/>
        </w:rPr>
        <w:t>: وزارة الصحة</w:t>
      </w:r>
      <w:r>
        <w:rPr>
          <w:rFonts w:hint="cs"/>
          <w:sz w:val="26"/>
          <w:szCs w:val="28"/>
          <w:rtl/>
        </w:rPr>
        <w:t>.</w:t>
      </w:r>
    </w:p>
    <w:p w:rsidR="00000000" w:rsidRDefault="00443EC1">
      <w:pPr>
        <w:spacing w:before="0" w:after="0" w:line="340" w:lineRule="exact"/>
        <w:jc w:val="both"/>
        <w:rPr>
          <w:rFonts w:hint="cs"/>
          <w:sz w:val="26"/>
          <w:szCs w:val="28"/>
          <w:rtl/>
        </w:rPr>
      </w:pPr>
      <w:r>
        <w:rPr>
          <w:rFonts w:hint="cs"/>
          <w:sz w:val="24"/>
          <w:szCs w:val="26"/>
          <w:rtl/>
        </w:rPr>
        <w:tab/>
      </w:r>
      <w:r>
        <w:rPr>
          <w:rFonts w:hint="cs"/>
          <w:sz w:val="26"/>
          <w:szCs w:val="28"/>
          <w:rtl/>
        </w:rPr>
        <w:t>ملاحظة: جميع الأرقام مجاميع تراكمية.</w:t>
      </w:r>
    </w:p>
    <w:p w:rsidR="00000000" w:rsidRDefault="00443EC1">
      <w:pPr>
        <w:spacing w:after="120" w:line="340" w:lineRule="exact"/>
        <w:jc w:val="center"/>
        <w:rPr>
          <w:rFonts w:hint="cs"/>
          <w:b/>
          <w:bCs/>
          <w:rtl/>
        </w:rPr>
      </w:pPr>
      <w:r>
        <w:rPr>
          <w:rFonts w:hint="cs"/>
          <w:b/>
          <w:bCs/>
          <w:rtl/>
        </w:rPr>
        <w:t>الجدول 18</w:t>
      </w:r>
    </w:p>
    <w:p w:rsidR="00000000" w:rsidRDefault="00443EC1">
      <w:pPr>
        <w:spacing w:before="120" w:after="120" w:line="340" w:lineRule="exact"/>
        <w:jc w:val="center"/>
        <w:rPr>
          <w:rFonts w:hint="cs"/>
          <w:b/>
          <w:bCs/>
          <w:rtl/>
        </w:rPr>
      </w:pPr>
      <w:r>
        <w:rPr>
          <w:rFonts w:hint="cs"/>
          <w:b/>
          <w:bCs/>
          <w:rtl/>
        </w:rPr>
        <w:t>معدلات التلقيح على الصعيد الوطني ومعدلات الإصابة بالأمراض ذات الصلة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1"/>
        <w:gridCol w:w="812"/>
        <w:gridCol w:w="826"/>
        <w:gridCol w:w="868"/>
        <w:gridCol w:w="1049"/>
        <w:gridCol w:w="1148"/>
        <w:gridCol w:w="1960"/>
        <w:gridCol w:w="1106"/>
        <w:gridCol w:w="850"/>
      </w:tblGrid>
      <w:tr w:rsidR="00443EC1" w:rsidTr="00443EC1">
        <w:tblPrEx>
          <w:tblCellMar>
            <w:top w:w="0" w:type="dxa"/>
            <w:bottom w:w="0" w:type="dxa"/>
          </w:tblCellMar>
        </w:tblPrEx>
        <w:trPr>
          <w:cantSplit/>
          <w:jc w:val="center"/>
        </w:trPr>
        <w:tc>
          <w:tcPr>
            <w:tcW w:w="951" w:type="dxa"/>
            <w:tcBorders>
              <w:bottom w:val="single" w:sz="4" w:space="0" w:color="auto"/>
            </w:tcBorders>
          </w:tcPr>
          <w:p w:rsidR="00443EC1" w:rsidRDefault="00443EC1">
            <w:pPr>
              <w:spacing w:before="0" w:after="0" w:line="260" w:lineRule="exact"/>
              <w:jc w:val="center"/>
              <w:rPr>
                <w:rStyle w:val="FootnoteReference"/>
                <w:szCs w:val="26"/>
              </w:rPr>
            </w:pPr>
          </w:p>
        </w:tc>
        <w:tc>
          <w:tcPr>
            <w:tcW w:w="3555" w:type="dxa"/>
            <w:gridSpan w:val="4"/>
            <w:tcBorders>
              <w:bottom w:val="single" w:sz="4" w:space="0" w:color="auto"/>
            </w:tcBorders>
          </w:tcPr>
          <w:p w:rsidR="00443EC1" w:rsidRDefault="00443EC1">
            <w:pPr>
              <w:spacing w:before="0" w:after="0" w:line="260" w:lineRule="exact"/>
              <w:jc w:val="center"/>
              <w:rPr>
                <w:rStyle w:val="FootnoteReference"/>
                <w:rFonts w:hint="cs"/>
                <w:szCs w:val="26"/>
              </w:rPr>
            </w:pPr>
            <w:r>
              <w:rPr>
                <w:rFonts w:hint="cs"/>
                <w:szCs w:val="26"/>
                <w:rtl/>
              </w:rPr>
              <w:t>معدل الإصابات (1/000 100)</w:t>
            </w:r>
          </w:p>
        </w:tc>
        <w:tc>
          <w:tcPr>
            <w:tcW w:w="5064" w:type="dxa"/>
            <w:gridSpan w:val="4"/>
            <w:tcBorders>
              <w:bottom w:val="single" w:sz="4" w:space="0" w:color="auto"/>
            </w:tcBorders>
          </w:tcPr>
          <w:p w:rsidR="00443EC1" w:rsidRDefault="00443EC1">
            <w:pPr>
              <w:spacing w:before="0" w:after="0" w:line="260" w:lineRule="exact"/>
              <w:jc w:val="center"/>
              <w:rPr>
                <w:rStyle w:val="FootnoteReference"/>
                <w:rFonts w:hint="cs"/>
                <w:szCs w:val="26"/>
              </w:rPr>
            </w:pPr>
            <w:r>
              <w:rPr>
                <w:rFonts w:hint="cs"/>
                <w:szCs w:val="26"/>
                <w:rtl/>
              </w:rPr>
              <w:t>معدل التلقيح حتى بلوغ 12 شهراً من العمر (نسبة مئوية)</w:t>
            </w:r>
          </w:p>
        </w:tc>
      </w:tr>
      <w:tr w:rsidR="00443EC1" w:rsidTr="00443EC1">
        <w:tblPrEx>
          <w:tblCellMar>
            <w:top w:w="0" w:type="dxa"/>
            <w:bottom w:w="0" w:type="dxa"/>
          </w:tblCellMar>
        </w:tblPrEx>
        <w:trPr>
          <w:jc w:val="center"/>
        </w:trPr>
        <w:tc>
          <w:tcPr>
            <w:tcW w:w="951" w:type="dxa"/>
            <w:tcBorders>
              <w:bottom w:val="single" w:sz="4" w:space="0" w:color="auto"/>
            </w:tcBorders>
          </w:tcPr>
          <w:p w:rsidR="00443EC1" w:rsidRDefault="00443EC1">
            <w:pPr>
              <w:spacing w:before="0" w:after="0" w:line="260" w:lineRule="exact"/>
              <w:jc w:val="center"/>
              <w:rPr>
                <w:rStyle w:val="FootnoteReference"/>
                <w:rFonts w:hint="cs"/>
                <w:bCs w:val="0"/>
                <w:szCs w:val="26"/>
                <w:vertAlign w:val="baseline"/>
              </w:rPr>
            </w:pPr>
          </w:p>
        </w:tc>
        <w:tc>
          <w:tcPr>
            <w:tcW w:w="812" w:type="dxa"/>
            <w:tcBorders>
              <w:bottom w:val="single" w:sz="4" w:space="0" w:color="auto"/>
            </w:tcBorders>
            <w:vAlign w:val="bottom"/>
          </w:tcPr>
          <w:p w:rsidR="00443EC1" w:rsidRDefault="00443EC1">
            <w:pPr>
              <w:spacing w:before="0" w:after="0" w:line="260" w:lineRule="exact"/>
              <w:jc w:val="center"/>
              <w:rPr>
                <w:rStyle w:val="FootnoteReference"/>
                <w:rFonts w:hint="cs"/>
                <w:sz w:val="20"/>
                <w:szCs w:val="24"/>
                <w:vertAlign w:val="baseline"/>
              </w:rPr>
            </w:pPr>
            <w:r>
              <w:rPr>
                <w:rFonts w:hint="cs"/>
                <w:sz w:val="20"/>
                <w:szCs w:val="24"/>
                <w:rtl/>
              </w:rPr>
              <w:t>الدفتريا</w:t>
            </w:r>
          </w:p>
        </w:tc>
        <w:tc>
          <w:tcPr>
            <w:tcW w:w="826" w:type="dxa"/>
            <w:tcBorders>
              <w:bottom w:val="single" w:sz="4" w:space="0" w:color="auto"/>
            </w:tcBorders>
            <w:vAlign w:val="bottom"/>
          </w:tcPr>
          <w:p w:rsidR="00443EC1" w:rsidRDefault="00443EC1">
            <w:pPr>
              <w:spacing w:before="0" w:after="0" w:line="260" w:lineRule="exact"/>
              <w:jc w:val="center"/>
              <w:rPr>
                <w:rStyle w:val="FootnoteReference"/>
                <w:rFonts w:hint="cs"/>
                <w:sz w:val="20"/>
                <w:szCs w:val="24"/>
                <w:vertAlign w:val="baseline"/>
              </w:rPr>
            </w:pPr>
            <w:r>
              <w:rPr>
                <w:rFonts w:hint="cs"/>
                <w:sz w:val="20"/>
                <w:szCs w:val="24"/>
                <w:rtl/>
              </w:rPr>
              <w:t>السعال الديكي</w:t>
            </w:r>
          </w:p>
        </w:tc>
        <w:tc>
          <w:tcPr>
            <w:tcW w:w="868" w:type="dxa"/>
            <w:tcBorders>
              <w:bottom w:val="single" w:sz="4" w:space="0" w:color="auto"/>
            </w:tcBorders>
            <w:vAlign w:val="bottom"/>
          </w:tcPr>
          <w:p w:rsidR="00443EC1" w:rsidRDefault="00443EC1">
            <w:pPr>
              <w:spacing w:before="0" w:after="0" w:line="260" w:lineRule="exact"/>
              <w:jc w:val="center"/>
              <w:rPr>
                <w:rStyle w:val="FootnoteReference"/>
                <w:rFonts w:hint="cs"/>
                <w:sz w:val="20"/>
                <w:szCs w:val="24"/>
                <w:vertAlign w:val="baseline"/>
              </w:rPr>
            </w:pPr>
            <w:r>
              <w:rPr>
                <w:rFonts w:hint="cs"/>
                <w:sz w:val="20"/>
                <w:szCs w:val="24"/>
                <w:rtl/>
              </w:rPr>
              <w:t>شلل الأطفال</w:t>
            </w:r>
          </w:p>
        </w:tc>
        <w:tc>
          <w:tcPr>
            <w:tcW w:w="1049" w:type="dxa"/>
            <w:tcBorders>
              <w:bottom w:val="single" w:sz="4" w:space="0" w:color="auto"/>
            </w:tcBorders>
            <w:vAlign w:val="bottom"/>
          </w:tcPr>
          <w:p w:rsidR="00443EC1" w:rsidRDefault="00443EC1">
            <w:pPr>
              <w:spacing w:before="0" w:after="0" w:line="260" w:lineRule="exact"/>
              <w:jc w:val="center"/>
              <w:rPr>
                <w:rStyle w:val="FootnoteReference"/>
                <w:rFonts w:hint="cs"/>
                <w:sz w:val="20"/>
                <w:szCs w:val="24"/>
                <w:vertAlign w:val="baseline"/>
              </w:rPr>
            </w:pPr>
            <w:r>
              <w:rPr>
                <w:rFonts w:hint="cs"/>
                <w:sz w:val="20"/>
                <w:szCs w:val="24"/>
                <w:rtl/>
              </w:rPr>
              <w:t>الحصبة</w:t>
            </w:r>
          </w:p>
        </w:tc>
        <w:tc>
          <w:tcPr>
            <w:tcW w:w="1148" w:type="dxa"/>
            <w:tcBorders>
              <w:bottom w:val="single" w:sz="4" w:space="0" w:color="auto"/>
            </w:tcBorders>
            <w:vAlign w:val="bottom"/>
          </w:tcPr>
          <w:p w:rsidR="00443EC1" w:rsidRDefault="00443EC1">
            <w:pPr>
              <w:spacing w:before="0" w:after="0" w:line="260" w:lineRule="exact"/>
              <w:jc w:val="center"/>
              <w:rPr>
                <w:rStyle w:val="FootnoteReference"/>
                <w:rFonts w:hint="cs"/>
                <w:sz w:val="20"/>
                <w:szCs w:val="24"/>
                <w:vertAlign w:val="baseline"/>
              </w:rPr>
            </w:pPr>
            <w:r>
              <w:rPr>
                <w:rFonts w:hint="cs"/>
                <w:sz w:val="20"/>
                <w:szCs w:val="24"/>
                <w:rtl/>
              </w:rPr>
              <w:t>لقاح ضد مرض التدرن</w:t>
            </w:r>
          </w:p>
        </w:tc>
        <w:tc>
          <w:tcPr>
            <w:tcW w:w="1960" w:type="dxa"/>
            <w:tcBorders>
              <w:bottom w:val="single" w:sz="4" w:space="0" w:color="auto"/>
            </w:tcBorders>
            <w:vAlign w:val="bottom"/>
          </w:tcPr>
          <w:p w:rsidR="00443EC1" w:rsidRDefault="00443EC1">
            <w:pPr>
              <w:spacing w:before="0" w:after="0" w:line="260" w:lineRule="exact"/>
              <w:jc w:val="center"/>
              <w:rPr>
                <w:rStyle w:val="FootnoteReference"/>
                <w:rFonts w:hint="cs"/>
                <w:sz w:val="20"/>
                <w:szCs w:val="24"/>
                <w:vertAlign w:val="baseline"/>
              </w:rPr>
            </w:pPr>
            <w:r>
              <w:rPr>
                <w:rFonts w:hint="cs"/>
                <w:sz w:val="20"/>
                <w:szCs w:val="24"/>
                <w:rtl/>
              </w:rPr>
              <w:t>لقاح ضد الدفتريا والسعال الديكي والكزاز</w:t>
            </w:r>
          </w:p>
        </w:tc>
        <w:tc>
          <w:tcPr>
            <w:tcW w:w="1106" w:type="dxa"/>
            <w:tcBorders>
              <w:bottom w:val="single" w:sz="4" w:space="0" w:color="auto"/>
            </w:tcBorders>
            <w:vAlign w:val="bottom"/>
          </w:tcPr>
          <w:p w:rsidR="00443EC1" w:rsidRDefault="00443EC1">
            <w:pPr>
              <w:spacing w:before="0" w:after="0" w:line="260" w:lineRule="exact"/>
              <w:jc w:val="center"/>
              <w:rPr>
                <w:rStyle w:val="FootnoteReference"/>
                <w:rFonts w:hint="cs"/>
                <w:sz w:val="20"/>
                <w:szCs w:val="24"/>
                <w:vertAlign w:val="baseline"/>
              </w:rPr>
            </w:pPr>
            <w:r>
              <w:rPr>
                <w:rFonts w:hint="cs"/>
                <w:sz w:val="20"/>
                <w:szCs w:val="24"/>
                <w:rtl/>
              </w:rPr>
              <w:t>لقاح ضد شلل الأطفال</w:t>
            </w:r>
          </w:p>
        </w:tc>
        <w:tc>
          <w:tcPr>
            <w:tcW w:w="850" w:type="dxa"/>
            <w:tcBorders>
              <w:bottom w:val="single" w:sz="4" w:space="0" w:color="auto"/>
            </w:tcBorders>
            <w:vAlign w:val="bottom"/>
          </w:tcPr>
          <w:p w:rsidR="00443EC1" w:rsidRDefault="00443EC1">
            <w:pPr>
              <w:spacing w:before="0" w:after="0" w:line="260" w:lineRule="exact"/>
              <w:jc w:val="center"/>
              <w:rPr>
                <w:rStyle w:val="FootnoteReference"/>
                <w:rFonts w:hint="cs"/>
                <w:sz w:val="20"/>
                <w:szCs w:val="24"/>
                <w:vertAlign w:val="baseline"/>
              </w:rPr>
            </w:pPr>
            <w:r>
              <w:rPr>
                <w:rFonts w:hint="cs"/>
                <w:sz w:val="20"/>
                <w:szCs w:val="24"/>
                <w:rtl/>
              </w:rPr>
              <w:t>لقاح ضد الحصبة</w:t>
            </w:r>
          </w:p>
        </w:tc>
      </w:tr>
      <w:tr w:rsidR="00443EC1" w:rsidTr="00443EC1">
        <w:tblPrEx>
          <w:tblCellMar>
            <w:top w:w="0" w:type="dxa"/>
            <w:bottom w:w="0" w:type="dxa"/>
          </w:tblCellMar>
        </w:tblPrEx>
        <w:trPr>
          <w:jc w:val="center"/>
        </w:trPr>
        <w:tc>
          <w:tcPr>
            <w:tcW w:w="951" w:type="dxa"/>
            <w:tcBorders>
              <w:top w:val="single" w:sz="4" w:space="0" w:color="auto"/>
              <w:bottom w:val="nil"/>
            </w:tcBorders>
          </w:tcPr>
          <w:p w:rsidR="00443EC1" w:rsidRDefault="00443EC1">
            <w:pPr>
              <w:spacing w:before="0" w:after="0" w:line="260" w:lineRule="exact"/>
              <w:jc w:val="center"/>
              <w:rPr>
                <w:rFonts w:hint="cs"/>
                <w:szCs w:val="26"/>
                <w:rtl/>
              </w:rPr>
            </w:pPr>
            <w:r>
              <w:rPr>
                <w:rFonts w:hint="cs"/>
                <w:szCs w:val="26"/>
                <w:rtl/>
              </w:rPr>
              <w:t>1980</w:t>
            </w:r>
          </w:p>
        </w:tc>
        <w:tc>
          <w:tcPr>
            <w:tcW w:w="812" w:type="dxa"/>
            <w:tcBorders>
              <w:top w:val="single" w:sz="4" w:space="0" w:color="auto"/>
              <w:bottom w:val="nil"/>
            </w:tcBorders>
          </w:tcPr>
          <w:p w:rsidR="00443EC1" w:rsidRDefault="00443EC1">
            <w:pPr>
              <w:spacing w:before="0" w:after="0" w:line="260" w:lineRule="exact"/>
              <w:jc w:val="center"/>
              <w:rPr>
                <w:rStyle w:val="FootnoteReference"/>
                <w:rFonts w:hint="cs"/>
                <w:bCs w:val="0"/>
                <w:szCs w:val="26"/>
                <w:vertAlign w:val="baseline"/>
              </w:rPr>
            </w:pPr>
            <w:r>
              <w:rPr>
                <w:rFonts w:hint="cs"/>
                <w:szCs w:val="26"/>
                <w:rtl/>
              </w:rPr>
              <w:t>1.00</w:t>
            </w:r>
          </w:p>
        </w:tc>
        <w:tc>
          <w:tcPr>
            <w:tcW w:w="826" w:type="dxa"/>
            <w:tcBorders>
              <w:top w:val="single" w:sz="4" w:space="0" w:color="auto"/>
              <w:bottom w:val="nil"/>
            </w:tcBorders>
          </w:tcPr>
          <w:p w:rsidR="00443EC1" w:rsidRDefault="00443EC1">
            <w:pPr>
              <w:spacing w:before="0" w:after="0" w:line="260" w:lineRule="exact"/>
              <w:jc w:val="both"/>
              <w:rPr>
                <w:rStyle w:val="FootnoteReference"/>
                <w:rFonts w:hint="cs"/>
                <w:bCs w:val="0"/>
                <w:szCs w:val="26"/>
                <w:vertAlign w:val="baseline"/>
              </w:rPr>
            </w:pPr>
            <w:r>
              <w:rPr>
                <w:rFonts w:hint="cs"/>
                <w:szCs w:val="26"/>
                <w:rtl/>
              </w:rPr>
              <w:t>62.82</w:t>
            </w:r>
          </w:p>
        </w:tc>
        <w:tc>
          <w:tcPr>
            <w:tcW w:w="868" w:type="dxa"/>
            <w:tcBorders>
              <w:top w:val="single" w:sz="4" w:space="0" w:color="auto"/>
              <w:bottom w:val="nil"/>
            </w:tcBorders>
          </w:tcPr>
          <w:p w:rsidR="00443EC1" w:rsidRDefault="00443EC1">
            <w:pPr>
              <w:spacing w:before="0" w:after="0" w:line="260" w:lineRule="exact"/>
              <w:jc w:val="center"/>
              <w:rPr>
                <w:rStyle w:val="FootnoteReference"/>
                <w:rFonts w:hint="cs"/>
                <w:bCs w:val="0"/>
                <w:szCs w:val="26"/>
                <w:vertAlign w:val="baseline"/>
              </w:rPr>
            </w:pPr>
            <w:r>
              <w:rPr>
                <w:rFonts w:hint="cs"/>
                <w:szCs w:val="26"/>
                <w:rtl/>
              </w:rPr>
              <w:t>0.76</w:t>
            </w:r>
          </w:p>
        </w:tc>
        <w:tc>
          <w:tcPr>
            <w:tcW w:w="1049" w:type="dxa"/>
            <w:tcBorders>
              <w:top w:val="single" w:sz="4" w:space="0" w:color="auto"/>
              <w:bottom w:val="nil"/>
            </w:tcBorders>
          </w:tcPr>
          <w:p w:rsidR="00443EC1" w:rsidRDefault="00443EC1">
            <w:pPr>
              <w:spacing w:before="0" w:after="0" w:line="260" w:lineRule="exact"/>
              <w:ind w:left="113"/>
              <w:jc w:val="both"/>
              <w:rPr>
                <w:rStyle w:val="FootnoteReference"/>
                <w:rFonts w:hint="cs"/>
                <w:bCs w:val="0"/>
                <w:szCs w:val="26"/>
                <w:vertAlign w:val="baseline"/>
              </w:rPr>
            </w:pPr>
            <w:r>
              <w:rPr>
                <w:rFonts w:hint="cs"/>
                <w:szCs w:val="26"/>
                <w:rtl/>
              </w:rPr>
              <w:t>114.88</w:t>
            </w:r>
          </w:p>
        </w:tc>
        <w:tc>
          <w:tcPr>
            <w:tcW w:w="1148" w:type="dxa"/>
            <w:tcBorders>
              <w:top w:val="single" w:sz="4" w:space="0" w:color="auto"/>
              <w:bottom w:val="nil"/>
            </w:tcBorders>
          </w:tcPr>
          <w:p w:rsidR="00443EC1" w:rsidRDefault="00443EC1">
            <w:pPr>
              <w:spacing w:before="0" w:after="0" w:line="260" w:lineRule="exact"/>
              <w:ind w:left="227" w:firstLine="181"/>
              <w:jc w:val="both"/>
              <w:rPr>
                <w:rStyle w:val="FootnoteReference"/>
                <w:rFonts w:hint="cs"/>
                <w:bCs w:val="0"/>
                <w:szCs w:val="26"/>
                <w:vertAlign w:val="baseline"/>
              </w:rPr>
            </w:pPr>
            <w:r>
              <w:rPr>
                <w:rFonts w:hint="cs"/>
                <w:szCs w:val="26"/>
                <w:rtl/>
              </w:rPr>
              <w:t>...</w:t>
            </w:r>
          </w:p>
        </w:tc>
        <w:tc>
          <w:tcPr>
            <w:tcW w:w="1960" w:type="dxa"/>
            <w:tcBorders>
              <w:top w:val="single" w:sz="4" w:space="0" w:color="auto"/>
              <w:bottom w:val="nil"/>
            </w:tcBorders>
          </w:tcPr>
          <w:p w:rsidR="00443EC1" w:rsidRDefault="00443EC1">
            <w:pPr>
              <w:spacing w:before="0" w:after="0" w:line="260" w:lineRule="exact"/>
              <w:ind w:firstLine="528"/>
              <w:jc w:val="both"/>
              <w:rPr>
                <w:rStyle w:val="FootnoteReference"/>
                <w:rFonts w:hint="cs"/>
                <w:bCs w:val="0"/>
                <w:szCs w:val="26"/>
                <w:vertAlign w:val="baseline"/>
              </w:rPr>
            </w:pPr>
            <w:r>
              <w:rPr>
                <w:rFonts w:hint="cs"/>
                <w:szCs w:val="26"/>
                <w:rtl/>
              </w:rPr>
              <w:t>...</w:t>
            </w:r>
          </w:p>
        </w:tc>
        <w:tc>
          <w:tcPr>
            <w:tcW w:w="1106" w:type="dxa"/>
            <w:tcBorders>
              <w:top w:val="single" w:sz="4" w:space="0" w:color="auto"/>
              <w:bottom w:val="nil"/>
            </w:tcBorders>
          </w:tcPr>
          <w:p w:rsidR="00443EC1" w:rsidRDefault="00443EC1">
            <w:pPr>
              <w:spacing w:before="0" w:after="0" w:line="260" w:lineRule="exact"/>
              <w:ind w:left="227" w:firstLine="147"/>
              <w:jc w:val="both"/>
              <w:rPr>
                <w:rStyle w:val="FootnoteReference"/>
                <w:rFonts w:hint="cs"/>
                <w:bCs w:val="0"/>
                <w:szCs w:val="26"/>
                <w:vertAlign w:val="baseline"/>
              </w:rPr>
            </w:pPr>
            <w:r>
              <w:rPr>
                <w:rFonts w:hint="cs"/>
                <w:szCs w:val="26"/>
                <w:rtl/>
              </w:rPr>
              <w:t>...</w:t>
            </w:r>
          </w:p>
        </w:tc>
        <w:tc>
          <w:tcPr>
            <w:tcW w:w="850" w:type="dxa"/>
            <w:tcBorders>
              <w:top w:val="single" w:sz="4" w:space="0" w:color="auto"/>
              <w:bottom w:val="nil"/>
            </w:tcBorders>
          </w:tcPr>
          <w:p w:rsidR="00443EC1" w:rsidRDefault="00443EC1">
            <w:pPr>
              <w:spacing w:before="0" w:after="0" w:line="260" w:lineRule="exact"/>
              <w:ind w:left="227"/>
              <w:jc w:val="both"/>
              <w:rPr>
                <w:rStyle w:val="FootnoteReference"/>
                <w:rFonts w:hint="cs"/>
                <w:bCs w:val="0"/>
                <w:szCs w:val="26"/>
                <w:vertAlign w:val="baseline"/>
              </w:rPr>
            </w:pPr>
            <w:r>
              <w:rPr>
                <w:rFonts w:hint="cs"/>
                <w:szCs w:val="26"/>
                <w:rtl/>
              </w:rPr>
              <w:t>...</w:t>
            </w:r>
          </w:p>
        </w:tc>
      </w:tr>
      <w:tr w:rsidR="00443EC1" w:rsidTr="00443EC1">
        <w:tblPrEx>
          <w:tblCellMar>
            <w:top w:w="0" w:type="dxa"/>
            <w:bottom w:w="0" w:type="dxa"/>
          </w:tblCellMar>
        </w:tblPrEx>
        <w:trPr>
          <w:jc w:val="center"/>
        </w:trPr>
        <w:tc>
          <w:tcPr>
            <w:tcW w:w="951" w:type="dxa"/>
            <w:tcBorders>
              <w:top w:val="nil"/>
              <w:bottom w:val="nil"/>
            </w:tcBorders>
          </w:tcPr>
          <w:p w:rsidR="00443EC1" w:rsidRDefault="00443EC1">
            <w:pPr>
              <w:spacing w:before="0" w:after="0" w:line="260" w:lineRule="exact"/>
              <w:jc w:val="center"/>
              <w:rPr>
                <w:rStyle w:val="FootnoteReference"/>
                <w:rFonts w:hint="cs"/>
                <w:bCs w:val="0"/>
                <w:szCs w:val="26"/>
                <w:vertAlign w:val="baseline"/>
              </w:rPr>
            </w:pPr>
            <w:r>
              <w:rPr>
                <w:rFonts w:hint="cs"/>
                <w:szCs w:val="26"/>
                <w:rtl/>
              </w:rPr>
              <w:t>1985</w:t>
            </w:r>
          </w:p>
        </w:tc>
        <w:tc>
          <w:tcPr>
            <w:tcW w:w="812" w:type="dxa"/>
            <w:tcBorders>
              <w:top w:val="nil"/>
              <w:bottom w:val="nil"/>
            </w:tcBorders>
          </w:tcPr>
          <w:p w:rsidR="00443EC1" w:rsidRDefault="00443EC1">
            <w:pPr>
              <w:spacing w:before="0" w:after="0" w:line="260" w:lineRule="exact"/>
              <w:jc w:val="center"/>
              <w:rPr>
                <w:rStyle w:val="FootnoteReference"/>
                <w:rFonts w:hint="cs"/>
                <w:bCs w:val="0"/>
                <w:szCs w:val="26"/>
                <w:vertAlign w:val="baseline"/>
              </w:rPr>
            </w:pPr>
            <w:r>
              <w:rPr>
                <w:rFonts w:hint="cs"/>
                <w:szCs w:val="26"/>
                <w:rtl/>
              </w:rPr>
              <w:t>0.14</w:t>
            </w:r>
          </w:p>
        </w:tc>
        <w:tc>
          <w:tcPr>
            <w:tcW w:w="826" w:type="dxa"/>
            <w:tcBorders>
              <w:top w:val="nil"/>
              <w:bottom w:val="nil"/>
            </w:tcBorders>
          </w:tcPr>
          <w:p w:rsidR="00443EC1" w:rsidRDefault="00443EC1">
            <w:pPr>
              <w:spacing w:before="0" w:after="0" w:line="260" w:lineRule="exact"/>
              <w:jc w:val="both"/>
              <w:rPr>
                <w:rStyle w:val="FootnoteReference"/>
                <w:rFonts w:hint="cs"/>
                <w:bCs w:val="0"/>
                <w:szCs w:val="26"/>
                <w:vertAlign w:val="baseline"/>
              </w:rPr>
            </w:pPr>
            <w:r>
              <w:rPr>
                <w:rFonts w:hint="cs"/>
                <w:szCs w:val="26"/>
                <w:rtl/>
              </w:rPr>
              <w:t>14.22</w:t>
            </w:r>
          </w:p>
        </w:tc>
        <w:tc>
          <w:tcPr>
            <w:tcW w:w="868" w:type="dxa"/>
            <w:tcBorders>
              <w:top w:val="nil"/>
              <w:bottom w:val="nil"/>
            </w:tcBorders>
          </w:tcPr>
          <w:p w:rsidR="00443EC1" w:rsidRDefault="00443EC1">
            <w:pPr>
              <w:spacing w:before="0" w:after="0" w:line="260" w:lineRule="exact"/>
              <w:jc w:val="center"/>
              <w:rPr>
                <w:rStyle w:val="FootnoteReference"/>
                <w:rFonts w:hint="cs"/>
                <w:bCs w:val="0"/>
                <w:szCs w:val="26"/>
                <w:vertAlign w:val="baseline"/>
              </w:rPr>
            </w:pPr>
            <w:r>
              <w:rPr>
                <w:rFonts w:hint="cs"/>
                <w:szCs w:val="26"/>
                <w:rtl/>
              </w:rPr>
              <w:t>0.15</w:t>
            </w:r>
          </w:p>
        </w:tc>
        <w:tc>
          <w:tcPr>
            <w:tcW w:w="1049" w:type="dxa"/>
            <w:tcBorders>
              <w:top w:val="nil"/>
              <w:bottom w:val="nil"/>
            </w:tcBorders>
          </w:tcPr>
          <w:p w:rsidR="00443EC1" w:rsidRDefault="00443EC1">
            <w:pPr>
              <w:spacing w:before="0" w:after="0" w:line="260" w:lineRule="exact"/>
              <w:ind w:left="113"/>
              <w:jc w:val="both"/>
              <w:rPr>
                <w:rStyle w:val="FootnoteReference"/>
                <w:rFonts w:hint="cs"/>
                <w:bCs w:val="0"/>
                <w:szCs w:val="26"/>
                <w:vertAlign w:val="baseline"/>
              </w:rPr>
            </w:pPr>
            <w:r>
              <w:rPr>
                <w:rFonts w:hint="cs"/>
                <w:szCs w:val="26"/>
                <w:rtl/>
              </w:rPr>
              <w:t>40.37</w:t>
            </w:r>
          </w:p>
        </w:tc>
        <w:tc>
          <w:tcPr>
            <w:tcW w:w="1148" w:type="dxa"/>
            <w:tcBorders>
              <w:top w:val="nil"/>
              <w:bottom w:val="nil"/>
            </w:tcBorders>
          </w:tcPr>
          <w:p w:rsidR="00443EC1" w:rsidRDefault="00443EC1">
            <w:pPr>
              <w:spacing w:before="0" w:after="0" w:line="260" w:lineRule="exact"/>
              <w:ind w:left="227" w:firstLine="181"/>
              <w:jc w:val="both"/>
              <w:rPr>
                <w:rStyle w:val="FootnoteReference"/>
                <w:rFonts w:hint="cs"/>
                <w:bCs w:val="0"/>
                <w:szCs w:val="26"/>
                <w:vertAlign w:val="baseline"/>
              </w:rPr>
            </w:pPr>
            <w:r>
              <w:rPr>
                <w:rFonts w:hint="cs"/>
                <w:szCs w:val="26"/>
                <w:rtl/>
              </w:rPr>
              <w:t>...</w:t>
            </w:r>
          </w:p>
        </w:tc>
        <w:tc>
          <w:tcPr>
            <w:tcW w:w="1960" w:type="dxa"/>
            <w:tcBorders>
              <w:top w:val="nil"/>
              <w:bottom w:val="nil"/>
            </w:tcBorders>
          </w:tcPr>
          <w:p w:rsidR="00443EC1" w:rsidRDefault="00443EC1">
            <w:pPr>
              <w:spacing w:before="0" w:after="0" w:line="260" w:lineRule="exact"/>
              <w:ind w:firstLine="528"/>
              <w:jc w:val="both"/>
              <w:rPr>
                <w:rStyle w:val="FootnoteReference"/>
                <w:rFonts w:hint="cs"/>
                <w:bCs w:val="0"/>
                <w:szCs w:val="26"/>
                <w:vertAlign w:val="baseline"/>
              </w:rPr>
            </w:pPr>
            <w:r>
              <w:rPr>
                <w:rFonts w:hint="cs"/>
                <w:szCs w:val="26"/>
                <w:rtl/>
              </w:rPr>
              <w:t>...</w:t>
            </w:r>
          </w:p>
        </w:tc>
        <w:tc>
          <w:tcPr>
            <w:tcW w:w="1106" w:type="dxa"/>
            <w:tcBorders>
              <w:top w:val="nil"/>
              <w:bottom w:val="nil"/>
            </w:tcBorders>
          </w:tcPr>
          <w:p w:rsidR="00443EC1" w:rsidRDefault="00443EC1">
            <w:pPr>
              <w:spacing w:before="0" w:after="0" w:line="260" w:lineRule="exact"/>
              <w:ind w:left="227" w:firstLine="147"/>
              <w:jc w:val="both"/>
              <w:rPr>
                <w:rStyle w:val="FootnoteReference"/>
                <w:rFonts w:hint="cs"/>
                <w:bCs w:val="0"/>
                <w:szCs w:val="26"/>
                <w:vertAlign w:val="baseline"/>
              </w:rPr>
            </w:pPr>
            <w:r>
              <w:rPr>
                <w:rFonts w:hint="cs"/>
                <w:szCs w:val="26"/>
                <w:rtl/>
              </w:rPr>
              <w:t>...</w:t>
            </w:r>
          </w:p>
        </w:tc>
        <w:tc>
          <w:tcPr>
            <w:tcW w:w="850" w:type="dxa"/>
            <w:tcBorders>
              <w:top w:val="nil"/>
              <w:bottom w:val="nil"/>
            </w:tcBorders>
          </w:tcPr>
          <w:p w:rsidR="00443EC1" w:rsidRDefault="00443EC1">
            <w:pPr>
              <w:spacing w:before="0" w:after="0" w:line="260" w:lineRule="exact"/>
              <w:ind w:left="227"/>
              <w:jc w:val="both"/>
              <w:rPr>
                <w:rStyle w:val="FootnoteReference"/>
                <w:rFonts w:hint="cs"/>
                <w:bCs w:val="0"/>
                <w:szCs w:val="26"/>
                <w:vertAlign w:val="baseline"/>
              </w:rPr>
            </w:pPr>
            <w:r>
              <w:rPr>
                <w:rFonts w:hint="cs"/>
                <w:szCs w:val="26"/>
                <w:rtl/>
              </w:rPr>
              <w:t>...</w:t>
            </w:r>
          </w:p>
        </w:tc>
      </w:tr>
      <w:tr w:rsidR="00443EC1" w:rsidTr="00443EC1">
        <w:tblPrEx>
          <w:tblCellMar>
            <w:top w:w="0" w:type="dxa"/>
            <w:bottom w:w="0" w:type="dxa"/>
          </w:tblCellMar>
        </w:tblPrEx>
        <w:trPr>
          <w:jc w:val="center"/>
        </w:trPr>
        <w:tc>
          <w:tcPr>
            <w:tcW w:w="951" w:type="dxa"/>
            <w:tcBorders>
              <w:top w:val="nil"/>
              <w:bottom w:val="nil"/>
            </w:tcBorders>
          </w:tcPr>
          <w:p w:rsidR="00443EC1" w:rsidRDefault="00443EC1">
            <w:pPr>
              <w:spacing w:before="0" w:after="0" w:line="260" w:lineRule="exact"/>
              <w:jc w:val="center"/>
              <w:rPr>
                <w:rStyle w:val="FootnoteReference"/>
                <w:rFonts w:hint="cs"/>
                <w:bCs w:val="0"/>
                <w:szCs w:val="26"/>
                <w:vertAlign w:val="baseline"/>
              </w:rPr>
            </w:pPr>
            <w:r>
              <w:rPr>
                <w:rFonts w:hint="cs"/>
                <w:szCs w:val="26"/>
                <w:rtl/>
              </w:rPr>
              <w:t>1987</w:t>
            </w:r>
          </w:p>
        </w:tc>
        <w:tc>
          <w:tcPr>
            <w:tcW w:w="812" w:type="dxa"/>
            <w:tcBorders>
              <w:top w:val="nil"/>
              <w:bottom w:val="nil"/>
            </w:tcBorders>
          </w:tcPr>
          <w:p w:rsidR="00443EC1" w:rsidRDefault="00443EC1">
            <w:pPr>
              <w:spacing w:before="0" w:after="0" w:line="260" w:lineRule="exact"/>
              <w:jc w:val="center"/>
              <w:rPr>
                <w:rStyle w:val="FootnoteReference"/>
                <w:rFonts w:hint="cs"/>
                <w:bCs w:val="0"/>
                <w:szCs w:val="26"/>
                <w:vertAlign w:val="baseline"/>
              </w:rPr>
            </w:pPr>
            <w:r>
              <w:rPr>
                <w:rFonts w:hint="cs"/>
                <w:szCs w:val="26"/>
                <w:rtl/>
              </w:rPr>
              <w:t>0.04</w:t>
            </w:r>
          </w:p>
        </w:tc>
        <w:tc>
          <w:tcPr>
            <w:tcW w:w="826" w:type="dxa"/>
            <w:tcBorders>
              <w:top w:val="nil"/>
              <w:bottom w:val="nil"/>
            </w:tcBorders>
          </w:tcPr>
          <w:p w:rsidR="00443EC1" w:rsidRDefault="00443EC1">
            <w:pPr>
              <w:spacing w:before="0" w:after="0" w:line="260" w:lineRule="exact"/>
              <w:jc w:val="both"/>
              <w:rPr>
                <w:rStyle w:val="FootnoteReference"/>
                <w:rFonts w:hint="cs"/>
                <w:bCs w:val="0"/>
                <w:szCs w:val="26"/>
                <w:vertAlign w:val="baseline"/>
              </w:rPr>
            </w:pPr>
            <w:r>
              <w:rPr>
                <w:rFonts w:hint="cs"/>
                <w:szCs w:val="26"/>
                <w:rtl/>
              </w:rPr>
              <w:t>5.61</w:t>
            </w:r>
          </w:p>
        </w:tc>
        <w:tc>
          <w:tcPr>
            <w:tcW w:w="868" w:type="dxa"/>
            <w:tcBorders>
              <w:top w:val="nil"/>
              <w:bottom w:val="nil"/>
            </w:tcBorders>
          </w:tcPr>
          <w:p w:rsidR="00443EC1" w:rsidRDefault="00443EC1">
            <w:pPr>
              <w:spacing w:before="0" w:after="0" w:line="260" w:lineRule="exact"/>
              <w:jc w:val="center"/>
              <w:rPr>
                <w:rStyle w:val="FootnoteReference"/>
                <w:rFonts w:hint="cs"/>
                <w:bCs w:val="0"/>
                <w:szCs w:val="26"/>
                <w:vertAlign w:val="baseline"/>
              </w:rPr>
            </w:pPr>
            <w:r>
              <w:rPr>
                <w:rFonts w:hint="cs"/>
                <w:szCs w:val="26"/>
                <w:rtl/>
              </w:rPr>
              <w:t>0.18</w:t>
            </w:r>
          </w:p>
        </w:tc>
        <w:tc>
          <w:tcPr>
            <w:tcW w:w="1049" w:type="dxa"/>
            <w:tcBorders>
              <w:top w:val="nil"/>
              <w:bottom w:val="nil"/>
            </w:tcBorders>
          </w:tcPr>
          <w:p w:rsidR="00443EC1" w:rsidRDefault="00443EC1">
            <w:pPr>
              <w:spacing w:before="0" w:after="0" w:line="260" w:lineRule="exact"/>
              <w:ind w:left="113"/>
              <w:jc w:val="both"/>
              <w:rPr>
                <w:rStyle w:val="FootnoteReference"/>
                <w:rFonts w:hint="cs"/>
                <w:bCs w:val="0"/>
                <w:szCs w:val="26"/>
                <w:vertAlign w:val="baseline"/>
              </w:rPr>
            </w:pPr>
            <w:r>
              <w:rPr>
                <w:rFonts w:hint="cs"/>
                <w:szCs w:val="26"/>
                <w:rtl/>
              </w:rPr>
              <w:t>9.88</w:t>
            </w:r>
          </w:p>
        </w:tc>
        <w:tc>
          <w:tcPr>
            <w:tcW w:w="1148" w:type="dxa"/>
            <w:tcBorders>
              <w:top w:val="nil"/>
              <w:bottom w:val="nil"/>
            </w:tcBorders>
          </w:tcPr>
          <w:p w:rsidR="00443EC1" w:rsidRDefault="00443EC1">
            <w:pPr>
              <w:spacing w:before="0" w:after="0" w:line="260" w:lineRule="exact"/>
              <w:ind w:left="227" w:firstLine="181"/>
              <w:jc w:val="both"/>
              <w:rPr>
                <w:rStyle w:val="FootnoteReference"/>
                <w:rFonts w:hint="cs"/>
                <w:bCs w:val="0"/>
                <w:szCs w:val="26"/>
                <w:vertAlign w:val="baseline"/>
              </w:rPr>
            </w:pPr>
            <w:r>
              <w:rPr>
                <w:rFonts w:hint="cs"/>
                <w:szCs w:val="26"/>
                <w:rtl/>
              </w:rPr>
              <w:t>85</w:t>
            </w:r>
          </w:p>
        </w:tc>
        <w:tc>
          <w:tcPr>
            <w:tcW w:w="1960" w:type="dxa"/>
            <w:tcBorders>
              <w:top w:val="nil"/>
              <w:bottom w:val="nil"/>
            </w:tcBorders>
          </w:tcPr>
          <w:p w:rsidR="00443EC1" w:rsidRDefault="00443EC1">
            <w:pPr>
              <w:spacing w:before="0" w:after="0" w:line="260" w:lineRule="exact"/>
              <w:ind w:firstLine="528"/>
              <w:jc w:val="both"/>
              <w:rPr>
                <w:rStyle w:val="FootnoteReference"/>
                <w:rFonts w:hint="cs"/>
                <w:bCs w:val="0"/>
                <w:szCs w:val="26"/>
                <w:vertAlign w:val="baseline"/>
              </w:rPr>
            </w:pPr>
            <w:r>
              <w:rPr>
                <w:rFonts w:hint="cs"/>
                <w:szCs w:val="26"/>
                <w:rtl/>
              </w:rPr>
              <w:t>74</w:t>
            </w:r>
          </w:p>
        </w:tc>
        <w:tc>
          <w:tcPr>
            <w:tcW w:w="1106" w:type="dxa"/>
            <w:tcBorders>
              <w:top w:val="nil"/>
              <w:bottom w:val="nil"/>
            </w:tcBorders>
          </w:tcPr>
          <w:p w:rsidR="00443EC1" w:rsidRDefault="00443EC1">
            <w:pPr>
              <w:spacing w:before="0" w:after="0" w:line="260" w:lineRule="exact"/>
              <w:ind w:left="227" w:firstLine="147"/>
              <w:jc w:val="both"/>
              <w:rPr>
                <w:rStyle w:val="FootnoteReference"/>
                <w:rFonts w:hint="cs"/>
                <w:bCs w:val="0"/>
                <w:szCs w:val="26"/>
                <w:vertAlign w:val="baseline"/>
              </w:rPr>
            </w:pPr>
            <w:r>
              <w:rPr>
                <w:rFonts w:hint="cs"/>
                <w:szCs w:val="26"/>
                <w:rtl/>
              </w:rPr>
              <w:t>78</w:t>
            </w:r>
          </w:p>
        </w:tc>
        <w:tc>
          <w:tcPr>
            <w:tcW w:w="850" w:type="dxa"/>
            <w:tcBorders>
              <w:top w:val="nil"/>
              <w:bottom w:val="nil"/>
            </w:tcBorders>
          </w:tcPr>
          <w:p w:rsidR="00443EC1" w:rsidRDefault="00443EC1">
            <w:pPr>
              <w:spacing w:before="0" w:after="0" w:line="260" w:lineRule="exact"/>
              <w:ind w:left="227"/>
              <w:jc w:val="both"/>
              <w:rPr>
                <w:rStyle w:val="FootnoteReference"/>
                <w:rFonts w:hint="cs"/>
                <w:bCs w:val="0"/>
                <w:szCs w:val="26"/>
                <w:vertAlign w:val="baseline"/>
              </w:rPr>
            </w:pPr>
            <w:r>
              <w:rPr>
                <w:rFonts w:hint="cs"/>
                <w:szCs w:val="26"/>
                <w:rtl/>
              </w:rPr>
              <w:t>77</w:t>
            </w:r>
          </w:p>
        </w:tc>
      </w:tr>
      <w:tr w:rsidR="00443EC1" w:rsidTr="00443EC1">
        <w:tblPrEx>
          <w:tblCellMar>
            <w:top w:w="0" w:type="dxa"/>
            <w:bottom w:w="0" w:type="dxa"/>
          </w:tblCellMar>
        </w:tblPrEx>
        <w:trPr>
          <w:jc w:val="center"/>
        </w:trPr>
        <w:tc>
          <w:tcPr>
            <w:tcW w:w="951" w:type="dxa"/>
            <w:tcBorders>
              <w:top w:val="nil"/>
              <w:bottom w:val="nil"/>
            </w:tcBorders>
          </w:tcPr>
          <w:p w:rsidR="00443EC1" w:rsidRDefault="00443EC1">
            <w:pPr>
              <w:spacing w:before="0" w:after="0" w:line="260" w:lineRule="exact"/>
              <w:jc w:val="center"/>
              <w:rPr>
                <w:rStyle w:val="FootnoteReference"/>
                <w:rFonts w:hint="cs"/>
                <w:bCs w:val="0"/>
                <w:szCs w:val="26"/>
                <w:vertAlign w:val="baseline"/>
              </w:rPr>
            </w:pPr>
            <w:r>
              <w:rPr>
                <w:rFonts w:hint="cs"/>
                <w:szCs w:val="26"/>
                <w:rtl/>
              </w:rPr>
              <w:t>1989</w:t>
            </w:r>
          </w:p>
        </w:tc>
        <w:tc>
          <w:tcPr>
            <w:tcW w:w="812" w:type="dxa"/>
            <w:tcBorders>
              <w:top w:val="nil"/>
              <w:bottom w:val="nil"/>
            </w:tcBorders>
          </w:tcPr>
          <w:p w:rsidR="00443EC1" w:rsidRDefault="00443EC1">
            <w:pPr>
              <w:spacing w:before="0" w:after="0" w:line="260" w:lineRule="exact"/>
              <w:jc w:val="center"/>
              <w:rPr>
                <w:rStyle w:val="FootnoteReference"/>
                <w:rFonts w:hint="cs"/>
                <w:bCs w:val="0"/>
                <w:szCs w:val="26"/>
                <w:vertAlign w:val="baseline"/>
              </w:rPr>
            </w:pPr>
            <w:r>
              <w:rPr>
                <w:rFonts w:hint="cs"/>
                <w:szCs w:val="26"/>
                <w:rtl/>
              </w:rPr>
              <w:t>0.03</w:t>
            </w:r>
          </w:p>
        </w:tc>
        <w:tc>
          <w:tcPr>
            <w:tcW w:w="826" w:type="dxa"/>
            <w:tcBorders>
              <w:top w:val="nil"/>
              <w:bottom w:val="nil"/>
            </w:tcBorders>
          </w:tcPr>
          <w:p w:rsidR="00443EC1" w:rsidRDefault="00443EC1">
            <w:pPr>
              <w:spacing w:before="0" w:after="0" w:line="260" w:lineRule="exact"/>
              <w:jc w:val="both"/>
              <w:rPr>
                <w:rStyle w:val="FootnoteReference"/>
                <w:rFonts w:hint="cs"/>
                <w:bCs w:val="0"/>
                <w:szCs w:val="26"/>
                <w:vertAlign w:val="baseline"/>
              </w:rPr>
            </w:pPr>
            <w:r>
              <w:rPr>
                <w:rFonts w:hint="cs"/>
                <w:szCs w:val="26"/>
                <w:rtl/>
              </w:rPr>
              <w:t>2.46</w:t>
            </w:r>
          </w:p>
        </w:tc>
        <w:tc>
          <w:tcPr>
            <w:tcW w:w="868" w:type="dxa"/>
            <w:tcBorders>
              <w:top w:val="nil"/>
              <w:bottom w:val="nil"/>
            </w:tcBorders>
          </w:tcPr>
          <w:p w:rsidR="00443EC1" w:rsidRDefault="00443EC1">
            <w:pPr>
              <w:spacing w:before="0" w:after="0" w:line="260" w:lineRule="exact"/>
              <w:jc w:val="center"/>
              <w:rPr>
                <w:rStyle w:val="FootnoteReference"/>
                <w:rFonts w:hint="cs"/>
                <w:bCs w:val="0"/>
                <w:szCs w:val="26"/>
                <w:vertAlign w:val="baseline"/>
              </w:rPr>
            </w:pPr>
            <w:r>
              <w:rPr>
                <w:rFonts w:hint="cs"/>
                <w:szCs w:val="26"/>
                <w:rtl/>
              </w:rPr>
              <w:t>0.42</w:t>
            </w:r>
          </w:p>
        </w:tc>
        <w:tc>
          <w:tcPr>
            <w:tcW w:w="1049" w:type="dxa"/>
            <w:tcBorders>
              <w:top w:val="nil"/>
              <w:bottom w:val="nil"/>
            </w:tcBorders>
          </w:tcPr>
          <w:p w:rsidR="00443EC1" w:rsidRDefault="00443EC1">
            <w:pPr>
              <w:spacing w:before="0" w:after="0" w:line="260" w:lineRule="exact"/>
              <w:ind w:left="113"/>
              <w:jc w:val="both"/>
              <w:rPr>
                <w:rStyle w:val="FootnoteReference"/>
                <w:rFonts w:hint="cs"/>
                <w:bCs w:val="0"/>
                <w:szCs w:val="26"/>
                <w:vertAlign w:val="baseline"/>
              </w:rPr>
            </w:pPr>
            <w:r>
              <w:rPr>
                <w:rFonts w:hint="cs"/>
                <w:szCs w:val="26"/>
                <w:rtl/>
              </w:rPr>
              <w:t>7.77</w:t>
            </w:r>
          </w:p>
        </w:tc>
        <w:tc>
          <w:tcPr>
            <w:tcW w:w="1148" w:type="dxa"/>
            <w:tcBorders>
              <w:top w:val="nil"/>
              <w:bottom w:val="nil"/>
            </w:tcBorders>
          </w:tcPr>
          <w:p w:rsidR="00443EC1" w:rsidRDefault="00443EC1">
            <w:pPr>
              <w:spacing w:before="0" w:after="0" w:line="260" w:lineRule="exact"/>
              <w:ind w:left="227" w:firstLine="181"/>
              <w:jc w:val="both"/>
              <w:rPr>
                <w:rStyle w:val="FootnoteReference"/>
                <w:rFonts w:hint="cs"/>
                <w:bCs w:val="0"/>
                <w:szCs w:val="26"/>
                <w:vertAlign w:val="baseline"/>
              </w:rPr>
            </w:pPr>
            <w:r>
              <w:rPr>
                <w:rFonts w:hint="cs"/>
                <w:szCs w:val="26"/>
                <w:rtl/>
              </w:rPr>
              <w:t>...</w:t>
            </w:r>
          </w:p>
        </w:tc>
        <w:tc>
          <w:tcPr>
            <w:tcW w:w="1960" w:type="dxa"/>
            <w:tcBorders>
              <w:top w:val="nil"/>
              <w:bottom w:val="nil"/>
            </w:tcBorders>
          </w:tcPr>
          <w:p w:rsidR="00443EC1" w:rsidRDefault="00443EC1">
            <w:pPr>
              <w:spacing w:before="0" w:after="0" w:line="260" w:lineRule="exact"/>
              <w:ind w:firstLine="528"/>
              <w:jc w:val="both"/>
              <w:rPr>
                <w:rStyle w:val="FootnoteReference"/>
                <w:rFonts w:hint="cs"/>
                <w:bCs w:val="0"/>
                <w:szCs w:val="26"/>
                <w:vertAlign w:val="baseline"/>
              </w:rPr>
            </w:pPr>
            <w:r>
              <w:rPr>
                <w:rFonts w:hint="cs"/>
                <w:szCs w:val="26"/>
                <w:rtl/>
              </w:rPr>
              <w:t>...</w:t>
            </w:r>
          </w:p>
        </w:tc>
        <w:tc>
          <w:tcPr>
            <w:tcW w:w="1106" w:type="dxa"/>
            <w:tcBorders>
              <w:top w:val="nil"/>
              <w:bottom w:val="nil"/>
            </w:tcBorders>
          </w:tcPr>
          <w:p w:rsidR="00443EC1" w:rsidRDefault="00443EC1">
            <w:pPr>
              <w:spacing w:before="0" w:after="0" w:line="260" w:lineRule="exact"/>
              <w:ind w:left="227" w:firstLine="147"/>
              <w:jc w:val="both"/>
              <w:rPr>
                <w:rStyle w:val="FootnoteReference"/>
                <w:rFonts w:hint="cs"/>
                <w:bCs w:val="0"/>
                <w:szCs w:val="26"/>
                <w:vertAlign w:val="baseline"/>
              </w:rPr>
            </w:pPr>
            <w:r>
              <w:rPr>
                <w:rFonts w:hint="cs"/>
                <w:szCs w:val="26"/>
                <w:rtl/>
              </w:rPr>
              <w:t>...</w:t>
            </w:r>
          </w:p>
        </w:tc>
        <w:tc>
          <w:tcPr>
            <w:tcW w:w="850" w:type="dxa"/>
            <w:tcBorders>
              <w:top w:val="nil"/>
              <w:bottom w:val="nil"/>
            </w:tcBorders>
          </w:tcPr>
          <w:p w:rsidR="00443EC1" w:rsidRDefault="00443EC1">
            <w:pPr>
              <w:spacing w:before="0" w:after="0" w:line="260" w:lineRule="exact"/>
              <w:ind w:left="227"/>
              <w:jc w:val="both"/>
              <w:rPr>
                <w:rStyle w:val="FootnoteReference"/>
                <w:rFonts w:hint="cs"/>
                <w:bCs w:val="0"/>
                <w:szCs w:val="26"/>
                <w:vertAlign w:val="baseline"/>
              </w:rPr>
            </w:pPr>
            <w:r>
              <w:rPr>
                <w:rFonts w:hint="cs"/>
                <w:szCs w:val="26"/>
                <w:rtl/>
              </w:rPr>
              <w:t>...</w:t>
            </w:r>
          </w:p>
        </w:tc>
      </w:tr>
      <w:tr w:rsidR="00443EC1" w:rsidTr="00443EC1">
        <w:tblPrEx>
          <w:tblCellMar>
            <w:top w:w="0" w:type="dxa"/>
            <w:bottom w:w="0" w:type="dxa"/>
          </w:tblCellMar>
        </w:tblPrEx>
        <w:trPr>
          <w:jc w:val="center"/>
        </w:trPr>
        <w:tc>
          <w:tcPr>
            <w:tcW w:w="951" w:type="dxa"/>
            <w:tcBorders>
              <w:top w:val="nil"/>
              <w:bottom w:val="nil"/>
            </w:tcBorders>
          </w:tcPr>
          <w:p w:rsidR="00443EC1" w:rsidRDefault="00443EC1">
            <w:pPr>
              <w:spacing w:before="0" w:after="0" w:line="260" w:lineRule="exact"/>
              <w:jc w:val="center"/>
              <w:rPr>
                <w:rStyle w:val="FootnoteReference"/>
                <w:rFonts w:hint="cs"/>
                <w:bCs w:val="0"/>
                <w:szCs w:val="26"/>
                <w:vertAlign w:val="baseline"/>
              </w:rPr>
            </w:pPr>
            <w:r>
              <w:rPr>
                <w:rFonts w:hint="cs"/>
                <w:szCs w:val="26"/>
                <w:rtl/>
              </w:rPr>
              <w:t>1991</w:t>
            </w:r>
          </w:p>
        </w:tc>
        <w:tc>
          <w:tcPr>
            <w:tcW w:w="812" w:type="dxa"/>
            <w:tcBorders>
              <w:top w:val="nil"/>
              <w:bottom w:val="nil"/>
            </w:tcBorders>
          </w:tcPr>
          <w:p w:rsidR="00443EC1" w:rsidRDefault="00443EC1">
            <w:pPr>
              <w:spacing w:before="0" w:after="0" w:line="260" w:lineRule="exact"/>
              <w:jc w:val="center"/>
              <w:rPr>
                <w:rStyle w:val="FootnoteReference"/>
                <w:rFonts w:hint="cs"/>
                <w:bCs w:val="0"/>
                <w:szCs w:val="26"/>
                <w:vertAlign w:val="baseline"/>
              </w:rPr>
            </w:pPr>
            <w:r>
              <w:rPr>
                <w:rFonts w:hint="cs"/>
                <w:szCs w:val="26"/>
                <w:rtl/>
              </w:rPr>
              <w:t>0.02</w:t>
            </w:r>
          </w:p>
        </w:tc>
        <w:tc>
          <w:tcPr>
            <w:tcW w:w="826" w:type="dxa"/>
            <w:tcBorders>
              <w:top w:val="nil"/>
              <w:bottom w:val="nil"/>
            </w:tcBorders>
          </w:tcPr>
          <w:p w:rsidR="00443EC1" w:rsidRDefault="00443EC1">
            <w:pPr>
              <w:spacing w:before="0" w:after="0" w:line="260" w:lineRule="exact"/>
              <w:jc w:val="both"/>
              <w:rPr>
                <w:rStyle w:val="FootnoteReference"/>
                <w:rFonts w:hint="cs"/>
                <w:bCs w:val="0"/>
                <w:szCs w:val="26"/>
                <w:vertAlign w:val="baseline"/>
              </w:rPr>
            </w:pPr>
            <w:r>
              <w:rPr>
                <w:rFonts w:hint="cs"/>
                <w:szCs w:val="26"/>
                <w:rtl/>
              </w:rPr>
              <w:t>0.94</w:t>
            </w:r>
          </w:p>
        </w:tc>
        <w:tc>
          <w:tcPr>
            <w:tcW w:w="868" w:type="dxa"/>
            <w:tcBorders>
              <w:top w:val="nil"/>
              <w:bottom w:val="nil"/>
            </w:tcBorders>
          </w:tcPr>
          <w:p w:rsidR="00443EC1" w:rsidRDefault="00443EC1">
            <w:pPr>
              <w:spacing w:before="0" w:after="0" w:line="260" w:lineRule="exact"/>
              <w:jc w:val="center"/>
              <w:rPr>
                <w:rStyle w:val="FootnoteReference"/>
                <w:rFonts w:hint="cs"/>
                <w:bCs w:val="0"/>
                <w:szCs w:val="26"/>
                <w:vertAlign w:val="baseline"/>
              </w:rPr>
            </w:pPr>
            <w:r>
              <w:rPr>
                <w:rFonts w:hint="cs"/>
                <w:szCs w:val="26"/>
                <w:rtl/>
              </w:rPr>
              <w:t>0.17</w:t>
            </w:r>
          </w:p>
        </w:tc>
        <w:tc>
          <w:tcPr>
            <w:tcW w:w="1049" w:type="dxa"/>
            <w:tcBorders>
              <w:top w:val="nil"/>
              <w:bottom w:val="nil"/>
            </w:tcBorders>
          </w:tcPr>
          <w:p w:rsidR="00443EC1" w:rsidRDefault="00443EC1">
            <w:pPr>
              <w:spacing w:before="0" w:after="0" w:line="260" w:lineRule="exact"/>
              <w:ind w:left="113"/>
              <w:jc w:val="both"/>
              <w:rPr>
                <w:rStyle w:val="FootnoteReference"/>
                <w:rFonts w:hint="cs"/>
                <w:bCs w:val="0"/>
                <w:szCs w:val="26"/>
                <w:vertAlign w:val="baseline"/>
              </w:rPr>
            </w:pPr>
            <w:r>
              <w:rPr>
                <w:rFonts w:hint="cs"/>
                <w:szCs w:val="26"/>
                <w:rtl/>
              </w:rPr>
              <w:t>10.9</w:t>
            </w:r>
          </w:p>
        </w:tc>
        <w:tc>
          <w:tcPr>
            <w:tcW w:w="1148" w:type="dxa"/>
            <w:tcBorders>
              <w:top w:val="nil"/>
              <w:bottom w:val="nil"/>
            </w:tcBorders>
          </w:tcPr>
          <w:p w:rsidR="00443EC1" w:rsidRDefault="00443EC1">
            <w:pPr>
              <w:spacing w:before="0" w:after="0" w:line="260" w:lineRule="exact"/>
              <w:ind w:left="227" w:firstLine="181"/>
              <w:jc w:val="both"/>
              <w:rPr>
                <w:rStyle w:val="FootnoteReference"/>
                <w:rFonts w:hint="cs"/>
                <w:bCs w:val="0"/>
                <w:szCs w:val="26"/>
                <w:vertAlign w:val="baseline"/>
              </w:rPr>
            </w:pPr>
            <w:r>
              <w:rPr>
                <w:rFonts w:hint="cs"/>
                <w:szCs w:val="26"/>
                <w:rtl/>
              </w:rPr>
              <w:t>96</w:t>
            </w:r>
          </w:p>
        </w:tc>
        <w:tc>
          <w:tcPr>
            <w:tcW w:w="1960" w:type="dxa"/>
            <w:tcBorders>
              <w:top w:val="nil"/>
              <w:bottom w:val="nil"/>
            </w:tcBorders>
          </w:tcPr>
          <w:p w:rsidR="00443EC1" w:rsidRDefault="00443EC1">
            <w:pPr>
              <w:spacing w:before="0" w:after="0" w:line="260" w:lineRule="exact"/>
              <w:ind w:firstLine="528"/>
              <w:jc w:val="both"/>
              <w:rPr>
                <w:rStyle w:val="FootnoteReference"/>
                <w:rFonts w:hint="cs"/>
                <w:bCs w:val="0"/>
                <w:szCs w:val="26"/>
                <w:vertAlign w:val="baseline"/>
              </w:rPr>
            </w:pPr>
            <w:r>
              <w:rPr>
                <w:rFonts w:hint="cs"/>
                <w:szCs w:val="26"/>
                <w:rtl/>
              </w:rPr>
              <w:t>95</w:t>
            </w:r>
          </w:p>
        </w:tc>
        <w:tc>
          <w:tcPr>
            <w:tcW w:w="1106" w:type="dxa"/>
            <w:tcBorders>
              <w:top w:val="nil"/>
              <w:bottom w:val="nil"/>
            </w:tcBorders>
          </w:tcPr>
          <w:p w:rsidR="00443EC1" w:rsidRDefault="00443EC1">
            <w:pPr>
              <w:spacing w:before="0" w:after="0" w:line="260" w:lineRule="exact"/>
              <w:ind w:left="227" w:firstLine="147"/>
              <w:jc w:val="both"/>
              <w:rPr>
                <w:rStyle w:val="FootnoteReference"/>
                <w:rFonts w:hint="cs"/>
                <w:bCs w:val="0"/>
                <w:szCs w:val="26"/>
                <w:vertAlign w:val="baseline"/>
              </w:rPr>
            </w:pPr>
            <w:r>
              <w:rPr>
                <w:rFonts w:hint="cs"/>
                <w:szCs w:val="26"/>
                <w:rtl/>
              </w:rPr>
              <w:t>96</w:t>
            </w:r>
          </w:p>
        </w:tc>
        <w:tc>
          <w:tcPr>
            <w:tcW w:w="850" w:type="dxa"/>
            <w:tcBorders>
              <w:top w:val="nil"/>
              <w:bottom w:val="nil"/>
            </w:tcBorders>
          </w:tcPr>
          <w:p w:rsidR="00443EC1" w:rsidRDefault="00443EC1">
            <w:pPr>
              <w:spacing w:before="0" w:after="0" w:line="260" w:lineRule="exact"/>
              <w:ind w:left="227"/>
              <w:jc w:val="both"/>
              <w:rPr>
                <w:rStyle w:val="FootnoteReference"/>
                <w:rFonts w:hint="cs"/>
                <w:bCs w:val="0"/>
                <w:szCs w:val="26"/>
                <w:vertAlign w:val="baseline"/>
              </w:rPr>
            </w:pPr>
            <w:r>
              <w:rPr>
                <w:rFonts w:hint="cs"/>
                <w:szCs w:val="26"/>
                <w:rtl/>
              </w:rPr>
              <w:t>95</w:t>
            </w:r>
          </w:p>
        </w:tc>
      </w:tr>
      <w:tr w:rsidR="00443EC1" w:rsidTr="00443EC1">
        <w:tblPrEx>
          <w:tblCellMar>
            <w:top w:w="0" w:type="dxa"/>
            <w:bottom w:w="0" w:type="dxa"/>
          </w:tblCellMar>
        </w:tblPrEx>
        <w:trPr>
          <w:jc w:val="center"/>
        </w:trPr>
        <w:tc>
          <w:tcPr>
            <w:tcW w:w="951" w:type="dxa"/>
            <w:tcBorders>
              <w:top w:val="nil"/>
              <w:bottom w:val="nil"/>
            </w:tcBorders>
          </w:tcPr>
          <w:p w:rsidR="00443EC1" w:rsidRDefault="00443EC1">
            <w:pPr>
              <w:spacing w:before="0" w:after="0" w:line="260" w:lineRule="exact"/>
              <w:jc w:val="center"/>
              <w:rPr>
                <w:rStyle w:val="FootnoteReference"/>
                <w:rFonts w:hint="cs"/>
                <w:bCs w:val="0"/>
                <w:szCs w:val="26"/>
                <w:vertAlign w:val="baseline"/>
              </w:rPr>
            </w:pPr>
            <w:r>
              <w:rPr>
                <w:rFonts w:hint="cs"/>
                <w:szCs w:val="26"/>
                <w:rtl/>
              </w:rPr>
              <w:t>1994</w:t>
            </w:r>
          </w:p>
        </w:tc>
        <w:tc>
          <w:tcPr>
            <w:tcW w:w="812" w:type="dxa"/>
            <w:tcBorders>
              <w:top w:val="nil"/>
              <w:bottom w:val="nil"/>
            </w:tcBorders>
          </w:tcPr>
          <w:p w:rsidR="00443EC1" w:rsidRDefault="00443EC1">
            <w:pPr>
              <w:spacing w:before="0" w:after="0" w:line="260" w:lineRule="exact"/>
              <w:jc w:val="center"/>
              <w:rPr>
                <w:rStyle w:val="FootnoteReference"/>
                <w:rFonts w:hint="cs"/>
                <w:bCs w:val="0"/>
                <w:szCs w:val="26"/>
                <w:vertAlign w:val="baseline"/>
              </w:rPr>
            </w:pPr>
            <w:r>
              <w:rPr>
                <w:rFonts w:hint="cs"/>
                <w:szCs w:val="26"/>
                <w:rtl/>
              </w:rPr>
              <w:t>...</w:t>
            </w:r>
          </w:p>
        </w:tc>
        <w:tc>
          <w:tcPr>
            <w:tcW w:w="826" w:type="dxa"/>
            <w:tcBorders>
              <w:top w:val="nil"/>
              <w:bottom w:val="nil"/>
            </w:tcBorders>
          </w:tcPr>
          <w:p w:rsidR="00443EC1" w:rsidRDefault="00443EC1">
            <w:pPr>
              <w:spacing w:before="0" w:after="0" w:line="260" w:lineRule="exact"/>
              <w:jc w:val="both"/>
              <w:rPr>
                <w:rStyle w:val="FootnoteReference"/>
                <w:rFonts w:hint="cs"/>
                <w:bCs w:val="0"/>
                <w:szCs w:val="26"/>
                <w:vertAlign w:val="baseline"/>
              </w:rPr>
            </w:pPr>
            <w:r>
              <w:rPr>
                <w:rFonts w:hint="cs"/>
                <w:szCs w:val="26"/>
                <w:rtl/>
              </w:rPr>
              <w:t>...</w:t>
            </w:r>
          </w:p>
        </w:tc>
        <w:tc>
          <w:tcPr>
            <w:tcW w:w="868" w:type="dxa"/>
            <w:tcBorders>
              <w:top w:val="nil"/>
              <w:bottom w:val="nil"/>
            </w:tcBorders>
          </w:tcPr>
          <w:p w:rsidR="00443EC1" w:rsidRDefault="00443EC1">
            <w:pPr>
              <w:spacing w:before="0" w:after="0" w:line="260" w:lineRule="exact"/>
              <w:jc w:val="center"/>
              <w:rPr>
                <w:rStyle w:val="FootnoteReference"/>
                <w:rFonts w:hint="cs"/>
                <w:bCs w:val="0"/>
                <w:szCs w:val="26"/>
                <w:vertAlign w:val="baseline"/>
              </w:rPr>
            </w:pPr>
            <w:r>
              <w:rPr>
                <w:rFonts w:hint="cs"/>
                <w:szCs w:val="26"/>
                <w:rtl/>
              </w:rPr>
              <w:t>...</w:t>
            </w:r>
          </w:p>
        </w:tc>
        <w:tc>
          <w:tcPr>
            <w:tcW w:w="1049" w:type="dxa"/>
            <w:tcBorders>
              <w:top w:val="nil"/>
              <w:bottom w:val="nil"/>
            </w:tcBorders>
          </w:tcPr>
          <w:p w:rsidR="00443EC1" w:rsidRDefault="00443EC1">
            <w:pPr>
              <w:spacing w:before="0" w:after="0" w:line="260" w:lineRule="exact"/>
              <w:ind w:left="113"/>
              <w:jc w:val="both"/>
              <w:rPr>
                <w:rStyle w:val="FootnoteReference"/>
                <w:rFonts w:hint="cs"/>
                <w:bCs w:val="0"/>
                <w:szCs w:val="26"/>
                <w:vertAlign w:val="baseline"/>
              </w:rPr>
            </w:pPr>
            <w:r>
              <w:rPr>
                <w:rFonts w:hint="cs"/>
                <w:szCs w:val="26"/>
                <w:rtl/>
              </w:rPr>
              <w:t>...</w:t>
            </w:r>
          </w:p>
        </w:tc>
        <w:tc>
          <w:tcPr>
            <w:tcW w:w="1148" w:type="dxa"/>
            <w:tcBorders>
              <w:top w:val="nil"/>
              <w:bottom w:val="nil"/>
            </w:tcBorders>
          </w:tcPr>
          <w:p w:rsidR="00443EC1" w:rsidRDefault="00443EC1">
            <w:pPr>
              <w:spacing w:before="0" w:after="0" w:line="260" w:lineRule="exact"/>
              <w:ind w:left="227" w:firstLine="181"/>
              <w:jc w:val="both"/>
              <w:rPr>
                <w:rStyle w:val="FootnoteReference"/>
                <w:rFonts w:hint="cs"/>
                <w:bCs w:val="0"/>
                <w:szCs w:val="26"/>
                <w:vertAlign w:val="baseline"/>
              </w:rPr>
            </w:pPr>
            <w:r>
              <w:rPr>
                <w:rFonts w:hint="cs"/>
                <w:szCs w:val="26"/>
                <w:rtl/>
              </w:rPr>
              <w:t>94</w:t>
            </w:r>
          </w:p>
        </w:tc>
        <w:tc>
          <w:tcPr>
            <w:tcW w:w="1960" w:type="dxa"/>
            <w:tcBorders>
              <w:top w:val="nil"/>
              <w:bottom w:val="nil"/>
            </w:tcBorders>
          </w:tcPr>
          <w:p w:rsidR="00443EC1" w:rsidRDefault="00443EC1">
            <w:pPr>
              <w:spacing w:before="0" w:after="0" w:line="260" w:lineRule="exact"/>
              <w:ind w:firstLine="528"/>
              <w:jc w:val="both"/>
              <w:rPr>
                <w:rStyle w:val="FootnoteReference"/>
                <w:rFonts w:hint="cs"/>
                <w:bCs w:val="0"/>
                <w:szCs w:val="26"/>
                <w:vertAlign w:val="baseline"/>
              </w:rPr>
            </w:pPr>
            <w:r>
              <w:rPr>
                <w:rFonts w:hint="cs"/>
                <w:szCs w:val="26"/>
                <w:rtl/>
              </w:rPr>
              <w:t>93</w:t>
            </w:r>
          </w:p>
        </w:tc>
        <w:tc>
          <w:tcPr>
            <w:tcW w:w="1106" w:type="dxa"/>
            <w:tcBorders>
              <w:top w:val="nil"/>
              <w:bottom w:val="nil"/>
            </w:tcBorders>
          </w:tcPr>
          <w:p w:rsidR="00443EC1" w:rsidRDefault="00443EC1">
            <w:pPr>
              <w:spacing w:before="0" w:after="0" w:line="260" w:lineRule="exact"/>
              <w:ind w:left="227" w:firstLine="147"/>
              <w:jc w:val="both"/>
              <w:rPr>
                <w:rStyle w:val="FootnoteReference"/>
                <w:rFonts w:hint="cs"/>
                <w:bCs w:val="0"/>
                <w:szCs w:val="26"/>
                <w:vertAlign w:val="baseline"/>
              </w:rPr>
            </w:pPr>
            <w:r>
              <w:rPr>
                <w:rFonts w:hint="cs"/>
                <w:szCs w:val="26"/>
                <w:rtl/>
              </w:rPr>
              <w:t>94</w:t>
            </w:r>
          </w:p>
        </w:tc>
        <w:tc>
          <w:tcPr>
            <w:tcW w:w="850" w:type="dxa"/>
            <w:tcBorders>
              <w:top w:val="nil"/>
              <w:bottom w:val="nil"/>
            </w:tcBorders>
          </w:tcPr>
          <w:p w:rsidR="00443EC1" w:rsidRDefault="00443EC1">
            <w:pPr>
              <w:spacing w:before="0" w:after="0" w:line="260" w:lineRule="exact"/>
              <w:ind w:left="227"/>
              <w:jc w:val="both"/>
              <w:rPr>
                <w:rStyle w:val="FootnoteReference"/>
                <w:rFonts w:hint="cs"/>
                <w:bCs w:val="0"/>
                <w:szCs w:val="26"/>
                <w:vertAlign w:val="baseline"/>
              </w:rPr>
            </w:pPr>
            <w:r>
              <w:rPr>
                <w:rFonts w:hint="cs"/>
                <w:szCs w:val="26"/>
                <w:rtl/>
              </w:rPr>
              <w:t>89</w:t>
            </w:r>
          </w:p>
        </w:tc>
      </w:tr>
      <w:tr w:rsidR="00443EC1" w:rsidTr="00443EC1">
        <w:tblPrEx>
          <w:tblCellMar>
            <w:top w:w="0" w:type="dxa"/>
            <w:bottom w:w="0" w:type="dxa"/>
          </w:tblCellMar>
        </w:tblPrEx>
        <w:trPr>
          <w:jc w:val="center"/>
        </w:trPr>
        <w:tc>
          <w:tcPr>
            <w:tcW w:w="951" w:type="dxa"/>
            <w:tcBorders>
              <w:top w:val="nil"/>
              <w:bottom w:val="nil"/>
            </w:tcBorders>
          </w:tcPr>
          <w:p w:rsidR="00443EC1" w:rsidRDefault="00443EC1">
            <w:pPr>
              <w:spacing w:before="0" w:after="0" w:line="260" w:lineRule="exact"/>
              <w:jc w:val="center"/>
              <w:rPr>
                <w:rStyle w:val="FootnoteReference"/>
                <w:rFonts w:hint="cs"/>
                <w:bCs w:val="0"/>
                <w:szCs w:val="26"/>
                <w:vertAlign w:val="baseline"/>
              </w:rPr>
            </w:pPr>
            <w:r>
              <w:rPr>
                <w:rFonts w:hint="cs"/>
                <w:szCs w:val="26"/>
                <w:rtl/>
              </w:rPr>
              <w:t>1995</w:t>
            </w:r>
          </w:p>
        </w:tc>
        <w:tc>
          <w:tcPr>
            <w:tcW w:w="812" w:type="dxa"/>
            <w:tcBorders>
              <w:top w:val="nil"/>
              <w:bottom w:val="nil"/>
            </w:tcBorders>
          </w:tcPr>
          <w:p w:rsidR="00443EC1" w:rsidRDefault="00443EC1">
            <w:pPr>
              <w:spacing w:before="0" w:after="0" w:line="260" w:lineRule="exact"/>
              <w:jc w:val="center"/>
              <w:rPr>
                <w:rStyle w:val="FootnoteReference"/>
                <w:rFonts w:hint="cs"/>
                <w:bCs w:val="0"/>
                <w:szCs w:val="26"/>
                <w:vertAlign w:val="baseline"/>
              </w:rPr>
            </w:pPr>
            <w:r>
              <w:rPr>
                <w:rFonts w:hint="cs"/>
                <w:szCs w:val="26"/>
                <w:rtl/>
              </w:rPr>
              <w:t>...</w:t>
            </w:r>
          </w:p>
        </w:tc>
        <w:tc>
          <w:tcPr>
            <w:tcW w:w="826" w:type="dxa"/>
            <w:tcBorders>
              <w:top w:val="nil"/>
              <w:bottom w:val="nil"/>
            </w:tcBorders>
          </w:tcPr>
          <w:p w:rsidR="00443EC1" w:rsidRDefault="00443EC1">
            <w:pPr>
              <w:spacing w:before="0" w:after="0" w:line="260" w:lineRule="exact"/>
              <w:jc w:val="both"/>
              <w:rPr>
                <w:rStyle w:val="FootnoteReference"/>
                <w:rFonts w:hint="cs"/>
                <w:bCs w:val="0"/>
                <w:szCs w:val="26"/>
                <w:vertAlign w:val="baseline"/>
              </w:rPr>
            </w:pPr>
            <w:r>
              <w:rPr>
                <w:rFonts w:hint="cs"/>
                <w:szCs w:val="26"/>
                <w:rtl/>
              </w:rPr>
              <w:t>...</w:t>
            </w:r>
          </w:p>
        </w:tc>
        <w:tc>
          <w:tcPr>
            <w:tcW w:w="868" w:type="dxa"/>
            <w:tcBorders>
              <w:top w:val="nil"/>
              <w:bottom w:val="nil"/>
            </w:tcBorders>
          </w:tcPr>
          <w:p w:rsidR="00443EC1" w:rsidRDefault="00443EC1">
            <w:pPr>
              <w:spacing w:before="0" w:after="0" w:line="260" w:lineRule="exact"/>
              <w:jc w:val="center"/>
              <w:rPr>
                <w:rStyle w:val="FootnoteReference"/>
                <w:rFonts w:hint="cs"/>
                <w:bCs w:val="0"/>
                <w:szCs w:val="26"/>
                <w:vertAlign w:val="baseline"/>
              </w:rPr>
            </w:pPr>
            <w:r>
              <w:rPr>
                <w:rFonts w:hint="cs"/>
                <w:szCs w:val="26"/>
                <w:rtl/>
              </w:rPr>
              <w:t>...</w:t>
            </w:r>
          </w:p>
        </w:tc>
        <w:tc>
          <w:tcPr>
            <w:tcW w:w="1049" w:type="dxa"/>
            <w:tcBorders>
              <w:top w:val="nil"/>
              <w:bottom w:val="nil"/>
            </w:tcBorders>
          </w:tcPr>
          <w:p w:rsidR="00443EC1" w:rsidRDefault="00443EC1">
            <w:pPr>
              <w:spacing w:before="0" w:after="0" w:line="260" w:lineRule="exact"/>
              <w:ind w:left="113"/>
              <w:jc w:val="both"/>
              <w:rPr>
                <w:rStyle w:val="FootnoteReference"/>
                <w:rFonts w:hint="cs"/>
                <w:bCs w:val="0"/>
                <w:szCs w:val="26"/>
                <w:vertAlign w:val="baseline"/>
              </w:rPr>
            </w:pPr>
            <w:r>
              <w:rPr>
                <w:rFonts w:hint="cs"/>
                <w:szCs w:val="26"/>
                <w:rtl/>
              </w:rPr>
              <w:t>...</w:t>
            </w:r>
          </w:p>
        </w:tc>
        <w:tc>
          <w:tcPr>
            <w:tcW w:w="1148" w:type="dxa"/>
            <w:tcBorders>
              <w:top w:val="nil"/>
              <w:bottom w:val="nil"/>
            </w:tcBorders>
          </w:tcPr>
          <w:p w:rsidR="00443EC1" w:rsidRDefault="00443EC1">
            <w:pPr>
              <w:spacing w:before="0" w:after="0" w:line="260" w:lineRule="exact"/>
              <w:ind w:left="227" w:firstLine="181"/>
              <w:jc w:val="both"/>
              <w:rPr>
                <w:rStyle w:val="FootnoteReference"/>
                <w:rFonts w:hint="cs"/>
                <w:bCs w:val="0"/>
                <w:szCs w:val="26"/>
                <w:vertAlign w:val="baseline"/>
              </w:rPr>
            </w:pPr>
            <w:r>
              <w:rPr>
                <w:rFonts w:hint="cs"/>
                <w:szCs w:val="26"/>
                <w:rtl/>
              </w:rPr>
              <w:t>92</w:t>
            </w:r>
          </w:p>
        </w:tc>
        <w:tc>
          <w:tcPr>
            <w:tcW w:w="1960" w:type="dxa"/>
            <w:tcBorders>
              <w:top w:val="nil"/>
              <w:bottom w:val="nil"/>
            </w:tcBorders>
          </w:tcPr>
          <w:p w:rsidR="00443EC1" w:rsidRDefault="00443EC1">
            <w:pPr>
              <w:spacing w:before="0" w:after="0" w:line="260" w:lineRule="exact"/>
              <w:ind w:firstLine="528"/>
              <w:jc w:val="both"/>
              <w:rPr>
                <w:rStyle w:val="FootnoteReference"/>
                <w:rFonts w:hint="cs"/>
                <w:bCs w:val="0"/>
                <w:szCs w:val="26"/>
                <w:vertAlign w:val="baseline"/>
              </w:rPr>
            </w:pPr>
            <w:r>
              <w:rPr>
                <w:rFonts w:hint="cs"/>
                <w:szCs w:val="26"/>
                <w:rtl/>
              </w:rPr>
              <w:t>92</w:t>
            </w:r>
          </w:p>
        </w:tc>
        <w:tc>
          <w:tcPr>
            <w:tcW w:w="1106" w:type="dxa"/>
            <w:tcBorders>
              <w:top w:val="nil"/>
              <w:bottom w:val="nil"/>
            </w:tcBorders>
          </w:tcPr>
          <w:p w:rsidR="00443EC1" w:rsidRDefault="00443EC1">
            <w:pPr>
              <w:spacing w:before="0" w:after="0" w:line="260" w:lineRule="exact"/>
              <w:ind w:left="227" w:firstLine="147"/>
              <w:jc w:val="both"/>
              <w:rPr>
                <w:rStyle w:val="FootnoteReference"/>
                <w:rFonts w:hint="cs"/>
                <w:bCs w:val="0"/>
                <w:szCs w:val="26"/>
                <w:vertAlign w:val="baseline"/>
              </w:rPr>
            </w:pPr>
            <w:r>
              <w:rPr>
                <w:rFonts w:hint="cs"/>
                <w:szCs w:val="26"/>
                <w:rtl/>
              </w:rPr>
              <w:t>94</w:t>
            </w:r>
          </w:p>
        </w:tc>
        <w:tc>
          <w:tcPr>
            <w:tcW w:w="850" w:type="dxa"/>
            <w:tcBorders>
              <w:top w:val="nil"/>
              <w:bottom w:val="nil"/>
            </w:tcBorders>
          </w:tcPr>
          <w:p w:rsidR="00443EC1" w:rsidRDefault="00443EC1">
            <w:pPr>
              <w:spacing w:before="0" w:after="0" w:line="260" w:lineRule="exact"/>
              <w:ind w:left="227"/>
              <w:jc w:val="both"/>
              <w:rPr>
                <w:rStyle w:val="FootnoteReference"/>
                <w:rFonts w:hint="cs"/>
                <w:bCs w:val="0"/>
                <w:szCs w:val="26"/>
                <w:vertAlign w:val="baseline"/>
              </w:rPr>
            </w:pPr>
            <w:r>
              <w:rPr>
                <w:rFonts w:hint="cs"/>
                <w:szCs w:val="26"/>
                <w:rtl/>
              </w:rPr>
              <w:t>93</w:t>
            </w:r>
          </w:p>
        </w:tc>
      </w:tr>
      <w:tr w:rsidR="00443EC1" w:rsidTr="00443EC1">
        <w:tblPrEx>
          <w:tblCellMar>
            <w:top w:w="0" w:type="dxa"/>
            <w:bottom w:w="0" w:type="dxa"/>
          </w:tblCellMar>
        </w:tblPrEx>
        <w:trPr>
          <w:jc w:val="center"/>
        </w:trPr>
        <w:tc>
          <w:tcPr>
            <w:tcW w:w="951" w:type="dxa"/>
            <w:tcBorders>
              <w:top w:val="nil"/>
              <w:bottom w:val="nil"/>
            </w:tcBorders>
          </w:tcPr>
          <w:p w:rsidR="00443EC1" w:rsidRDefault="00443EC1">
            <w:pPr>
              <w:spacing w:before="0" w:after="0" w:line="260" w:lineRule="exact"/>
              <w:jc w:val="center"/>
              <w:rPr>
                <w:rStyle w:val="FootnoteReference"/>
                <w:rFonts w:hint="cs"/>
                <w:bCs w:val="0"/>
                <w:szCs w:val="26"/>
                <w:vertAlign w:val="baseline"/>
              </w:rPr>
            </w:pPr>
            <w:r>
              <w:rPr>
                <w:rFonts w:hint="cs"/>
                <w:szCs w:val="26"/>
                <w:rtl/>
              </w:rPr>
              <w:t>1996</w:t>
            </w:r>
          </w:p>
        </w:tc>
        <w:tc>
          <w:tcPr>
            <w:tcW w:w="812" w:type="dxa"/>
            <w:tcBorders>
              <w:top w:val="nil"/>
              <w:bottom w:val="nil"/>
            </w:tcBorders>
          </w:tcPr>
          <w:p w:rsidR="00443EC1" w:rsidRDefault="00443EC1">
            <w:pPr>
              <w:spacing w:before="0" w:after="0" w:line="260" w:lineRule="exact"/>
              <w:jc w:val="center"/>
              <w:rPr>
                <w:rStyle w:val="FootnoteReference"/>
                <w:rFonts w:hint="cs"/>
                <w:bCs w:val="0"/>
                <w:szCs w:val="26"/>
                <w:vertAlign w:val="baseline"/>
              </w:rPr>
            </w:pPr>
            <w:r>
              <w:rPr>
                <w:rFonts w:hint="cs"/>
                <w:szCs w:val="26"/>
                <w:rtl/>
              </w:rPr>
              <w:t>...</w:t>
            </w:r>
          </w:p>
        </w:tc>
        <w:tc>
          <w:tcPr>
            <w:tcW w:w="826" w:type="dxa"/>
            <w:tcBorders>
              <w:top w:val="nil"/>
              <w:bottom w:val="nil"/>
            </w:tcBorders>
          </w:tcPr>
          <w:p w:rsidR="00443EC1" w:rsidRDefault="00443EC1">
            <w:pPr>
              <w:spacing w:before="0" w:after="0" w:line="260" w:lineRule="exact"/>
              <w:jc w:val="both"/>
              <w:rPr>
                <w:rStyle w:val="FootnoteReference"/>
                <w:rFonts w:hint="cs"/>
                <w:bCs w:val="0"/>
                <w:szCs w:val="26"/>
                <w:vertAlign w:val="baseline"/>
              </w:rPr>
            </w:pPr>
            <w:r>
              <w:rPr>
                <w:rFonts w:hint="cs"/>
                <w:szCs w:val="26"/>
                <w:rtl/>
              </w:rPr>
              <w:t>...</w:t>
            </w:r>
          </w:p>
        </w:tc>
        <w:tc>
          <w:tcPr>
            <w:tcW w:w="868" w:type="dxa"/>
            <w:tcBorders>
              <w:top w:val="nil"/>
              <w:bottom w:val="nil"/>
            </w:tcBorders>
          </w:tcPr>
          <w:p w:rsidR="00443EC1" w:rsidRDefault="00443EC1">
            <w:pPr>
              <w:spacing w:before="0" w:after="0" w:line="260" w:lineRule="exact"/>
              <w:jc w:val="center"/>
              <w:rPr>
                <w:rStyle w:val="FootnoteReference"/>
                <w:rFonts w:hint="cs"/>
                <w:bCs w:val="0"/>
                <w:szCs w:val="26"/>
                <w:vertAlign w:val="baseline"/>
              </w:rPr>
            </w:pPr>
            <w:r>
              <w:rPr>
                <w:rFonts w:hint="cs"/>
                <w:szCs w:val="26"/>
                <w:rtl/>
              </w:rPr>
              <w:t>...</w:t>
            </w:r>
          </w:p>
        </w:tc>
        <w:tc>
          <w:tcPr>
            <w:tcW w:w="1049" w:type="dxa"/>
            <w:tcBorders>
              <w:top w:val="nil"/>
              <w:bottom w:val="nil"/>
            </w:tcBorders>
          </w:tcPr>
          <w:p w:rsidR="00443EC1" w:rsidRDefault="00443EC1">
            <w:pPr>
              <w:spacing w:before="0" w:after="0" w:line="260" w:lineRule="exact"/>
              <w:ind w:left="113"/>
              <w:jc w:val="both"/>
              <w:rPr>
                <w:rStyle w:val="FootnoteReference"/>
                <w:rFonts w:hint="cs"/>
                <w:bCs w:val="0"/>
                <w:szCs w:val="26"/>
                <w:vertAlign w:val="baseline"/>
              </w:rPr>
            </w:pPr>
            <w:r>
              <w:rPr>
                <w:rFonts w:hint="cs"/>
                <w:szCs w:val="26"/>
                <w:rtl/>
              </w:rPr>
              <w:t>...</w:t>
            </w:r>
          </w:p>
        </w:tc>
        <w:tc>
          <w:tcPr>
            <w:tcW w:w="1148" w:type="dxa"/>
            <w:tcBorders>
              <w:top w:val="nil"/>
              <w:bottom w:val="nil"/>
            </w:tcBorders>
          </w:tcPr>
          <w:p w:rsidR="00443EC1" w:rsidRDefault="00443EC1">
            <w:pPr>
              <w:spacing w:before="0" w:after="0" w:line="260" w:lineRule="exact"/>
              <w:ind w:left="227" w:firstLine="181"/>
              <w:jc w:val="both"/>
              <w:rPr>
                <w:rStyle w:val="FootnoteReference"/>
                <w:rFonts w:hint="cs"/>
                <w:bCs w:val="0"/>
                <w:szCs w:val="26"/>
                <w:vertAlign w:val="baseline"/>
              </w:rPr>
            </w:pPr>
            <w:r>
              <w:rPr>
                <w:rFonts w:hint="cs"/>
                <w:szCs w:val="26"/>
                <w:rtl/>
              </w:rPr>
              <w:t>97</w:t>
            </w:r>
          </w:p>
        </w:tc>
        <w:tc>
          <w:tcPr>
            <w:tcW w:w="1960" w:type="dxa"/>
            <w:tcBorders>
              <w:top w:val="nil"/>
              <w:bottom w:val="nil"/>
            </w:tcBorders>
          </w:tcPr>
          <w:p w:rsidR="00443EC1" w:rsidRDefault="00443EC1">
            <w:pPr>
              <w:spacing w:before="0" w:after="0" w:line="260" w:lineRule="exact"/>
              <w:ind w:firstLine="528"/>
              <w:jc w:val="both"/>
              <w:rPr>
                <w:rStyle w:val="FootnoteReference"/>
                <w:rFonts w:hint="cs"/>
                <w:bCs w:val="0"/>
                <w:szCs w:val="26"/>
                <w:vertAlign w:val="baseline"/>
              </w:rPr>
            </w:pPr>
            <w:r>
              <w:rPr>
                <w:rFonts w:hint="cs"/>
                <w:szCs w:val="26"/>
                <w:rtl/>
              </w:rPr>
              <w:t>95</w:t>
            </w:r>
          </w:p>
        </w:tc>
        <w:tc>
          <w:tcPr>
            <w:tcW w:w="1106" w:type="dxa"/>
            <w:tcBorders>
              <w:top w:val="nil"/>
              <w:bottom w:val="nil"/>
            </w:tcBorders>
          </w:tcPr>
          <w:p w:rsidR="00443EC1" w:rsidRDefault="00443EC1">
            <w:pPr>
              <w:spacing w:before="0" w:after="0" w:line="260" w:lineRule="exact"/>
              <w:ind w:left="227" w:firstLine="147"/>
              <w:jc w:val="both"/>
              <w:rPr>
                <w:rStyle w:val="FootnoteReference"/>
                <w:rFonts w:hint="cs"/>
                <w:bCs w:val="0"/>
                <w:szCs w:val="26"/>
                <w:vertAlign w:val="baseline"/>
              </w:rPr>
            </w:pPr>
            <w:r>
              <w:rPr>
                <w:rFonts w:hint="cs"/>
                <w:szCs w:val="26"/>
                <w:rtl/>
              </w:rPr>
              <w:t>96</w:t>
            </w:r>
          </w:p>
        </w:tc>
        <w:tc>
          <w:tcPr>
            <w:tcW w:w="850" w:type="dxa"/>
            <w:tcBorders>
              <w:top w:val="nil"/>
              <w:bottom w:val="nil"/>
            </w:tcBorders>
          </w:tcPr>
          <w:p w:rsidR="00443EC1" w:rsidRDefault="00443EC1">
            <w:pPr>
              <w:spacing w:before="0" w:after="0" w:line="260" w:lineRule="exact"/>
              <w:ind w:left="227"/>
              <w:jc w:val="both"/>
              <w:rPr>
                <w:rStyle w:val="FootnoteReference"/>
                <w:rFonts w:hint="cs"/>
                <w:bCs w:val="0"/>
                <w:szCs w:val="26"/>
                <w:vertAlign w:val="baseline"/>
              </w:rPr>
            </w:pPr>
            <w:r>
              <w:rPr>
                <w:rFonts w:hint="cs"/>
                <w:szCs w:val="26"/>
                <w:rtl/>
              </w:rPr>
              <w:t>97</w:t>
            </w:r>
          </w:p>
        </w:tc>
      </w:tr>
      <w:tr w:rsidR="00443EC1" w:rsidTr="00443EC1">
        <w:tblPrEx>
          <w:tblCellMar>
            <w:top w:w="0" w:type="dxa"/>
            <w:bottom w:w="0" w:type="dxa"/>
          </w:tblCellMar>
        </w:tblPrEx>
        <w:trPr>
          <w:jc w:val="center"/>
        </w:trPr>
        <w:tc>
          <w:tcPr>
            <w:tcW w:w="951" w:type="dxa"/>
            <w:tcBorders>
              <w:top w:val="nil"/>
              <w:bottom w:val="nil"/>
            </w:tcBorders>
          </w:tcPr>
          <w:p w:rsidR="00443EC1" w:rsidRDefault="00443EC1">
            <w:pPr>
              <w:spacing w:before="0" w:after="0" w:line="260" w:lineRule="exact"/>
              <w:jc w:val="center"/>
              <w:rPr>
                <w:rStyle w:val="FootnoteReference"/>
                <w:rFonts w:hint="cs"/>
                <w:bCs w:val="0"/>
                <w:szCs w:val="26"/>
                <w:vertAlign w:val="baseline"/>
              </w:rPr>
            </w:pPr>
            <w:r>
              <w:rPr>
                <w:rFonts w:hint="cs"/>
                <w:szCs w:val="26"/>
                <w:rtl/>
              </w:rPr>
              <w:t>1997</w:t>
            </w:r>
          </w:p>
        </w:tc>
        <w:tc>
          <w:tcPr>
            <w:tcW w:w="812" w:type="dxa"/>
            <w:tcBorders>
              <w:top w:val="nil"/>
              <w:bottom w:val="nil"/>
            </w:tcBorders>
          </w:tcPr>
          <w:p w:rsidR="00443EC1" w:rsidRDefault="00443EC1">
            <w:pPr>
              <w:spacing w:before="0" w:after="0" w:line="260" w:lineRule="exact"/>
              <w:jc w:val="center"/>
              <w:rPr>
                <w:rStyle w:val="FootnoteReference"/>
                <w:rFonts w:hint="cs"/>
                <w:bCs w:val="0"/>
                <w:szCs w:val="26"/>
                <w:vertAlign w:val="baseline"/>
              </w:rPr>
            </w:pPr>
            <w:r>
              <w:rPr>
                <w:rFonts w:hint="cs"/>
                <w:szCs w:val="26"/>
                <w:rtl/>
              </w:rPr>
              <w:t>...</w:t>
            </w:r>
          </w:p>
        </w:tc>
        <w:tc>
          <w:tcPr>
            <w:tcW w:w="826" w:type="dxa"/>
            <w:tcBorders>
              <w:top w:val="nil"/>
              <w:bottom w:val="nil"/>
            </w:tcBorders>
          </w:tcPr>
          <w:p w:rsidR="00443EC1" w:rsidRDefault="00443EC1">
            <w:pPr>
              <w:spacing w:before="0" w:after="0" w:line="260" w:lineRule="exact"/>
              <w:jc w:val="both"/>
              <w:rPr>
                <w:rStyle w:val="FootnoteReference"/>
                <w:rFonts w:hint="cs"/>
                <w:bCs w:val="0"/>
                <w:szCs w:val="26"/>
                <w:vertAlign w:val="baseline"/>
              </w:rPr>
            </w:pPr>
            <w:r>
              <w:rPr>
                <w:rFonts w:hint="cs"/>
                <w:szCs w:val="26"/>
                <w:rtl/>
              </w:rPr>
              <w:t>...</w:t>
            </w:r>
          </w:p>
        </w:tc>
        <w:tc>
          <w:tcPr>
            <w:tcW w:w="868" w:type="dxa"/>
            <w:tcBorders>
              <w:top w:val="nil"/>
              <w:bottom w:val="nil"/>
            </w:tcBorders>
          </w:tcPr>
          <w:p w:rsidR="00443EC1" w:rsidRDefault="00443EC1">
            <w:pPr>
              <w:spacing w:before="0" w:after="0" w:line="260" w:lineRule="exact"/>
              <w:jc w:val="center"/>
              <w:rPr>
                <w:rStyle w:val="FootnoteReference"/>
                <w:rFonts w:hint="cs"/>
                <w:bCs w:val="0"/>
                <w:szCs w:val="26"/>
                <w:vertAlign w:val="baseline"/>
              </w:rPr>
            </w:pPr>
            <w:r>
              <w:rPr>
                <w:rFonts w:hint="cs"/>
                <w:szCs w:val="26"/>
                <w:rtl/>
              </w:rPr>
              <w:t>...</w:t>
            </w:r>
          </w:p>
        </w:tc>
        <w:tc>
          <w:tcPr>
            <w:tcW w:w="1049" w:type="dxa"/>
            <w:tcBorders>
              <w:top w:val="nil"/>
              <w:bottom w:val="nil"/>
            </w:tcBorders>
          </w:tcPr>
          <w:p w:rsidR="00443EC1" w:rsidRDefault="00443EC1">
            <w:pPr>
              <w:spacing w:before="0" w:after="0" w:line="260" w:lineRule="exact"/>
              <w:ind w:left="113"/>
              <w:jc w:val="both"/>
              <w:rPr>
                <w:rStyle w:val="FootnoteReference"/>
                <w:rFonts w:hint="cs"/>
                <w:bCs w:val="0"/>
                <w:szCs w:val="26"/>
                <w:vertAlign w:val="baseline"/>
              </w:rPr>
            </w:pPr>
            <w:r>
              <w:rPr>
                <w:rFonts w:hint="cs"/>
                <w:szCs w:val="26"/>
                <w:rtl/>
              </w:rPr>
              <w:t>...</w:t>
            </w:r>
          </w:p>
        </w:tc>
        <w:tc>
          <w:tcPr>
            <w:tcW w:w="1148" w:type="dxa"/>
            <w:tcBorders>
              <w:top w:val="nil"/>
              <w:bottom w:val="nil"/>
            </w:tcBorders>
          </w:tcPr>
          <w:p w:rsidR="00443EC1" w:rsidRDefault="00443EC1">
            <w:pPr>
              <w:spacing w:before="0" w:after="0" w:line="260" w:lineRule="exact"/>
              <w:ind w:left="227" w:firstLine="181"/>
              <w:jc w:val="both"/>
              <w:rPr>
                <w:rStyle w:val="FootnoteReference"/>
                <w:rFonts w:hint="cs"/>
                <w:bCs w:val="0"/>
                <w:szCs w:val="26"/>
                <w:vertAlign w:val="baseline"/>
              </w:rPr>
            </w:pPr>
            <w:r>
              <w:rPr>
                <w:rFonts w:hint="cs"/>
                <w:szCs w:val="26"/>
                <w:rtl/>
              </w:rPr>
              <w:t>96</w:t>
            </w:r>
          </w:p>
        </w:tc>
        <w:tc>
          <w:tcPr>
            <w:tcW w:w="1960" w:type="dxa"/>
            <w:tcBorders>
              <w:top w:val="nil"/>
              <w:bottom w:val="nil"/>
            </w:tcBorders>
          </w:tcPr>
          <w:p w:rsidR="00443EC1" w:rsidRDefault="00443EC1">
            <w:pPr>
              <w:spacing w:before="0" w:after="0" w:line="260" w:lineRule="exact"/>
              <w:ind w:firstLine="528"/>
              <w:jc w:val="both"/>
              <w:rPr>
                <w:rStyle w:val="FootnoteReference"/>
                <w:rFonts w:hint="cs"/>
                <w:bCs w:val="0"/>
                <w:szCs w:val="26"/>
                <w:vertAlign w:val="baseline"/>
              </w:rPr>
            </w:pPr>
            <w:r>
              <w:rPr>
                <w:rFonts w:hint="cs"/>
                <w:szCs w:val="26"/>
                <w:rtl/>
              </w:rPr>
              <w:t>96</w:t>
            </w:r>
          </w:p>
        </w:tc>
        <w:tc>
          <w:tcPr>
            <w:tcW w:w="1106" w:type="dxa"/>
            <w:tcBorders>
              <w:top w:val="nil"/>
              <w:bottom w:val="nil"/>
            </w:tcBorders>
          </w:tcPr>
          <w:p w:rsidR="00443EC1" w:rsidRDefault="00443EC1">
            <w:pPr>
              <w:spacing w:before="0" w:after="0" w:line="260" w:lineRule="exact"/>
              <w:ind w:left="227" w:firstLine="147"/>
              <w:jc w:val="both"/>
              <w:rPr>
                <w:rStyle w:val="FootnoteReference"/>
                <w:rFonts w:hint="cs"/>
                <w:bCs w:val="0"/>
                <w:szCs w:val="26"/>
                <w:vertAlign w:val="baseline"/>
              </w:rPr>
            </w:pPr>
            <w:r>
              <w:rPr>
                <w:rFonts w:hint="cs"/>
                <w:szCs w:val="26"/>
                <w:rtl/>
              </w:rPr>
              <w:t>97</w:t>
            </w:r>
          </w:p>
        </w:tc>
        <w:tc>
          <w:tcPr>
            <w:tcW w:w="850" w:type="dxa"/>
            <w:tcBorders>
              <w:top w:val="nil"/>
              <w:bottom w:val="nil"/>
            </w:tcBorders>
          </w:tcPr>
          <w:p w:rsidR="00443EC1" w:rsidRDefault="00443EC1">
            <w:pPr>
              <w:spacing w:before="0" w:after="0" w:line="260" w:lineRule="exact"/>
              <w:ind w:left="227"/>
              <w:jc w:val="both"/>
              <w:rPr>
                <w:rStyle w:val="FootnoteReference"/>
                <w:rFonts w:hint="cs"/>
                <w:bCs w:val="0"/>
                <w:szCs w:val="26"/>
                <w:vertAlign w:val="baseline"/>
              </w:rPr>
            </w:pPr>
            <w:r>
              <w:rPr>
                <w:rFonts w:hint="cs"/>
                <w:szCs w:val="26"/>
                <w:rtl/>
              </w:rPr>
              <w:t>96</w:t>
            </w:r>
          </w:p>
        </w:tc>
      </w:tr>
      <w:tr w:rsidR="00443EC1" w:rsidTr="00443EC1">
        <w:tblPrEx>
          <w:tblCellMar>
            <w:top w:w="0" w:type="dxa"/>
            <w:bottom w:w="0" w:type="dxa"/>
          </w:tblCellMar>
        </w:tblPrEx>
        <w:trPr>
          <w:jc w:val="center"/>
        </w:trPr>
        <w:tc>
          <w:tcPr>
            <w:tcW w:w="951" w:type="dxa"/>
            <w:tcBorders>
              <w:top w:val="nil"/>
              <w:bottom w:val="nil"/>
            </w:tcBorders>
          </w:tcPr>
          <w:p w:rsidR="00443EC1" w:rsidRDefault="00443EC1">
            <w:pPr>
              <w:spacing w:before="0" w:after="0" w:line="260" w:lineRule="exact"/>
              <w:jc w:val="center"/>
              <w:rPr>
                <w:rStyle w:val="FootnoteReference"/>
                <w:rFonts w:hint="cs"/>
                <w:bCs w:val="0"/>
                <w:szCs w:val="26"/>
                <w:vertAlign w:val="baseline"/>
              </w:rPr>
            </w:pPr>
            <w:r>
              <w:rPr>
                <w:rFonts w:hint="cs"/>
                <w:szCs w:val="26"/>
                <w:rtl/>
              </w:rPr>
              <w:t>1999</w:t>
            </w:r>
          </w:p>
        </w:tc>
        <w:tc>
          <w:tcPr>
            <w:tcW w:w="812" w:type="dxa"/>
            <w:tcBorders>
              <w:top w:val="nil"/>
              <w:bottom w:val="nil"/>
            </w:tcBorders>
          </w:tcPr>
          <w:p w:rsidR="00443EC1" w:rsidRDefault="00443EC1">
            <w:pPr>
              <w:spacing w:before="0" w:after="0" w:line="260" w:lineRule="exact"/>
              <w:jc w:val="center"/>
              <w:rPr>
                <w:rStyle w:val="FootnoteReference"/>
                <w:rFonts w:hint="cs"/>
                <w:bCs w:val="0"/>
                <w:szCs w:val="26"/>
                <w:vertAlign w:val="baseline"/>
              </w:rPr>
            </w:pPr>
            <w:r>
              <w:rPr>
                <w:rFonts w:hint="cs"/>
                <w:szCs w:val="26"/>
                <w:rtl/>
              </w:rPr>
              <w:t>...</w:t>
            </w:r>
          </w:p>
        </w:tc>
        <w:tc>
          <w:tcPr>
            <w:tcW w:w="826" w:type="dxa"/>
            <w:tcBorders>
              <w:top w:val="nil"/>
              <w:bottom w:val="nil"/>
            </w:tcBorders>
          </w:tcPr>
          <w:p w:rsidR="00443EC1" w:rsidRDefault="00443EC1">
            <w:pPr>
              <w:spacing w:before="0" w:after="0" w:line="260" w:lineRule="exact"/>
              <w:jc w:val="both"/>
              <w:rPr>
                <w:rStyle w:val="FootnoteReference"/>
                <w:rFonts w:hint="cs"/>
                <w:bCs w:val="0"/>
                <w:szCs w:val="26"/>
                <w:vertAlign w:val="baseline"/>
              </w:rPr>
            </w:pPr>
            <w:r>
              <w:rPr>
                <w:rFonts w:hint="cs"/>
                <w:szCs w:val="26"/>
                <w:rtl/>
              </w:rPr>
              <w:t>...</w:t>
            </w:r>
          </w:p>
        </w:tc>
        <w:tc>
          <w:tcPr>
            <w:tcW w:w="868" w:type="dxa"/>
            <w:tcBorders>
              <w:top w:val="nil"/>
              <w:bottom w:val="nil"/>
            </w:tcBorders>
          </w:tcPr>
          <w:p w:rsidR="00443EC1" w:rsidRDefault="00443EC1">
            <w:pPr>
              <w:spacing w:before="0" w:after="0" w:line="260" w:lineRule="exact"/>
              <w:jc w:val="center"/>
              <w:rPr>
                <w:rStyle w:val="FootnoteReference"/>
                <w:rFonts w:hint="cs"/>
                <w:bCs w:val="0"/>
                <w:szCs w:val="26"/>
                <w:vertAlign w:val="baseline"/>
              </w:rPr>
            </w:pPr>
            <w:r>
              <w:rPr>
                <w:rFonts w:hint="cs"/>
                <w:szCs w:val="26"/>
                <w:rtl/>
              </w:rPr>
              <w:t>...</w:t>
            </w:r>
          </w:p>
        </w:tc>
        <w:tc>
          <w:tcPr>
            <w:tcW w:w="1049" w:type="dxa"/>
            <w:tcBorders>
              <w:top w:val="nil"/>
              <w:bottom w:val="nil"/>
            </w:tcBorders>
          </w:tcPr>
          <w:p w:rsidR="00443EC1" w:rsidRDefault="00443EC1">
            <w:pPr>
              <w:spacing w:before="0" w:after="0" w:line="260" w:lineRule="exact"/>
              <w:ind w:left="113"/>
              <w:jc w:val="both"/>
              <w:rPr>
                <w:rStyle w:val="FootnoteReference"/>
                <w:rFonts w:hint="cs"/>
                <w:bCs w:val="0"/>
                <w:szCs w:val="26"/>
                <w:vertAlign w:val="baseline"/>
              </w:rPr>
            </w:pPr>
            <w:r>
              <w:rPr>
                <w:rFonts w:hint="cs"/>
                <w:szCs w:val="26"/>
                <w:rtl/>
              </w:rPr>
              <w:t>...</w:t>
            </w:r>
          </w:p>
        </w:tc>
        <w:tc>
          <w:tcPr>
            <w:tcW w:w="1148" w:type="dxa"/>
            <w:tcBorders>
              <w:top w:val="nil"/>
              <w:bottom w:val="nil"/>
            </w:tcBorders>
          </w:tcPr>
          <w:p w:rsidR="00443EC1" w:rsidRDefault="00443EC1">
            <w:pPr>
              <w:spacing w:before="0" w:after="0" w:line="260" w:lineRule="exact"/>
              <w:ind w:firstLine="182"/>
              <w:jc w:val="both"/>
              <w:rPr>
                <w:rStyle w:val="FootnoteReference"/>
                <w:rFonts w:hint="cs"/>
                <w:bCs w:val="0"/>
                <w:szCs w:val="26"/>
                <w:vertAlign w:val="baseline"/>
              </w:rPr>
            </w:pPr>
            <w:r>
              <w:rPr>
                <w:rFonts w:hint="cs"/>
                <w:szCs w:val="26"/>
                <w:rtl/>
              </w:rPr>
              <w:t>97.2</w:t>
            </w:r>
          </w:p>
        </w:tc>
        <w:tc>
          <w:tcPr>
            <w:tcW w:w="1960" w:type="dxa"/>
            <w:tcBorders>
              <w:top w:val="nil"/>
              <w:bottom w:val="nil"/>
            </w:tcBorders>
          </w:tcPr>
          <w:p w:rsidR="00443EC1" w:rsidRDefault="00443EC1">
            <w:pPr>
              <w:spacing w:before="0" w:after="0" w:line="260" w:lineRule="exact"/>
              <w:ind w:firstLine="315"/>
              <w:jc w:val="both"/>
              <w:rPr>
                <w:rStyle w:val="FootnoteReference"/>
                <w:rFonts w:hint="cs"/>
                <w:bCs w:val="0"/>
                <w:szCs w:val="26"/>
                <w:vertAlign w:val="baseline"/>
              </w:rPr>
            </w:pPr>
            <w:r>
              <w:rPr>
                <w:rFonts w:hint="cs"/>
                <w:szCs w:val="26"/>
                <w:rtl/>
              </w:rPr>
              <w:t>92.0</w:t>
            </w:r>
          </w:p>
        </w:tc>
        <w:tc>
          <w:tcPr>
            <w:tcW w:w="1106" w:type="dxa"/>
            <w:tcBorders>
              <w:top w:val="nil"/>
              <w:bottom w:val="nil"/>
            </w:tcBorders>
          </w:tcPr>
          <w:p w:rsidR="00443EC1" w:rsidRDefault="00443EC1">
            <w:pPr>
              <w:spacing w:before="0" w:after="0" w:line="260" w:lineRule="exact"/>
              <w:ind w:firstLine="150"/>
              <w:jc w:val="both"/>
              <w:rPr>
                <w:rStyle w:val="FootnoteReference"/>
                <w:rFonts w:hint="cs"/>
                <w:bCs w:val="0"/>
                <w:szCs w:val="26"/>
                <w:vertAlign w:val="baseline"/>
              </w:rPr>
            </w:pPr>
            <w:r>
              <w:rPr>
                <w:rFonts w:hint="cs"/>
                <w:szCs w:val="26"/>
                <w:rtl/>
              </w:rPr>
              <w:t>92.7</w:t>
            </w:r>
          </w:p>
        </w:tc>
        <w:tc>
          <w:tcPr>
            <w:tcW w:w="850" w:type="dxa"/>
            <w:tcBorders>
              <w:top w:val="nil"/>
              <w:bottom w:val="nil"/>
            </w:tcBorders>
          </w:tcPr>
          <w:p w:rsidR="00443EC1" w:rsidRDefault="00443EC1">
            <w:pPr>
              <w:spacing w:before="0" w:after="0" w:line="260" w:lineRule="exact"/>
              <w:jc w:val="both"/>
              <w:rPr>
                <w:rStyle w:val="FootnoteReference"/>
                <w:rFonts w:hint="cs"/>
                <w:bCs w:val="0"/>
                <w:szCs w:val="26"/>
                <w:vertAlign w:val="baseline"/>
              </w:rPr>
            </w:pPr>
            <w:r>
              <w:rPr>
                <w:rFonts w:hint="cs"/>
                <w:szCs w:val="26"/>
                <w:rtl/>
              </w:rPr>
              <w:t>93.6</w:t>
            </w:r>
          </w:p>
        </w:tc>
      </w:tr>
      <w:tr w:rsidR="00443EC1" w:rsidTr="00443EC1">
        <w:tblPrEx>
          <w:tblCellMar>
            <w:top w:w="0" w:type="dxa"/>
            <w:bottom w:w="0" w:type="dxa"/>
          </w:tblCellMar>
        </w:tblPrEx>
        <w:trPr>
          <w:jc w:val="center"/>
        </w:trPr>
        <w:tc>
          <w:tcPr>
            <w:tcW w:w="951" w:type="dxa"/>
            <w:tcBorders>
              <w:top w:val="nil"/>
              <w:bottom w:val="nil"/>
            </w:tcBorders>
          </w:tcPr>
          <w:p w:rsidR="00443EC1" w:rsidRDefault="00443EC1">
            <w:pPr>
              <w:spacing w:before="0" w:after="0" w:line="260" w:lineRule="exact"/>
              <w:jc w:val="center"/>
              <w:rPr>
                <w:rStyle w:val="FootnoteReference"/>
                <w:rFonts w:hint="cs"/>
                <w:bCs w:val="0"/>
                <w:szCs w:val="26"/>
                <w:vertAlign w:val="baseline"/>
              </w:rPr>
            </w:pPr>
            <w:r>
              <w:rPr>
                <w:rFonts w:hint="cs"/>
                <w:szCs w:val="26"/>
                <w:rtl/>
              </w:rPr>
              <w:t>2000</w:t>
            </w:r>
          </w:p>
        </w:tc>
        <w:tc>
          <w:tcPr>
            <w:tcW w:w="812" w:type="dxa"/>
            <w:tcBorders>
              <w:top w:val="nil"/>
              <w:bottom w:val="nil"/>
            </w:tcBorders>
          </w:tcPr>
          <w:p w:rsidR="00443EC1" w:rsidRDefault="00443EC1">
            <w:pPr>
              <w:spacing w:before="0" w:after="0" w:line="260" w:lineRule="exact"/>
              <w:jc w:val="center"/>
              <w:rPr>
                <w:rStyle w:val="FootnoteReference"/>
                <w:rFonts w:hint="cs"/>
                <w:bCs w:val="0"/>
                <w:szCs w:val="26"/>
                <w:vertAlign w:val="baseline"/>
              </w:rPr>
            </w:pPr>
            <w:r>
              <w:rPr>
                <w:rFonts w:hint="cs"/>
                <w:szCs w:val="26"/>
                <w:rtl/>
              </w:rPr>
              <w:t>...</w:t>
            </w:r>
          </w:p>
        </w:tc>
        <w:tc>
          <w:tcPr>
            <w:tcW w:w="826" w:type="dxa"/>
            <w:tcBorders>
              <w:top w:val="nil"/>
              <w:bottom w:val="nil"/>
            </w:tcBorders>
          </w:tcPr>
          <w:p w:rsidR="00443EC1" w:rsidRDefault="00443EC1">
            <w:pPr>
              <w:spacing w:before="0" w:after="0" w:line="260" w:lineRule="exact"/>
              <w:jc w:val="both"/>
              <w:rPr>
                <w:rStyle w:val="FootnoteReference"/>
                <w:rFonts w:hint="cs"/>
                <w:bCs w:val="0"/>
                <w:szCs w:val="26"/>
                <w:vertAlign w:val="baseline"/>
              </w:rPr>
            </w:pPr>
            <w:r>
              <w:rPr>
                <w:rFonts w:hint="cs"/>
                <w:szCs w:val="26"/>
                <w:rtl/>
              </w:rPr>
              <w:t>...</w:t>
            </w:r>
          </w:p>
        </w:tc>
        <w:tc>
          <w:tcPr>
            <w:tcW w:w="868" w:type="dxa"/>
            <w:tcBorders>
              <w:top w:val="nil"/>
              <w:bottom w:val="nil"/>
            </w:tcBorders>
          </w:tcPr>
          <w:p w:rsidR="00443EC1" w:rsidRDefault="00443EC1">
            <w:pPr>
              <w:spacing w:before="0" w:after="0" w:line="260" w:lineRule="exact"/>
              <w:jc w:val="center"/>
              <w:rPr>
                <w:rStyle w:val="FootnoteReference"/>
                <w:rFonts w:hint="cs"/>
                <w:bCs w:val="0"/>
                <w:szCs w:val="26"/>
                <w:vertAlign w:val="baseline"/>
              </w:rPr>
            </w:pPr>
            <w:r>
              <w:rPr>
                <w:rFonts w:hint="cs"/>
                <w:szCs w:val="26"/>
                <w:rtl/>
              </w:rPr>
              <w:t>...</w:t>
            </w:r>
          </w:p>
        </w:tc>
        <w:tc>
          <w:tcPr>
            <w:tcW w:w="1049" w:type="dxa"/>
            <w:tcBorders>
              <w:top w:val="nil"/>
              <w:bottom w:val="nil"/>
            </w:tcBorders>
          </w:tcPr>
          <w:p w:rsidR="00443EC1" w:rsidRDefault="00443EC1">
            <w:pPr>
              <w:spacing w:before="0" w:after="0" w:line="260" w:lineRule="exact"/>
              <w:ind w:left="113"/>
              <w:jc w:val="both"/>
              <w:rPr>
                <w:rStyle w:val="FootnoteReference"/>
                <w:rFonts w:hint="cs"/>
                <w:bCs w:val="0"/>
                <w:szCs w:val="26"/>
                <w:vertAlign w:val="baseline"/>
              </w:rPr>
            </w:pPr>
            <w:r>
              <w:rPr>
                <w:rFonts w:hint="cs"/>
                <w:szCs w:val="26"/>
                <w:rtl/>
              </w:rPr>
              <w:t>...</w:t>
            </w:r>
          </w:p>
        </w:tc>
        <w:tc>
          <w:tcPr>
            <w:tcW w:w="1148" w:type="dxa"/>
            <w:tcBorders>
              <w:top w:val="nil"/>
              <w:bottom w:val="nil"/>
            </w:tcBorders>
          </w:tcPr>
          <w:p w:rsidR="00443EC1" w:rsidRDefault="00443EC1">
            <w:pPr>
              <w:spacing w:before="0" w:after="0" w:line="260" w:lineRule="exact"/>
              <w:ind w:firstLine="182"/>
              <w:jc w:val="both"/>
              <w:rPr>
                <w:rStyle w:val="FootnoteReference"/>
                <w:rFonts w:hint="cs"/>
                <w:bCs w:val="0"/>
                <w:szCs w:val="26"/>
                <w:vertAlign w:val="baseline"/>
              </w:rPr>
            </w:pPr>
            <w:r>
              <w:rPr>
                <w:rFonts w:hint="cs"/>
                <w:szCs w:val="26"/>
                <w:rtl/>
              </w:rPr>
              <w:t>97.8</w:t>
            </w:r>
          </w:p>
        </w:tc>
        <w:tc>
          <w:tcPr>
            <w:tcW w:w="1960" w:type="dxa"/>
            <w:tcBorders>
              <w:top w:val="nil"/>
              <w:bottom w:val="nil"/>
            </w:tcBorders>
          </w:tcPr>
          <w:p w:rsidR="00443EC1" w:rsidRDefault="00443EC1">
            <w:pPr>
              <w:spacing w:before="0" w:after="0" w:line="260" w:lineRule="exact"/>
              <w:ind w:firstLine="315"/>
              <w:jc w:val="both"/>
              <w:rPr>
                <w:rStyle w:val="FootnoteReference"/>
                <w:rFonts w:hint="cs"/>
                <w:bCs w:val="0"/>
                <w:szCs w:val="26"/>
                <w:vertAlign w:val="baseline"/>
              </w:rPr>
            </w:pPr>
            <w:r>
              <w:rPr>
                <w:rFonts w:hint="cs"/>
                <w:szCs w:val="26"/>
                <w:rtl/>
              </w:rPr>
              <w:t>97.9</w:t>
            </w:r>
          </w:p>
        </w:tc>
        <w:tc>
          <w:tcPr>
            <w:tcW w:w="1106" w:type="dxa"/>
            <w:tcBorders>
              <w:top w:val="nil"/>
              <w:bottom w:val="nil"/>
            </w:tcBorders>
          </w:tcPr>
          <w:p w:rsidR="00443EC1" w:rsidRDefault="00443EC1">
            <w:pPr>
              <w:spacing w:before="0" w:after="0" w:line="260" w:lineRule="exact"/>
              <w:ind w:firstLine="150"/>
              <w:jc w:val="both"/>
              <w:rPr>
                <w:rStyle w:val="FootnoteReference"/>
                <w:rFonts w:hint="cs"/>
                <w:bCs w:val="0"/>
                <w:szCs w:val="26"/>
                <w:vertAlign w:val="baseline"/>
              </w:rPr>
            </w:pPr>
            <w:r>
              <w:rPr>
                <w:rFonts w:hint="cs"/>
                <w:szCs w:val="26"/>
                <w:rtl/>
              </w:rPr>
              <w:t>98.0</w:t>
            </w:r>
          </w:p>
        </w:tc>
        <w:tc>
          <w:tcPr>
            <w:tcW w:w="850" w:type="dxa"/>
            <w:tcBorders>
              <w:top w:val="nil"/>
              <w:bottom w:val="nil"/>
            </w:tcBorders>
          </w:tcPr>
          <w:p w:rsidR="00443EC1" w:rsidRDefault="00443EC1">
            <w:pPr>
              <w:spacing w:before="0" w:after="0" w:line="260" w:lineRule="exact"/>
              <w:jc w:val="both"/>
              <w:rPr>
                <w:rStyle w:val="FootnoteReference"/>
                <w:rFonts w:hint="cs"/>
                <w:bCs w:val="0"/>
                <w:szCs w:val="26"/>
                <w:vertAlign w:val="baseline"/>
              </w:rPr>
            </w:pPr>
            <w:r>
              <w:rPr>
                <w:rFonts w:hint="cs"/>
                <w:szCs w:val="26"/>
                <w:rtl/>
              </w:rPr>
              <w:t>97.4</w:t>
            </w:r>
          </w:p>
        </w:tc>
      </w:tr>
      <w:tr w:rsidR="00443EC1" w:rsidTr="00443EC1">
        <w:tblPrEx>
          <w:tblCellMar>
            <w:top w:w="0" w:type="dxa"/>
            <w:bottom w:w="0" w:type="dxa"/>
          </w:tblCellMar>
        </w:tblPrEx>
        <w:trPr>
          <w:jc w:val="center"/>
        </w:trPr>
        <w:tc>
          <w:tcPr>
            <w:tcW w:w="951" w:type="dxa"/>
            <w:tcBorders>
              <w:top w:val="nil"/>
              <w:bottom w:val="single" w:sz="4" w:space="0" w:color="auto"/>
            </w:tcBorders>
          </w:tcPr>
          <w:p w:rsidR="00443EC1" w:rsidRDefault="00443EC1">
            <w:pPr>
              <w:spacing w:before="0" w:after="0" w:line="260" w:lineRule="exact"/>
              <w:jc w:val="center"/>
              <w:rPr>
                <w:rStyle w:val="FootnoteReference"/>
                <w:rFonts w:hint="cs"/>
                <w:bCs w:val="0"/>
                <w:szCs w:val="26"/>
                <w:vertAlign w:val="baseline"/>
              </w:rPr>
            </w:pPr>
            <w:r>
              <w:rPr>
                <w:rFonts w:hint="cs"/>
                <w:szCs w:val="26"/>
                <w:rtl/>
              </w:rPr>
              <w:t>2001</w:t>
            </w:r>
          </w:p>
        </w:tc>
        <w:tc>
          <w:tcPr>
            <w:tcW w:w="812" w:type="dxa"/>
            <w:tcBorders>
              <w:top w:val="nil"/>
              <w:bottom w:val="single" w:sz="4" w:space="0" w:color="auto"/>
            </w:tcBorders>
          </w:tcPr>
          <w:p w:rsidR="00443EC1" w:rsidRDefault="00443EC1">
            <w:pPr>
              <w:spacing w:before="0" w:after="0" w:line="260" w:lineRule="exact"/>
              <w:jc w:val="center"/>
              <w:rPr>
                <w:rStyle w:val="FootnoteReference"/>
                <w:rFonts w:hint="cs"/>
                <w:bCs w:val="0"/>
                <w:szCs w:val="26"/>
                <w:vertAlign w:val="baseline"/>
              </w:rPr>
            </w:pPr>
            <w:r>
              <w:rPr>
                <w:rFonts w:hint="cs"/>
                <w:szCs w:val="26"/>
                <w:rtl/>
              </w:rPr>
              <w:t>...</w:t>
            </w:r>
          </w:p>
        </w:tc>
        <w:tc>
          <w:tcPr>
            <w:tcW w:w="826" w:type="dxa"/>
            <w:tcBorders>
              <w:top w:val="nil"/>
              <w:bottom w:val="single" w:sz="4" w:space="0" w:color="auto"/>
            </w:tcBorders>
          </w:tcPr>
          <w:p w:rsidR="00443EC1" w:rsidRDefault="00443EC1">
            <w:pPr>
              <w:spacing w:before="0" w:after="0" w:line="260" w:lineRule="exact"/>
              <w:jc w:val="both"/>
              <w:rPr>
                <w:rStyle w:val="FootnoteReference"/>
                <w:rFonts w:hint="cs"/>
                <w:bCs w:val="0"/>
                <w:szCs w:val="26"/>
                <w:vertAlign w:val="baseline"/>
              </w:rPr>
            </w:pPr>
            <w:r>
              <w:rPr>
                <w:rFonts w:hint="cs"/>
                <w:szCs w:val="26"/>
                <w:rtl/>
              </w:rPr>
              <w:t>...</w:t>
            </w:r>
          </w:p>
        </w:tc>
        <w:tc>
          <w:tcPr>
            <w:tcW w:w="868" w:type="dxa"/>
            <w:tcBorders>
              <w:top w:val="nil"/>
              <w:bottom w:val="single" w:sz="4" w:space="0" w:color="auto"/>
            </w:tcBorders>
          </w:tcPr>
          <w:p w:rsidR="00443EC1" w:rsidRDefault="00443EC1">
            <w:pPr>
              <w:spacing w:before="0" w:after="0" w:line="260" w:lineRule="exact"/>
              <w:jc w:val="center"/>
              <w:rPr>
                <w:rStyle w:val="FootnoteReference"/>
                <w:rFonts w:hint="cs"/>
                <w:bCs w:val="0"/>
                <w:szCs w:val="26"/>
                <w:vertAlign w:val="baseline"/>
              </w:rPr>
            </w:pPr>
            <w:r>
              <w:rPr>
                <w:rFonts w:hint="cs"/>
                <w:szCs w:val="26"/>
                <w:rtl/>
              </w:rPr>
              <w:t>...</w:t>
            </w:r>
          </w:p>
        </w:tc>
        <w:tc>
          <w:tcPr>
            <w:tcW w:w="1049" w:type="dxa"/>
            <w:tcBorders>
              <w:top w:val="nil"/>
              <w:bottom w:val="single" w:sz="4" w:space="0" w:color="auto"/>
            </w:tcBorders>
          </w:tcPr>
          <w:p w:rsidR="00443EC1" w:rsidRDefault="00443EC1">
            <w:pPr>
              <w:spacing w:before="0" w:after="0" w:line="260" w:lineRule="exact"/>
              <w:ind w:left="113"/>
              <w:jc w:val="both"/>
              <w:rPr>
                <w:rStyle w:val="FootnoteReference"/>
                <w:rFonts w:hint="cs"/>
                <w:bCs w:val="0"/>
                <w:szCs w:val="26"/>
                <w:vertAlign w:val="baseline"/>
              </w:rPr>
            </w:pPr>
            <w:r>
              <w:rPr>
                <w:rFonts w:hint="cs"/>
                <w:szCs w:val="26"/>
                <w:rtl/>
              </w:rPr>
              <w:t>...</w:t>
            </w:r>
          </w:p>
        </w:tc>
        <w:tc>
          <w:tcPr>
            <w:tcW w:w="1148" w:type="dxa"/>
            <w:tcBorders>
              <w:top w:val="nil"/>
              <w:bottom w:val="single" w:sz="4" w:space="0" w:color="auto"/>
            </w:tcBorders>
          </w:tcPr>
          <w:p w:rsidR="00443EC1" w:rsidRDefault="00443EC1">
            <w:pPr>
              <w:spacing w:before="0" w:after="0" w:line="260" w:lineRule="exact"/>
              <w:ind w:firstLine="182"/>
              <w:jc w:val="both"/>
              <w:rPr>
                <w:rStyle w:val="FootnoteReference"/>
                <w:rFonts w:hint="cs"/>
                <w:bCs w:val="0"/>
                <w:szCs w:val="26"/>
                <w:vertAlign w:val="baseline"/>
              </w:rPr>
            </w:pPr>
            <w:r>
              <w:rPr>
                <w:rFonts w:hint="cs"/>
                <w:szCs w:val="26"/>
                <w:rtl/>
              </w:rPr>
              <w:t>97.6</w:t>
            </w:r>
          </w:p>
        </w:tc>
        <w:tc>
          <w:tcPr>
            <w:tcW w:w="1960" w:type="dxa"/>
            <w:tcBorders>
              <w:top w:val="nil"/>
              <w:bottom w:val="single" w:sz="4" w:space="0" w:color="auto"/>
            </w:tcBorders>
          </w:tcPr>
          <w:p w:rsidR="00443EC1" w:rsidRDefault="00443EC1">
            <w:pPr>
              <w:spacing w:before="0" w:after="0" w:line="260" w:lineRule="exact"/>
              <w:ind w:firstLine="315"/>
              <w:jc w:val="both"/>
              <w:rPr>
                <w:rStyle w:val="FootnoteReference"/>
                <w:rFonts w:hint="cs"/>
                <w:bCs w:val="0"/>
                <w:szCs w:val="26"/>
                <w:vertAlign w:val="baseline"/>
              </w:rPr>
            </w:pPr>
            <w:r>
              <w:rPr>
                <w:rFonts w:hint="cs"/>
                <w:szCs w:val="26"/>
                <w:rtl/>
              </w:rPr>
              <w:t>98.3</w:t>
            </w:r>
          </w:p>
        </w:tc>
        <w:tc>
          <w:tcPr>
            <w:tcW w:w="1106" w:type="dxa"/>
            <w:tcBorders>
              <w:top w:val="nil"/>
              <w:bottom w:val="single" w:sz="4" w:space="0" w:color="auto"/>
            </w:tcBorders>
          </w:tcPr>
          <w:p w:rsidR="00443EC1" w:rsidRDefault="00443EC1">
            <w:pPr>
              <w:spacing w:before="0" w:after="0" w:line="260" w:lineRule="exact"/>
              <w:ind w:firstLine="150"/>
              <w:jc w:val="both"/>
              <w:rPr>
                <w:rStyle w:val="FootnoteReference"/>
                <w:rFonts w:hint="cs"/>
                <w:bCs w:val="0"/>
                <w:szCs w:val="26"/>
                <w:vertAlign w:val="baseline"/>
              </w:rPr>
            </w:pPr>
            <w:r>
              <w:rPr>
                <w:rFonts w:hint="cs"/>
                <w:szCs w:val="26"/>
                <w:rtl/>
              </w:rPr>
              <w:t>98.3</w:t>
            </w:r>
          </w:p>
        </w:tc>
        <w:tc>
          <w:tcPr>
            <w:tcW w:w="850" w:type="dxa"/>
            <w:tcBorders>
              <w:top w:val="nil"/>
              <w:bottom w:val="single" w:sz="4" w:space="0" w:color="auto"/>
            </w:tcBorders>
          </w:tcPr>
          <w:p w:rsidR="00443EC1" w:rsidRDefault="00443EC1">
            <w:pPr>
              <w:spacing w:before="0" w:after="0" w:line="260" w:lineRule="exact"/>
              <w:jc w:val="both"/>
              <w:rPr>
                <w:rStyle w:val="FootnoteReference"/>
                <w:rFonts w:hint="cs"/>
                <w:bCs w:val="0"/>
                <w:szCs w:val="26"/>
                <w:vertAlign w:val="baseline"/>
              </w:rPr>
            </w:pPr>
            <w:r>
              <w:rPr>
                <w:rFonts w:hint="cs"/>
                <w:szCs w:val="26"/>
                <w:rtl/>
              </w:rPr>
              <w:t>97.7</w:t>
            </w:r>
          </w:p>
        </w:tc>
      </w:tr>
    </w:tbl>
    <w:p w:rsidR="00000000" w:rsidRDefault="00443EC1">
      <w:pPr>
        <w:spacing w:before="120"/>
        <w:jc w:val="both"/>
        <w:rPr>
          <w:rFonts w:hint="cs"/>
          <w:sz w:val="26"/>
          <w:szCs w:val="28"/>
          <w:rtl/>
        </w:rPr>
      </w:pPr>
      <w:r>
        <w:rPr>
          <w:rFonts w:hint="cs"/>
          <w:sz w:val="26"/>
          <w:szCs w:val="28"/>
          <w:rtl/>
        </w:rPr>
        <w:tab/>
      </w:r>
      <w:r>
        <w:rPr>
          <w:rFonts w:hint="cs"/>
          <w:i/>
          <w:iCs/>
          <w:sz w:val="26"/>
          <w:szCs w:val="28"/>
          <w:rtl/>
        </w:rPr>
        <w:t>المصدر</w:t>
      </w:r>
      <w:r>
        <w:rPr>
          <w:rFonts w:hint="cs"/>
          <w:sz w:val="26"/>
          <w:szCs w:val="28"/>
          <w:rtl/>
        </w:rPr>
        <w:t>: وزارة الصحة.</w:t>
      </w:r>
    </w:p>
    <w:p w:rsidR="00000000" w:rsidRDefault="00443EC1">
      <w:pPr>
        <w:spacing w:line="380" w:lineRule="exact"/>
        <w:jc w:val="center"/>
        <w:rPr>
          <w:rFonts w:hint="cs"/>
          <w:b/>
          <w:bCs/>
          <w:rtl/>
        </w:rPr>
      </w:pPr>
      <w:r>
        <w:rPr>
          <w:rFonts w:hint="cs"/>
          <w:b/>
          <w:bCs/>
          <w:rtl/>
        </w:rPr>
        <w:t>الجدول 19</w:t>
      </w:r>
    </w:p>
    <w:p w:rsidR="00000000" w:rsidRDefault="00443EC1">
      <w:pPr>
        <w:spacing w:line="380" w:lineRule="exact"/>
        <w:jc w:val="center"/>
        <w:rPr>
          <w:rFonts w:hint="cs"/>
          <w:b/>
          <w:bCs/>
          <w:rtl/>
        </w:rPr>
      </w:pPr>
      <w:r>
        <w:rPr>
          <w:rFonts w:hint="cs"/>
          <w:b/>
          <w:bCs/>
          <w:rtl/>
        </w:rPr>
        <w:t>المرافق الصحية في القرى الزراعية على الصعيد الوطني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3"/>
        <w:gridCol w:w="798"/>
        <w:gridCol w:w="1008"/>
        <w:gridCol w:w="979"/>
        <w:gridCol w:w="966"/>
        <w:gridCol w:w="966"/>
        <w:gridCol w:w="1008"/>
        <w:gridCol w:w="980"/>
        <w:gridCol w:w="962"/>
      </w:tblGrid>
      <w:tr w:rsidR="00443EC1" w:rsidTr="00443EC1">
        <w:tblPrEx>
          <w:tblCellMar>
            <w:top w:w="0" w:type="dxa"/>
            <w:bottom w:w="0" w:type="dxa"/>
          </w:tblCellMar>
        </w:tblPrEx>
        <w:trPr>
          <w:jc w:val="center"/>
        </w:trPr>
        <w:tc>
          <w:tcPr>
            <w:tcW w:w="1903" w:type="dxa"/>
            <w:tcBorders>
              <w:bottom w:val="single" w:sz="4" w:space="0" w:color="auto"/>
            </w:tcBorders>
          </w:tcPr>
          <w:p w:rsidR="00443EC1" w:rsidRDefault="00443EC1">
            <w:pPr>
              <w:spacing w:before="0" w:after="0" w:line="300" w:lineRule="exact"/>
              <w:jc w:val="both"/>
              <w:rPr>
                <w:rStyle w:val="FootnoteReference"/>
                <w:rFonts w:hint="cs"/>
                <w:bCs w:val="0"/>
                <w:sz w:val="26"/>
                <w:szCs w:val="22"/>
                <w:vertAlign w:val="baseline"/>
                <w:rtl/>
              </w:rPr>
            </w:pPr>
          </w:p>
        </w:tc>
        <w:tc>
          <w:tcPr>
            <w:tcW w:w="798" w:type="dxa"/>
            <w:tcBorders>
              <w:bottom w:val="single" w:sz="4" w:space="0" w:color="auto"/>
            </w:tcBorders>
          </w:tcPr>
          <w:p w:rsidR="00443EC1" w:rsidRDefault="00443EC1">
            <w:pPr>
              <w:spacing w:before="0" w:after="0" w:line="300" w:lineRule="exact"/>
              <w:jc w:val="center"/>
              <w:rPr>
                <w:rStyle w:val="FootnoteReference"/>
                <w:rFonts w:hint="cs"/>
                <w:bCs w:val="0"/>
                <w:sz w:val="26"/>
                <w:szCs w:val="22"/>
                <w:vertAlign w:val="baseline"/>
              </w:rPr>
            </w:pPr>
            <w:r>
              <w:rPr>
                <w:rFonts w:hint="cs"/>
                <w:sz w:val="26"/>
                <w:szCs w:val="22"/>
                <w:rtl/>
              </w:rPr>
              <w:t>الوحدات</w:t>
            </w:r>
          </w:p>
        </w:tc>
        <w:tc>
          <w:tcPr>
            <w:tcW w:w="1008" w:type="dxa"/>
            <w:tcBorders>
              <w:bottom w:val="single" w:sz="4" w:space="0" w:color="auto"/>
            </w:tcBorders>
          </w:tcPr>
          <w:p w:rsidR="00443EC1" w:rsidRDefault="00443EC1">
            <w:pPr>
              <w:spacing w:before="0" w:after="0" w:line="300" w:lineRule="exact"/>
              <w:jc w:val="center"/>
              <w:rPr>
                <w:rStyle w:val="FootnoteReference"/>
                <w:rFonts w:hint="cs"/>
                <w:bCs w:val="0"/>
                <w:sz w:val="26"/>
                <w:szCs w:val="22"/>
                <w:vertAlign w:val="baseline"/>
              </w:rPr>
            </w:pPr>
            <w:r>
              <w:rPr>
                <w:rFonts w:hint="cs"/>
                <w:sz w:val="26"/>
                <w:szCs w:val="22"/>
                <w:rtl/>
              </w:rPr>
              <w:t>1985</w:t>
            </w:r>
          </w:p>
        </w:tc>
        <w:tc>
          <w:tcPr>
            <w:tcW w:w="979" w:type="dxa"/>
            <w:tcBorders>
              <w:bottom w:val="single" w:sz="4" w:space="0" w:color="auto"/>
            </w:tcBorders>
          </w:tcPr>
          <w:p w:rsidR="00443EC1" w:rsidRDefault="00443EC1">
            <w:pPr>
              <w:spacing w:before="0" w:after="0" w:line="300" w:lineRule="exact"/>
              <w:jc w:val="center"/>
              <w:rPr>
                <w:rStyle w:val="FootnoteReference"/>
                <w:rFonts w:hint="cs"/>
                <w:bCs w:val="0"/>
                <w:sz w:val="26"/>
                <w:szCs w:val="22"/>
                <w:vertAlign w:val="baseline"/>
              </w:rPr>
            </w:pPr>
            <w:r>
              <w:rPr>
                <w:rFonts w:hint="cs"/>
                <w:sz w:val="26"/>
                <w:szCs w:val="22"/>
                <w:rtl/>
              </w:rPr>
              <w:t>1988</w:t>
            </w:r>
          </w:p>
        </w:tc>
        <w:tc>
          <w:tcPr>
            <w:tcW w:w="966" w:type="dxa"/>
            <w:tcBorders>
              <w:bottom w:val="single" w:sz="4" w:space="0" w:color="auto"/>
            </w:tcBorders>
          </w:tcPr>
          <w:p w:rsidR="00443EC1" w:rsidRDefault="00443EC1">
            <w:pPr>
              <w:spacing w:before="0" w:after="0" w:line="300" w:lineRule="exact"/>
              <w:jc w:val="center"/>
              <w:rPr>
                <w:rStyle w:val="FootnoteReference"/>
                <w:rFonts w:hint="cs"/>
                <w:bCs w:val="0"/>
                <w:sz w:val="26"/>
                <w:szCs w:val="22"/>
                <w:vertAlign w:val="baseline"/>
              </w:rPr>
            </w:pPr>
            <w:r>
              <w:rPr>
                <w:rFonts w:hint="cs"/>
                <w:sz w:val="26"/>
                <w:szCs w:val="22"/>
                <w:rtl/>
              </w:rPr>
              <w:t>1990</w:t>
            </w:r>
          </w:p>
        </w:tc>
        <w:tc>
          <w:tcPr>
            <w:tcW w:w="966" w:type="dxa"/>
            <w:tcBorders>
              <w:bottom w:val="single" w:sz="4" w:space="0" w:color="auto"/>
            </w:tcBorders>
          </w:tcPr>
          <w:p w:rsidR="00443EC1" w:rsidRDefault="00443EC1">
            <w:pPr>
              <w:spacing w:before="0" w:after="0" w:line="300" w:lineRule="exact"/>
              <w:jc w:val="center"/>
              <w:rPr>
                <w:rStyle w:val="FootnoteReference"/>
                <w:rFonts w:hint="cs"/>
                <w:bCs w:val="0"/>
                <w:sz w:val="26"/>
                <w:szCs w:val="22"/>
                <w:vertAlign w:val="baseline"/>
              </w:rPr>
            </w:pPr>
            <w:r>
              <w:rPr>
                <w:rFonts w:hint="cs"/>
                <w:sz w:val="26"/>
                <w:szCs w:val="22"/>
                <w:rtl/>
              </w:rPr>
              <w:t>1992</w:t>
            </w:r>
          </w:p>
        </w:tc>
        <w:tc>
          <w:tcPr>
            <w:tcW w:w="1008" w:type="dxa"/>
            <w:tcBorders>
              <w:bottom w:val="single" w:sz="4" w:space="0" w:color="auto"/>
            </w:tcBorders>
          </w:tcPr>
          <w:p w:rsidR="00443EC1" w:rsidRDefault="00443EC1">
            <w:pPr>
              <w:spacing w:before="0" w:after="0" w:line="300" w:lineRule="exact"/>
              <w:jc w:val="center"/>
              <w:rPr>
                <w:rStyle w:val="FootnoteReference"/>
                <w:rFonts w:hint="cs"/>
                <w:bCs w:val="0"/>
                <w:sz w:val="26"/>
                <w:szCs w:val="22"/>
                <w:vertAlign w:val="baseline"/>
              </w:rPr>
            </w:pPr>
            <w:r>
              <w:rPr>
                <w:rFonts w:hint="cs"/>
                <w:sz w:val="26"/>
                <w:szCs w:val="22"/>
                <w:rtl/>
              </w:rPr>
              <w:t>1993</w:t>
            </w:r>
          </w:p>
        </w:tc>
        <w:tc>
          <w:tcPr>
            <w:tcW w:w="980" w:type="dxa"/>
            <w:tcBorders>
              <w:bottom w:val="single" w:sz="4" w:space="0" w:color="auto"/>
            </w:tcBorders>
          </w:tcPr>
          <w:p w:rsidR="00443EC1" w:rsidRDefault="00443EC1">
            <w:pPr>
              <w:spacing w:before="0" w:after="0" w:line="300" w:lineRule="exact"/>
              <w:jc w:val="center"/>
              <w:rPr>
                <w:rStyle w:val="FootnoteReference"/>
                <w:rFonts w:hint="cs"/>
                <w:bCs w:val="0"/>
                <w:sz w:val="26"/>
                <w:szCs w:val="22"/>
                <w:vertAlign w:val="baseline"/>
              </w:rPr>
            </w:pPr>
            <w:r>
              <w:rPr>
                <w:rFonts w:hint="cs"/>
                <w:sz w:val="26"/>
                <w:szCs w:val="22"/>
                <w:rtl/>
              </w:rPr>
              <w:t>1995</w:t>
            </w:r>
          </w:p>
        </w:tc>
        <w:tc>
          <w:tcPr>
            <w:tcW w:w="962" w:type="dxa"/>
            <w:tcBorders>
              <w:bottom w:val="single" w:sz="4" w:space="0" w:color="auto"/>
            </w:tcBorders>
          </w:tcPr>
          <w:p w:rsidR="00443EC1" w:rsidRDefault="00443EC1">
            <w:pPr>
              <w:spacing w:before="0" w:after="0" w:line="300" w:lineRule="exact"/>
              <w:jc w:val="center"/>
              <w:rPr>
                <w:rStyle w:val="FootnoteReference"/>
                <w:rFonts w:hint="cs"/>
                <w:bCs w:val="0"/>
                <w:sz w:val="26"/>
                <w:szCs w:val="22"/>
                <w:vertAlign w:val="baseline"/>
              </w:rPr>
            </w:pPr>
            <w:r>
              <w:rPr>
                <w:rFonts w:hint="cs"/>
                <w:sz w:val="26"/>
                <w:szCs w:val="22"/>
                <w:rtl/>
              </w:rPr>
              <w:t>2001</w:t>
            </w:r>
          </w:p>
        </w:tc>
      </w:tr>
      <w:tr w:rsidR="00443EC1" w:rsidTr="00443EC1">
        <w:tblPrEx>
          <w:tblCellMar>
            <w:top w:w="0" w:type="dxa"/>
            <w:bottom w:w="0" w:type="dxa"/>
          </w:tblCellMar>
        </w:tblPrEx>
        <w:trPr>
          <w:jc w:val="center"/>
        </w:trPr>
        <w:tc>
          <w:tcPr>
            <w:tcW w:w="1903" w:type="dxa"/>
            <w:tcBorders>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القرى الإدارية</w:t>
            </w:r>
          </w:p>
        </w:tc>
        <w:tc>
          <w:tcPr>
            <w:tcW w:w="798" w:type="dxa"/>
            <w:tcBorders>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قرية</w:t>
            </w:r>
          </w:p>
        </w:tc>
        <w:tc>
          <w:tcPr>
            <w:tcW w:w="1008" w:type="dxa"/>
            <w:tcBorders>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639 716</w:t>
            </w:r>
          </w:p>
        </w:tc>
        <w:tc>
          <w:tcPr>
            <w:tcW w:w="979" w:type="dxa"/>
            <w:tcBorders>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095 734</w:t>
            </w:r>
          </w:p>
        </w:tc>
        <w:tc>
          <w:tcPr>
            <w:tcW w:w="966" w:type="dxa"/>
            <w:tcBorders>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963 749</w:t>
            </w:r>
          </w:p>
        </w:tc>
        <w:tc>
          <w:tcPr>
            <w:tcW w:w="966" w:type="dxa"/>
            <w:tcBorders>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355 735</w:t>
            </w:r>
          </w:p>
        </w:tc>
        <w:tc>
          <w:tcPr>
            <w:tcW w:w="1008" w:type="dxa"/>
            <w:tcBorders>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755 731</w:t>
            </w:r>
          </w:p>
        </w:tc>
        <w:tc>
          <w:tcPr>
            <w:tcW w:w="980" w:type="dxa"/>
            <w:tcBorders>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671 736</w:t>
            </w:r>
          </w:p>
        </w:tc>
        <w:tc>
          <w:tcPr>
            <w:tcW w:w="962" w:type="dxa"/>
            <w:tcBorders>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012 710</w:t>
            </w:r>
          </w:p>
        </w:tc>
      </w:tr>
      <w:tr w:rsidR="00443EC1" w:rsidTr="00443EC1">
        <w:tblPrEx>
          <w:tblCellMar>
            <w:top w:w="0" w:type="dxa"/>
            <w:bottom w:w="0" w:type="dxa"/>
          </w:tblCellMar>
        </w:tblPrEx>
        <w:trPr>
          <w:jc w:val="center"/>
        </w:trPr>
        <w:tc>
          <w:tcPr>
            <w:tcW w:w="1903"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القرى التي توجد فيها عيادات</w:t>
            </w:r>
          </w:p>
        </w:tc>
        <w:tc>
          <w:tcPr>
            <w:tcW w:w="798"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قرية</w:t>
            </w:r>
          </w:p>
        </w:tc>
        <w:tc>
          <w:tcPr>
            <w:tcW w:w="1008"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992 625</w:t>
            </w:r>
          </w:p>
        </w:tc>
        <w:tc>
          <w:tcPr>
            <w:tcW w:w="979"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076 641</w:t>
            </w:r>
          </w:p>
        </w:tc>
        <w:tc>
          <w:tcPr>
            <w:tcW w:w="966"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529 646</w:t>
            </w:r>
          </w:p>
        </w:tc>
        <w:tc>
          <w:tcPr>
            <w:tcW w:w="966"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031 651</w:t>
            </w:r>
          </w:p>
        </w:tc>
        <w:tc>
          <w:tcPr>
            <w:tcW w:w="1008"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861 651</w:t>
            </w:r>
          </w:p>
        </w:tc>
        <w:tc>
          <w:tcPr>
            <w:tcW w:w="980"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105 655</w:t>
            </w:r>
          </w:p>
        </w:tc>
        <w:tc>
          <w:tcPr>
            <w:tcW w:w="962"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084 637</w:t>
            </w:r>
          </w:p>
        </w:tc>
      </w:tr>
      <w:tr w:rsidR="00443EC1" w:rsidTr="00443EC1">
        <w:tblPrEx>
          <w:tblCellMar>
            <w:top w:w="0" w:type="dxa"/>
            <w:bottom w:w="0" w:type="dxa"/>
          </w:tblCellMar>
        </w:tblPrEx>
        <w:trPr>
          <w:jc w:val="center"/>
        </w:trPr>
        <w:tc>
          <w:tcPr>
            <w:tcW w:w="1903"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نسبة مئوية من إجمالي القرى الإدارية</w:t>
            </w:r>
          </w:p>
        </w:tc>
        <w:tc>
          <w:tcPr>
            <w:tcW w:w="798" w:type="dxa"/>
            <w:tcBorders>
              <w:top w:val="nil"/>
              <w:bottom w:val="nil"/>
            </w:tcBorders>
          </w:tcPr>
          <w:p w:rsidR="00443EC1" w:rsidRDefault="00443EC1">
            <w:pPr>
              <w:spacing w:before="0" w:after="0" w:line="280" w:lineRule="exact"/>
              <w:jc w:val="both"/>
              <w:rPr>
                <w:rFonts w:hint="cs"/>
                <w:sz w:val="26"/>
                <w:szCs w:val="22"/>
                <w:rtl/>
              </w:rPr>
            </w:pPr>
            <w:r>
              <w:rPr>
                <w:rFonts w:hint="cs"/>
                <w:sz w:val="26"/>
                <w:szCs w:val="22"/>
                <w:rtl/>
              </w:rPr>
              <w:t>نسبة</w:t>
            </w:r>
          </w:p>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مئوية</w:t>
            </w:r>
          </w:p>
        </w:tc>
        <w:tc>
          <w:tcPr>
            <w:tcW w:w="1008"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87.35</w:t>
            </w:r>
          </w:p>
        </w:tc>
        <w:tc>
          <w:tcPr>
            <w:tcW w:w="979"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87.33</w:t>
            </w:r>
          </w:p>
        </w:tc>
        <w:tc>
          <w:tcPr>
            <w:tcW w:w="966"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86.21</w:t>
            </w:r>
          </w:p>
        </w:tc>
        <w:tc>
          <w:tcPr>
            <w:tcW w:w="966"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88.5</w:t>
            </w:r>
          </w:p>
        </w:tc>
        <w:tc>
          <w:tcPr>
            <w:tcW w:w="1008"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89.1</w:t>
            </w:r>
          </w:p>
        </w:tc>
        <w:tc>
          <w:tcPr>
            <w:tcW w:w="980"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88.9</w:t>
            </w:r>
          </w:p>
        </w:tc>
        <w:tc>
          <w:tcPr>
            <w:tcW w:w="962"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89.7</w:t>
            </w:r>
          </w:p>
        </w:tc>
      </w:tr>
      <w:tr w:rsidR="00443EC1" w:rsidTr="00443EC1">
        <w:tblPrEx>
          <w:tblCellMar>
            <w:top w:w="0" w:type="dxa"/>
            <w:bottom w:w="0" w:type="dxa"/>
          </w:tblCellMar>
        </w:tblPrEx>
        <w:trPr>
          <w:jc w:val="center"/>
        </w:trPr>
        <w:tc>
          <w:tcPr>
            <w:tcW w:w="1903"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عدد العيادات الريفية</w:t>
            </w:r>
          </w:p>
        </w:tc>
        <w:tc>
          <w:tcPr>
            <w:tcW w:w="798"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عيادة</w:t>
            </w:r>
          </w:p>
        </w:tc>
        <w:tc>
          <w:tcPr>
            <w:tcW w:w="1008"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674 777</w:t>
            </w:r>
          </w:p>
        </w:tc>
        <w:tc>
          <w:tcPr>
            <w:tcW w:w="979"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497 806</w:t>
            </w:r>
          </w:p>
        </w:tc>
        <w:tc>
          <w:tcPr>
            <w:tcW w:w="966"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956 803</w:t>
            </w:r>
          </w:p>
        </w:tc>
        <w:tc>
          <w:tcPr>
            <w:tcW w:w="966"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523 796</w:t>
            </w:r>
          </w:p>
        </w:tc>
        <w:tc>
          <w:tcPr>
            <w:tcW w:w="1008"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945 806</w:t>
            </w:r>
          </w:p>
        </w:tc>
        <w:tc>
          <w:tcPr>
            <w:tcW w:w="980"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352 804</w:t>
            </w:r>
          </w:p>
        </w:tc>
        <w:tc>
          <w:tcPr>
            <w:tcW w:w="962"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966 698</w:t>
            </w:r>
          </w:p>
        </w:tc>
      </w:tr>
      <w:tr w:rsidR="00443EC1" w:rsidTr="00443EC1">
        <w:tblPrEx>
          <w:tblCellMar>
            <w:top w:w="0" w:type="dxa"/>
            <w:bottom w:w="0" w:type="dxa"/>
          </w:tblCellMar>
        </w:tblPrEx>
        <w:trPr>
          <w:jc w:val="center"/>
        </w:trPr>
        <w:tc>
          <w:tcPr>
            <w:tcW w:w="1903"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العيادات التي تؤسسها القرية أو الجماعية</w:t>
            </w:r>
          </w:p>
        </w:tc>
        <w:tc>
          <w:tcPr>
            <w:tcW w:w="798"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عيادة</w:t>
            </w:r>
          </w:p>
        </w:tc>
        <w:tc>
          <w:tcPr>
            <w:tcW w:w="1008"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537 305</w:t>
            </w:r>
          </w:p>
        </w:tc>
        <w:tc>
          <w:tcPr>
            <w:tcW w:w="979"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586 287</w:t>
            </w:r>
          </w:p>
        </w:tc>
        <w:tc>
          <w:tcPr>
            <w:tcW w:w="966"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137 266</w:t>
            </w:r>
          </w:p>
        </w:tc>
        <w:tc>
          <w:tcPr>
            <w:tcW w:w="966"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417 294</w:t>
            </w:r>
          </w:p>
        </w:tc>
        <w:tc>
          <w:tcPr>
            <w:tcW w:w="1008"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382 279</w:t>
            </w:r>
          </w:p>
        </w:tc>
        <w:tc>
          <w:tcPr>
            <w:tcW w:w="980"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462 297</w:t>
            </w:r>
          </w:p>
        </w:tc>
        <w:tc>
          <w:tcPr>
            <w:tcW w:w="962"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091 289</w:t>
            </w:r>
          </w:p>
        </w:tc>
      </w:tr>
      <w:tr w:rsidR="00443EC1" w:rsidTr="00443EC1">
        <w:tblPrEx>
          <w:tblCellMar>
            <w:top w:w="0" w:type="dxa"/>
            <w:bottom w:w="0" w:type="dxa"/>
          </w:tblCellMar>
        </w:tblPrEx>
        <w:trPr>
          <w:jc w:val="center"/>
        </w:trPr>
        <w:tc>
          <w:tcPr>
            <w:tcW w:w="1903"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التي يشترك في تأسيسها أطباء القرى و/أو عاملو القرى الصحيون</w:t>
            </w:r>
          </w:p>
        </w:tc>
        <w:tc>
          <w:tcPr>
            <w:tcW w:w="798"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 xml:space="preserve">عيادة </w:t>
            </w:r>
          </w:p>
        </w:tc>
        <w:tc>
          <w:tcPr>
            <w:tcW w:w="1008"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803 88</w:t>
            </w:r>
          </w:p>
        </w:tc>
        <w:tc>
          <w:tcPr>
            <w:tcW w:w="979"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873 78</w:t>
            </w:r>
          </w:p>
        </w:tc>
        <w:tc>
          <w:tcPr>
            <w:tcW w:w="966"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149 87</w:t>
            </w:r>
          </w:p>
        </w:tc>
        <w:tc>
          <w:tcPr>
            <w:tcW w:w="966"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742 83</w:t>
            </w:r>
          </w:p>
        </w:tc>
        <w:tc>
          <w:tcPr>
            <w:tcW w:w="1008"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700 94</w:t>
            </w:r>
          </w:p>
        </w:tc>
        <w:tc>
          <w:tcPr>
            <w:tcW w:w="980"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681 90</w:t>
            </w:r>
          </w:p>
        </w:tc>
        <w:tc>
          <w:tcPr>
            <w:tcW w:w="962"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555 92</w:t>
            </w:r>
          </w:p>
        </w:tc>
      </w:tr>
      <w:tr w:rsidR="00443EC1" w:rsidTr="00443EC1">
        <w:tblPrEx>
          <w:tblCellMar>
            <w:top w:w="0" w:type="dxa"/>
            <w:bottom w:w="0" w:type="dxa"/>
          </w:tblCellMar>
        </w:tblPrEx>
        <w:trPr>
          <w:jc w:val="center"/>
        </w:trPr>
        <w:tc>
          <w:tcPr>
            <w:tcW w:w="1903"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 xml:space="preserve">مستشفيات البلدات </w:t>
            </w:r>
          </w:p>
        </w:tc>
        <w:tc>
          <w:tcPr>
            <w:tcW w:w="798"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مستشفى</w:t>
            </w:r>
          </w:p>
        </w:tc>
        <w:tc>
          <w:tcPr>
            <w:tcW w:w="1008"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769 29</w:t>
            </w:r>
          </w:p>
        </w:tc>
        <w:tc>
          <w:tcPr>
            <w:tcW w:w="979"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845 29</w:t>
            </w:r>
          </w:p>
        </w:tc>
        <w:tc>
          <w:tcPr>
            <w:tcW w:w="966"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963 29</w:t>
            </w:r>
          </w:p>
        </w:tc>
        <w:tc>
          <w:tcPr>
            <w:tcW w:w="966"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213 34</w:t>
            </w:r>
          </w:p>
        </w:tc>
        <w:tc>
          <w:tcPr>
            <w:tcW w:w="1008"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914 34</w:t>
            </w:r>
          </w:p>
        </w:tc>
        <w:tc>
          <w:tcPr>
            <w:tcW w:w="980"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388 36</w:t>
            </w:r>
          </w:p>
        </w:tc>
        <w:tc>
          <w:tcPr>
            <w:tcW w:w="962"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857 44</w:t>
            </w:r>
          </w:p>
        </w:tc>
      </w:tr>
      <w:tr w:rsidR="00443EC1" w:rsidTr="00443EC1">
        <w:tblPrEx>
          <w:tblCellMar>
            <w:top w:w="0" w:type="dxa"/>
            <w:bottom w:w="0" w:type="dxa"/>
          </w:tblCellMar>
        </w:tblPrEx>
        <w:trPr>
          <w:jc w:val="center"/>
        </w:trPr>
        <w:tc>
          <w:tcPr>
            <w:tcW w:w="1903"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 xml:space="preserve">التي يؤسسها أفراد </w:t>
            </w:r>
          </w:p>
        </w:tc>
        <w:tc>
          <w:tcPr>
            <w:tcW w:w="798"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مستشفى</w:t>
            </w:r>
          </w:p>
        </w:tc>
        <w:tc>
          <w:tcPr>
            <w:tcW w:w="1008"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904 323</w:t>
            </w:r>
          </w:p>
        </w:tc>
        <w:tc>
          <w:tcPr>
            <w:tcW w:w="979"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209 369</w:t>
            </w:r>
          </w:p>
        </w:tc>
        <w:tc>
          <w:tcPr>
            <w:tcW w:w="966"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844 381</w:t>
            </w:r>
          </w:p>
        </w:tc>
        <w:tc>
          <w:tcPr>
            <w:tcW w:w="966"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633 350</w:t>
            </w:r>
          </w:p>
        </w:tc>
        <w:tc>
          <w:tcPr>
            <w:tcW w:w="1008"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296 374</w:t>
            </w:r>
          </w:p>
        </w:tc>
        <w:tc>
          <w:tcPr>
            <w:tcW w:w="980"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981 354</w:t>
            </w:r>
          </w:p>
        </w:tc>
        <w:tc>
          <w:tcPr>
            <w:tcW w:w="962"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423 255</w:t>
            </w:r>
          </w:p>
        </w:tc>
      </w:tr>
      <w:tr w:rsidR="00443EC1" w:rsidTr="00443EC1">
        <w:tblPrEx>
          <w:tblCellMar>
            <w:top w:w="0" w:type="dxa"/>
            <w:bottom w:w="0" w:type="dxa"/>
          </w:tblCellMar>
        </w:tblPrEx>
        <w:trPr>
          <w:jc w:val="center"/>
        </w:trPr>
        <w:tc>
          <w:tcPr>
            <w:tcW w:w="1903"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مرافق أخرى</w:t>
            </w:r>
          </w:p>
        </w:tc>
        <w:tc>
          <w:tcPr>
            <w:tcW w:w="798"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مستشفى</w:t>
            </w:r>
          </w:p>
        </w:tc>
        <w:tc>
          <w:tcPr>
            <w:tcW w:w="1008"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661 29</w:t>
            </w:r>
          </w:p>
        </w:tc>
        <w:tc>
          <w:tcPr>
            <w:tcW w:w="979"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984 40</w:t>
            </w:r>
          </w:p>
        </w:tc>
        <w:tc>
          <w:tcPr>
            <w:tcW w:w="966"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863 38</w:t>
            </w:r>
          </w:p>
        </w:tc>
        <w:tc>
          <w:tcPr>
            <w:tcW w:w="966"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518 33</w:t>
            </w:r>
          </w:p>
        </w:tc>
        <w:tc>
          <w:tcPr>
            <w:tcW w:w="1008"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663 23</w:t>
            </w:r>
          </w:p>
        </w:tc>
        <w:tc>
          <w:tcPr>
            <w:tcW w:w="980"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876 22</w:t>
            </w:r>
          </w:p>
        </w:tc>
        <w:tc>
          <w:tcPr>
            <w:tcW w:w="962"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040 17</w:t>
            </w:r>
          </w:p>
        </w:tc>
      </w:tr>
      <w:tr w:rsidR="00443EC1" w:rsidTr="00443EC1">
        <w:tblPrEx>
          <w:tblCellMar>
            <w:top w:w="0" w:type="dxa"/>
            <w:bottom w:w="0" w:type="dxa"/>
          </w:tblCellMar>
        </w:tblPrEx>
        <w:trPr>
          <w:jc w:val="center"/>
        </w:trPr>
        <w:tc>
          <w:tcPr>
            <w:tcW w:w="1903"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الأطباء والعاملون الصحيون في القرى</w:t>
            </w:r>
          </w:p>
        </w:tc>
        <w:tc>
          <w:tcPr>
            <w:tcW w:w="798"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أفراد</w:t>
            </w:r>
          </w:p>
        </w:tc>
        <w:tc>
          <w:tcPr>
            <w:tcW w:w="1008" w:type="dxa"/>
            <w:tcBorders>
              <w:top w:val="nil"/>
              <w:bottom w:val="nil"/>
            </w:tcBorders>
          </w:tcPr>
          <w:p w:rsidR="00443EC1" w:rsidRDefault="00443EC1">
            <w:pPr>
              <w:spacing w:before="0" w:after="0" w:line="280" w:lineRule="exact"/>
              <w:jc w:val="both"/>
              <w:rPr>
                <w:rStyle w:val="FootnoteReference"/>
                <w:rFonts w:hint="cs"/>
                <w:bCs w:val="0"/>
                <w:spacing w:val="0"/>
                <w:sz w:val="26"/>
                <w:szCs w:val="22"/>
                <w:vertAlign w:val="baseline"/>
              </w:rPr>
            </w:pPr>
            <w:r>
              <w:rPr>
                <w:rFonts w:hint="cs"/>
                <w:spacing w:val="0"/>
                <w:sz w:val="18"/>
                <w:szCs w:val="20"/>
                <w:rtl/>
              </w:rPr>
              <w:t>094 293 1</w:t>
            </w:r>
          </w:p>
        </w:tc>
        <w:tc>
          <w:tcPr>
            <w:tcW w:w="979" w:type="dxa"/>
            <w:tcBorders>
              <w:top w:val="nil"/>
              <w:bottom w:val="nil"/>
            </w:tcBorders>
          </w:tcPr>
          <w:p w:rsidR="00443EC1" w:rsidRDefault="00443EC1">
            <w:pPr>
              <w:spacing w:before="0" w:after="0" w:line="280" w:lineRule="exact"/>
              <w:jc w:val="both"/>
              <w:rPr>
                <w:rFonts w:hint="cs"/>
                <w:spacing w:val="0"/>
                <w:sz w:val="18"/>
                <w:szCs w:val="20"/>
              </w:rPr>
            </w:pPr>
            <w:r>
              <w:rPr>
                <w:rFonts w:hint="cs"/>
                <w:spacing w:val="0"/>
                <w:sz w:val="18"/>
                <w:szCs w:val="20"/>
                <w:rtl/>
              </w:rPr>
              <w:t>045 247 1</w:t>
            </w:r>
          </w:p>
        </w:tc>
        <w:tc>
          <w:tcPr>
            <w:tcW w:w="966" w:type="dxa"/>
            <w:tcBorders>
              <w:top w:val="nil"/>
              <w:bottom w:val="nil"/>
            </w:tcBorders>
          </w:tcPr>
          <w:p w:rsidR="00443EC1" w:rsidRDefault="00443EC1">
            <w:pPr>
              <w:spacing w:before="0" w:after="0" w:line="280" w:lineRule="exact"/>
              <w:jc w:val="both"/>
              <w:rPr>
                <w:rFonts w:hint="cs"/>
                <w:spacing w:val="0"/>
                <w:sz w:val="18"/>
                <w:szCs w:val="20"/>
              </w:rPr>
            </w:pPr>
            <w:r>
              <w:rPr>
                <w:rFonts w:hint="cs"/>
                <w:spacing w:val="0"/>
                <w:sz w:val="18"/>
                <w:szCs w:val="20"/>
                <w:rtl/>
              </w:rPr>
              <w:t>510 231 1</w:t>
            </w:r>
          </w:p>
        </w:tc>
        <w:tc>
          <w:tcPr>
            <w:tcW w:w="966" w:type="dxa"/>
            <w:tcBorders>
              <w:top w:val="nil"/>
              <w:bottom w:val="nil"/>
            </w:tcBorders>
          </w:tcPr>
          <w:p w:rsidR="00443EC1" w:rsidRDefault="00443EC1">
            <w:pPr>
              <w:spacing w:before="0" w:after="0" w:line="280" w:lineRule="exact"/>
              <w:jc w:val="both"/>
              <w:rPr>
                <w:rFonts w:hint="cs"/>
                <w:spacing w:val="0"/>
                <w:sz w:val="18"/>
                <w:szCs w:val="20"/>
              </w:rPr>
            </w:pPr>
            <w:r>
              <w:rPr>
                <w:rFonts w:hint="cs"/>
                <w:spacing w:val="0"/>
                <w:sz w:val="18"/>
                <w:szCs w:val="20"/>
                <w:rtl/>
              </w:rPr>
              <w:t>061 269 1</w:t>
            </w:r>
          </w:p>
        </w:tc>
        <w:tc>
          <w:tcPr>
            <w:tcW w:w="1008" w:type="dxa"/>
            <w:tcBorders>
              <w:top w:val="nil"/>
              <w:bottom w:val="nil"/>
            </w:tcBorders>
          </w:tcPr>
          <w:p w:rsidR="00443EC1" w:rsidRDefault="00443EC1">
            <w:pPr>
              <w:spacing w:before="0" w:after="0" w:line="280" w:lineRule="exact"/>
              <w:jc w:val="both"/>
              <w:rPr>
                <w:rFonts w:hint="cs"/>
                <w:spacing w:val="0"/>
                <w:sz w:val="18"/>
                <w:szCs w:val="20"/>
              </w:rPr>
            </w:pPr>
            <w:r>
              <w:rPr>
                <w:rFonts w:hint="cs"/>
                <w:spacing w:val="0"/>
                <w:sz w:val="18"/>
                <w:szCs w:val="20"/>
                <w:rtl/>
              </w:rPr>
              <w:t>106 325 1</w:t>
            </w:r>
          </w:p>
        </w:tc>
        <w:tc>
          <w:tcPr>
            <w:tcW w:w="980" w:type="dxa"/>
            <w:tcBorders>
              <w:top w:val="nil"/>
              <w:bottom w:val="nil"/>
            </w:tcBorders>
          </w:tcPr>
          <w:p w:rsidR="00443EC1" w:rsidRDefault="00443EC1">
            <w:pPr>
              <w:spacing w:before="0" w:after="0" w:line="280" w:lineRule="exact"/>
              <w:jc w:val="both"/>
              <w:rPr>
                <w:rFonts w:hint="cs"/>
                <w:spacing w:val="0"/>
                <w:sz w:val="18"/>
                <w:szCs w:val="20"/>
              </w:rPr>
            </w:pPr>
            <w:r>
              <w:rPr>
                <w:rFonts w:hint="cs"/>
                <w:spacing w:val="0"/>
                <w:sz w:val="18"/>
                <w:szCs w:val="20"/>
                <w:rtl/>
              </w:rPr>
              <w:t>017 331 1</w:t>
            </w:r>
          </w:p>
        </w:tc>
        <w:tc>
          <w:tcPr>
            <w:tcW w:w="962" w:type="dxa"/>
            <w:tcBorders>
              <w:top w:val="nil"/>
              <w:bottom w:val="nil"/>
            </w:tcBorders>
          </w:tcPr>
          <w:p w:rsidR="00443EC1" w:rsidRDefault="00443EC1">
            <w:pPr>
              <w:spacing w:before="0" w:after="0" w:line="280" w:lineRule="exact"/>
              <w:jc w:val="both"/>
              <w:rPr>
                <w:rFonts w:hint="cs"/>
                <w:spacing w:val="0"/>
                <w:sz w:val="18"/>
                <w:szCs w:val="20"/>
              </w:rPr>
            </w:pPr>
            <w:r>
              <w:rPr>
                <w:rFonts w:hint="cs"/>
                <w:spacing w:val="0"/>
                <w:sz w:val="18"/>
                <w:szCs w:val="20"/>
                <w:rtl/>
              </w:rPr>
              <w:t>595 290 1</w:t>
            </w:r>
          </w:p>
        </w:tc>
      </w:tr>
      <w:tr w:rsidR="00443EC1" w:rsidTr="00443EC1">
        <w:tblPrEx>
          <w:tblCellMar>
            <w:top w:w="0" w:type="dxa"/>
            <w:bottom w:w="0" w:type="dxa"/>
          </w:tblCellMar>
        </w:tblPrEx>
        <w:trPr>
          <w:jc w:val="center"/>
        </w:trPr>
        <w:tc>
          <w:tcPr>
            <w:tcW w:w="1903"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 xml:space="preserve">أطباء القرى </w:t>
            </w:r>
          </w:p>
        </w:tc>
        <w:tc>
          <w:tcPr>
            <w:tcW w:w="798"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أفراد</w:t>
            </w:r>
          </w:p>
        </w:tc>
        <w:tc>
          <w:tcPr>
            <w:tcW w:w="1008"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022 643</w:t>
            </w:r>
          </w:p>
        </w:tc>
        <w:tc>
          <w:tcPr>
            <w:tcW w:w="979"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653 731</w:t>
            </w:r>
          </w:p>
        </w:tc>
        <w:tc>
          <w:tcPr>
            <w:tcW w:w="966"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859 776</w:t>
            </w:r>
          </w:p>
        </w:tc>
        <w:tc>
          <w:tcPr>
            <w:tcW w:w="966"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557 816</w:t>
            </w:r>
          </w:p>
        </w:tc>
        <w:tc>
          <w:tcPr>
            <w:tcW w:w="1008"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664 910</w:t>
            </w:r>
          </w:p>
        </w:tc>
        <w:tc>
          <w:tcPr>
            <w:tcW w:w="980"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933 955</w:t>
            </w:r>
          </w:p>
        </w:tc>
        <w:tc>
          <w:tcPr>
            <w:tcW w:w="962" w:type="dxa"/>
            <w:tcBorders>
              <w:top w:val="nil"/>
              <w:bottom w:val="nil"/>
            </w:tcBorders>
          </w:tcPr>
          <w:p w:rsidR="00443EC1" w:rsidRDefault="00443EC1">
            <w:pPr>
              <w:spacing w:before="0" w:after="0" w:line="280" w:lineRule="exact"/>
              <w:jc w:val="both"/>
              <w:rPr>
                <w:rStyle w:val="FootnoteReference"/>
                <w:rFonts w:hint="cs"/>
                <w:bCs w:val="0"/>
                <w:spacing w:val="0"/>
                <w:sz w:val="26"/>
                <w:szCs w:val="20"/>
                <w:vertAlign w:val="baseline"/>
              </w:rPr>
            </w:pPr>
            <w:r>
              <w:rPr>
                <w:rFonts w:hint="cs"/>
                <w:spacing w:val="0"/>
                <w:sz w:val="26"/>
                <w:szCs w:val="20"/>
                <w:rtl/>
              </w:rPr>
              <w:t>542 021 1</w:t>
            </w:r>
          </w:p>
        </w:tc>
      </w:tr>
      <w:tr w:rsidR="00443EC1" w:rsidTr="00443EC1">
        <w:tblPrEx>
          <w:tblCellMar>
            <w:top w:w="0" w:type="dxa"/>
            <w:bottom w:w="0" w:type="dxa"/>
          </w:tblCellMar>
        </w:tblPrEx>
        <w:trPr>
          <w:jc w:val="center"/>
        </w:trPr>
        <w:tc>
          <w:tcPr>
            <w:tcW w:w="1903"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العاملون الصحيون</w:t>
            </w:r>
          </w:p>
        </w:tc>
        <w:tc>
          <w:tcPr>
            <w:tcW w:w="798"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أفراد</w:t>
            </w:r>
          </w:p>
        </w:tc>
        <w:tc>
          <w:tcPr>
            <w:tcW w:w="1008"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072 650</w:t>
            </w:r>
          </w:p>
        </w:tc>
        <w:tc>
          <w:tcPr>
            <w:tcW w:w="979"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392 515</w:t>
            </w:r>
          </w:p>
        </w:tc>
        <w:tc>
          <w:tcPr>
            <w:tcW w:w="966"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651 454</w:t>
            </w:r>
          </w:p>
        </w:tc>
        <w:tc>
          <w:tcPr>
            <w:tcW w:w="966"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504 452</w:t>
            </w:r>
          </w:p>
        </w:tc>
        <w:tc>
          <w:tcPr>
            <w:tcW w:w="1008"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442 414</w:t>
            </w:r>
          </w:p>
        </w:tc>
        <w:tc>
          <w:tcPr>
            <w:tcW w:w="980"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084 375</w:t>
            </w:r>
          </w:p>
        </w:tc>
        <w:tc>
          <w:tcPr>
            <w:tcW w:w="962" w:type="dxa"/>
            <w:tcBorders>
              <w:top w:val="nil"/>
              <w:bottom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053 269</w:t>
            </w:r>
          </w:p>
        </w:tc>
      </w:tr>
      <w:tr w:rsidR="00443EC1" w:rsidTr="00443EC1">
        <w:tblPrEx>
          <w:tblCellMar>
            <w:top w:w="0" w:type="dxa"/>
            <w:bottom w:w="0" w:type="dxa"/>
          </w:tblCellMar>
        </w:tblPrEx>
        <w:trPr>
          <w:jc w:val="center"/>
        </w:trPr>
        <w:tc>
          <w:tcPr>
            <w:tcW w:w="1903" w:type="dxa"/>
            <w:tcBorders>
              <w:top w:val="nil"/>
            </w:tcBorders>
          </w:tcPr>
          <w:p w:rsidR="00443EC1" w:rsidRDefault="00443EC1">
            <w:pPr>
              <w:spacing w:before="0" w:after="0" w:line="280" w:lineRule="exact"/>
              <w:jc w:val="both"/>
              <w:rPr>
                <w:rStyle w:val="FootnoteReference"/>
                <w:rFonts w:hint="cs"/>
                <w:bCs w:val="0"/>
                <w:spacing w:val="0"/>
                <w:sz w:val="26"/>
                <w:szCs w:val="22"/>
                <w:vertAlign w:val="baseline"/>
              </w:rPr>
            </w:pPr>
            <w:r>
              <w:rPr>
                <w:rFonts w:hint="cs"/>
                <w:spacing w:val="0"/>
                <w:sz w:val="26"/>
                <w:szCs w:val="22"/>
                <w:rtl/>
              </w:rPr>
              <w:t>عدد الأطباء والعاملين الصحيين في القرى لكل 000 1 ساكن من سكان الأرياف</w:t>
            </w:r>
          </w:p>
        </w:tc>
        <w:tc>
          <w:tcPr>
            <w:tcW w:w="798" w:type="dxa"/>
            <w:tcBorders>
              <w:top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أفراد</w:t>
            </w:r>
          </w:p>
        </w:tc>
        <w:tc>
          <w:tcPr>
            <w:tcW w:w="1008" w:type="dxa"/>
            <w:tcBorders>
              <w:top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155</w:t>
            </w:r>
          </w:p>
        </w:tc>
        <w:tc>
          <w:tcPr>
            <w:tcW w:w="979" w:type="dxa"/>
            <w:tcBorders>
              <w:top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144</w:t>
            </w:r>
          </w:p>
        </w:tc>
        <w:tc>
          <w:tcPr>
            <w:tcW w:w="966" w:type="dxa"/>
            <w:tcBorders>
              <w:top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138</w:t>
            </w:r>
          </w:p>
        </w:tc>
        <w:tc>
          <w:tcPr>
            <w:tcW w:w="966" w:type="dxa"/>
            <w:tcBorders>
              <w:top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141</w:t>
            </w:r>
          </w:p>
        </w:tc>
        <w:tc>
          <w:tcPr>
            <w:tcW w:w="1008" w:type="dxa"/>
            <w:tcBorders>
              <w:top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147</w:t>
            </w:r>
          </w:p>
        </w:tc>
        <w:tc>
          <w:tcPr>
            <w:tcW w:w="980" w:type="dxa"/>
            <w:tcBorders>
              <w:top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148</w:t>
            </w:r>
          </w:p>
        </w:tc>
        <w:tc>
          <w:tcPr>
            <w:tcW w:w="962" w:type="dxa"/>
            <w:tcBorders>
              <w:top w:val="nil"/>
            </w:tcBorders>
          </w:tcPr>
          <w:p w:rsidR="00443EC1" w:rsidRDefault="00443EC1">
            <w:pPr>
              <w:spacing w:before="0" w:after="0" w:line="280" w:lineRule="exact"/>
              <w:jc w:val="both"/>
              <w:rPr>
                <w:rStyle w:val="FootnoteReference"/>
                <w:rFonts w:hint="cs"/>
                <w:bCs w:val="0"/>
                <w:sz w:val="26"/>
                <w:szCs w:val="22"/>
                <w:vertAlign w:val="baseline"/>
              </w:rPr>
            </w:pPr>
            <w:r>
              <w:rPr>
                <w:rFonts w:hint="cs"/>
                <w:sz w:val="26"/>
                <w:szCs w:val="22"/>
                <w:rtl/>
              </w:rPr>
              <w:t>141</w:t>
            </w:r>
          </w:p>
        </w:tc>
      </w:tr>
    </w:tbl>
    <w:p w:rsidR="00000000" w:rsidRDefault="00443EC1">
      <w:pPr>
        <w:spacing w:before="0" w:after="0" w:line="340" w:lineRule="exact"/>
        <w:jc w:val="both"/>
        <w:rPr>
          <w:rFonts w:hint="cs"/>
          <w:sz w:val="26"/>
          <w:szCs w:val="28"/>
          <w:rtl/>
        </w:rPr>
      </w:pPr>
      <w:r>
        <w:rPr>
          <w:rFonts w:hint="cs"/>
          <w:sz w:val="26"/>
          <w:szCs w:val="28"/>
          <w:rtl/>
        </w:rPr>
        <w:tab/>
      </w:r>
      <w:r>
        <w:rPr>
          <w:rFonts w:hint="cs"/>
          <w:i/>
          <w:iCs/>
          <w:sz w:val="26"/>
          <w:szCs w:val="28"/>
          <w:rtl/>
        </w:rPr>
        <w:t>المصدر</w:t>
      </w:r>
      <w:r>
        <w:rPr>
          <w:rFonts w:hint="cs"/>
          <w:sz w:val="26"/>
          <w:szCs w:val="28"/>
          <w:rtl/>
        </w:rPr>
        <w:t>:</w:t>
      </w:r>
      <w:r>
        <w:rPr>
          <w:rFonts w:hint="cs"/>
          <w:sz w:val="26"/>
          <w:szCs w:val="28"/>
          <w:rtl/>
        </w:rPr>
        <w:tab/>
        <w:t>وزارة الصحة.</w:t>
      </w:r>
    </w:p>
    <w:p w:rsidR="00000000" w:rsidRDefault="00443EC1">
      <w:pPr>
        <w:spacing w:before="0" w:after="0" w:line="340" w:lineRule="exact"/>
        <w:jc w:val="both"/>
        <w:rPr>
          <w:rFonts w:hint="cs"/>
          <w:sz w:val="26"/>
          <w:szCs w:val="28"/>
          <w:rtl/>
        </w:rPr>
      </w:pPr>
      <w:r>
        <w:rPr>
          <w:rFonts w:hint="cs"/>
          <w:sz w:val="26"/>
          <w:szCs w:val="28"/>
          <w:rtl/>
        </w:rPr>
        <w:tab/>
        <w:t>ملاحظة: "أطباء القرى" هم موظفون اجتازوا امتحانات إدارة الصحة في الأقاليم وحصلوا على شهادة منها.</w:t>
      </w:r>
    </w:p>
    <w:p w:rsidR="00000000" w:rsidRDefault="00443EC1">
      <w:pPr>
        <w:spacing w:line="380" w:lineRule="exact"/>
        <w:jc w:val="center"/>
        <w:rPr>
          <w:rFonts w:hint="cs"/>
          <w:b/>
          <w:bCs/>
          <w:rtl/>
        </w:rPr>
      </w:pPr>
      <w:r>
        <w:rPr>
          <w:rFonts w:hint="cs"/>
          <w:b/>
          <w:bCs/>
          <w:rtl/>
        </w:rPr>
        <w:t>الجدول 20</w:t>
      </w:r>
    </w:p>
    <w:p w:rsidR="00000000" w:rsidRDefault="00443EC1">
      <w:pPr>
        <w:spacing w:line="380" w:lineRule="exact"/>
        <w:jc w:val="center"/>
        <w:rPr>
          <w:rFonts w:hint="cs"/>
          <w:b/>
          <w:bCs/>
          <w:rtl/>
        </w:rPr>
      </w:pPr>
      <w:r>
        <w:rPr>
          <w:rFonts w:hint="cs"/>
          <w:b/>
          <w:bCs/>
          <w:rtl/>
        </w:rPr>
        <w:t>النساء اللواتي يحصلن على رعاية صحية من موظفين مدربين أثناء فترة الحمل</w:t>
      </w:r>
      <w:r>
        <w:rPr>
          <w:b/>
          <w:bCs/>
          <w:rtl/>
        </w:rPr>
        <w:br/>
      </w:r>
      <w:r>
        <w:rPr>
          <w:rFonts w:hint="cs"/>
          <w:b/>
          <w:bCs/>
          <w:rtl/>
        </w:rPr>
        <w:t>وعند الولادة، 1996-2001</w:t>
      </w:r>
    </w:p>
    <w:tbl>
      <w:tblPr>
        <w:bidiVisual/>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190"/>
        <w:gridCol w:w="3190"/>
        <w:gridCol w:w="3190"/>
      </w:tblGrid>
      <w:tr w:rsidR="00443EC1" w:rsidTr="00443EC1">
        <w:tblPrEx>
          <w:tblCellMar>
            <w:top w:w="0" w:type="dxa"/>
            <w:bottom w:w="0" w:type="dxa"/>
          </w:tblCellMar>
        </w:tblPrEx>
        <w:trPr>
          <w:jc w:val="center"/>
        </w:trPr>
        <w:tc>
          <w:tcPr>
            <w:tcW w:w="3190" w:type="dxa"/>
            <w:tcBorders>
              <w:top w:val="single" w:sz="4" w:space="0" w:color="auto"/>
              <w:bottom w:val="single" w:sz="4" w:space="0" w:color="auto"/>
            </w:tcBorders>
          </w:tcPr>
          <w:p w:rsidR="00443EC1" w:rsidRDefault="00443EC1">
            <w:pPr>
              <w:spacing w:before="0" w:after="0" w:line="280" w:lineRule="exact"/>
              <w:jc w:val="center"/>
              <w:rPr>
                <w:rFonts w:hint="cs"/>
                <w:sz w:val="28"/>
                <w:szCs w:val="28"/>
              </w:rPr>
            </w:pPr>
            <w:r>
              <w:rPr>
                <w:rFonts w:hint="cs"/>
                <w:sz w:val="28"/>
                <w:szCs w:val="28"/>
                <w:rtl/>
              </w:rPr>
              <w:t>السنة</w:t>
            </w:r>
          </w:p>
        </w:tc>
        <w:tc>
          <w:tcPr>
            <w:tcW w:w="3190" w:type="dxa"/>
            <w:tcBorders>
              <w:top w:val="single" w:sz="4" w:space="0" w:color="auto"/>
              <w:bottom w:val="single" w:sz="4" w:space="0" w:color="auto"/>
            </w:tcBorders>
          </w:tcPr>
          <w:p w:rsidR="00443EC1" w:rsidRDefault="00443EC1">
            <w:pPr>
              <w:spacing w:before="0" w:after="0" w:line="280" w:lineRule="exact"/>
              <w:jc w:val="center"/>
              <w:rPr>
                <w:rFonts w:hint="cs"/>
                <w:sz w:val="28"/>
                <w:szCs w:val="28"/>
              </w:rPr>
            </w:pPr>
            <w:r>
              <w:rPr>
                <w:rFonts w:hint="cs"/>
                <w:sz w:val="28"/>
                <w:szCs w:val="28"/>
                <w:rtl/>
              </w:rPr>
              <w:t>خلال فترة الحمل (نسبة مئوية)</w:t>
            </w:r>
          </w:p>
        </w:tc>
        <w:tc>
          <w:tcPr>
            <w:tcW w:w="3190" w:type="dxa"/>
            <w:tcBorders>
              <w:top w:val="single" w:sz="4" w:space="0" w:color="auto"/>
              <w:bottom w:val="single" w:sz="4" w:space="0" w:color="auto"/>
            </w:tcBorders>
          </w:tcPr>
          <w:p w:rsidR="00443EC1" w:rsidRDefault="00443EC1">
            <w:pPr>
              <w:spacing w:before="0" w:after="0" w:line="280" w:lineRule="exact"/>
              <w:jc w:val="center"/>
              <w:rPr>
                <w:rFonts w:hint="cs"/>
                <w:sz w:val="28"/>
                <w:szCs w:val="28"/>
              </w:rPr>
            </w:pPr>
            <w:r>
              <w:rPr>
                <w:rFonts w:hint="cs"/>
                <w:sz w:val="28"/>
                <w:szCs w:val="28"/>
                <w:rtl/>
              </w:rPr>
              <w:t>عند الولادة (نسبة مئوية)</w:t>
            </w:r>
          </w:p>
        </w:tc>
      </w:tr>
      <w:tr w:rsidR="00443EC1" w:rsidTr="00443EC1">
        <w:tblPrEx>
          <w:tblCellMar>
            <w:top w:w="0" w:type="dxa"/>
            <w:bottom w:w="0" w:type="dxa"/>
          </w:tblCellMar>
        </w:tblPrEx>
        <w:trPr>
          <w:jc w:val="center"/>
        </w:trPr>
        <w:tc>
          <w:tcPr>
            <w:tcW w:w="3190" w:type="dxa"/>
            <w:tcBorders>
              <w:top w:val="single" w:sz="4" w:space="0" w:color="auto"/>
            </w:tcBorders>
          </w:tcPr>
          <w:p w:rsidR="00443EC1" w:rsidRDefault="00443EC1">
            <w:pPr>
              <w:spacing w:before="0" w:after="0" w:line="280" w:lineRule="exact"/>
              <w:jc w:val="center"/>
              <w:rPr>
                <w:rFonts w:hint="cs"/>
                <w:sz w:val="28"/>
                <w:szCs w:val="28"/>
              </w:rPr>
            </w:pPr>
            <w:r>
              <w:rPr>
                <w:rFonts w:hint="cs"/>
                <w:sz w:val="28"/>
                <w:szCs w:val="28"/>
                <w:rtl/>
              </w:rPr>
              <w:t>1996</w:t>
            </w:r>
          </w:p>
        </w:tc>
        <w:tc>
          <w:tcPr>
            <w:tcW w:w="3190" w:type="dxa"/>
            <w:tcBorders>
              <w:top w:val="single" w:sz="4" w:space="0" w:color="auto"/>
            </w:tcBorders>
          </w:tcPr>
          <w:p w:rsidR="00443EC1" w:rsidRDefault="00443EC1">
            <w:pPr>
              <w:spacing w:before="0" w:after="0" w:line="280" w:lineRule="exact"/>
              <w:jc w:val="center"/>
              <w:rPr>
                <w:rFonts w:hint="cs"/>
                <w:sz w:val="28"/>
                <w:szCs w:val="28"/>
              </w:rPr>
            </w:pPr>
            <w:r>
              <w:rPr>
                <w:rFonts w:hint="cs"/>
                <w:sz w:val="28"/>
                <w:szCs w:val="28"/>
                <w:rtl/>
              </w:rPr>
              <w:t>83.69</w:t>
            </w:r>
          </w:p>
        </w:tc>
        <w:tc>
          <w:tcPr>
            <w:tcW w:w="3190" w:type="dxa"/>
            <w:tcBorders>
              <w:top w:val="single" w:sz="4" w:space="0" w:color="auto"/>
            </w:tcBorders>
          </w:tcPr>
          <w:p w:rsidR="00443EC1" w:rsidRDefault="00443EC1">
            <w:pPr>
              <w:spacing w:before="0" w:after="0" w:line="280" w:lineRule="exact"/>
              <w:jc w:val="center"/>
              <w:rPr>
                <w:rFonts w:hint="cs"/>
                <w:sz w:val="28"/>
                <w:szCs w:val="28"/>
              </w:rPr>
            </w:pPr>
            <w:r>
              <w:rPr>
                <w:rFonts w:hint="cs"/>
                <w:sz w:val="28"/>
                <w:szCs w:val="28"/>
                <w:rtl/>
              </w:rPr>
              <w:t>80.06</w:t>
            </w:r>
          </w:p>
        </w:tc>
      </w:tr>
      <w:tr w:rsidR="00443EC1" w:rsidTr="00443EC1">
        <w:tblPrEx>
          <w:tblCellMar>
            <w:top w:w="0" w:type="dxa"/>
            <w:bottom w:w="0" w:type="dxa"/>
          </w:tblCellMar>
        </w:tblPrEx>
        <w:trPr>
          <w:jc w:val="center"/>
        </w:trPr>
        <w:tc>
          <w:tcPr>
            <w:tcW w:w="3190" w:type="dxa"/>
          </w:tcPr>
          <w:p w:rsidR="00443EC1" w:rsidRDefault="00443EC1">
            <w:pPr>
              <w:spacing w:before="0" w:after="0" w:line="280" w:lineRule="exact"/>
              <w:jc w:val="center"/>
              <w:rPr>
                <w:rFonts w:hint="cs"/>
                <w:sz w:val="28"/>
                <w:szCs w:val="28"/>
              </w:rPr>
            </w:pPr>
            <w:r>
              <w:rPr>
                <w:rFonts w:hint="cs"/>
                <w:sz w:val="28"/>
                <w:szCs w:val="28"/>
                <w:rtl/>
              </w:rPr>
              <w:t>1997</w:t>
            </w:r>
          </w:p>
        </w:tc>
        <w:tc>
          <w:tcPr>
            <w:tcW w:w="3190" w:type="dxa"/>
          </w:tcPr>
          <w:p w:rsidR="00443EC1" w:rsidRDefault="00443EC1">
            <w:pPr>
              <w:spacing w:before="0" w:after="0" w:line="280" w:lineRule="exact"/>
              <w:jc w:val="center"/>
              <w:rPr>
                <w:rFonts w:hint="cs"/>
                <w:sz w:val="28"/>
                <w:szCs w:val="28"/>
              </w:rPr>
            </w:pPr>
            <w:r>
              <w:rPr>
                <w:rFonts w:hint="cs"/>
                <w:sz w:val="28"/>
                <w:szCs w:val="28"/>
                <w:rtl/>
              </w:rPr>
              <w:t>85.89</w:t>
            </w:r>
          </w:p>
        </w:tc>
        <w:tc>
          <w:tcPr>
            <w:tcW w:w="3190" w:type="dxa"/>
          </w:tcPr>
          <w:p w:rsidR="00443EC1" w:rsidRDefault="00443EC1">
            <w:pPr>
              <w:spacing w:before="0" w:after="0" w:line="280" w:lineRule="exact"/>
              <w:jc w:val="center"/>
              <w:rPr>
                <w:rFonts w:hint="cs"/>
                <w:sz w:val="28"/>
                <w:szCs w:val="28"/>
              </w:rPr>
            </w:pPr>
            <w:r>
              <w:rPr>
                <w:rFonts w:hint="cs"/>
                <w:sz w:val="28"/>
                <w:szCs w:val="28"/>
                <w:rtl/>
              </w:rPr>
              <w:t>82.85</w:t>
            </w:r>
          </w:p>
        </w:tc>
      </w:tr>
      <w:tr w:rsidR="00443EC1" w:rsidTr="00443EC1">
        <w:tblPrEx>
          <w:tblCellMar>
            <w:top w:w="0" w:type="dxa"/>
            <w:bottom w:w="0" w:type="dxa"/>
          </w:tblCellMar>
        </w:tblPrEx>
        <w:trPr>
          <w:jc w:val="center"/>
        </w:trPr>
        <w:tc>
          <w:tcPr>
            <w:tcW w:w="3190" w:type="dxa"/>
          </w:tcPr>
          <w:p w:rsidR="00443EC1" w:rsidRDefault="00443EC1">
            <w:pPr>
              <w:spacing w:before="0" w:after="0" w:line="280" w:lineRule="exact"/>
              <w:jc w:val="center"/>
              <w:rPr>
                <w:rFonts w:hint="cs"/>
                <w:sz w:val="28"/>
                <w:szCs w:val="28"/>
              </w:rPr>
            </w:pPr>
            <w:r>
              <w:rPr>
                <w:rFonts w:hint="cs"/>
                <w:sz w:val="28"/>
                <w:szCs w:val="28"/>
                <w:rtl/>
              </w:rPr>
              <w:t>1998</w:t>
            </w:r>
          </w:p>
        </w:tc>
        <w:tc>
          <w:tcPr>
            <w:tcW w:w="3190" w:type="dxa"/>
          </w:tcPr>
          <w:p w:rsidR="00443EC1" w:rsidRDefault="00443EC1">
            <w:pPr>
              <w:spacing w:before="0" w:after="0" w:line="280" w:lineRule="exact"/>
              <w:jc w:val="center"/>
              <w:rPr>
                <w:rFonts w:hint="cs"/>
                <w:sz w:val="28"/>
                <w:szCs w:val="28"/>
              </w:rPr>
            </w:pPr>
            <w:r>
              <w:rPr>
                <w:rFonts w:hint="cs"/>
                <w:sz w:val="28"/>
                <w:szCs w:val="28"/>
                <w:rtl/>
              </w:rPr>
              <w:t>87.13</w:t>
            </w:r>
          </w:p>
        </w:tc>
        <w:tc>
          <w:tcPr>
            <w:tcW w:w="3190" w:type="dxa"/>
          </w:tcPr>
          <w:p w:rsidR="00443EC1" w:rsidRDefault="00443EC1">
            <w:pPr>
              <w:spacing w:before="0" w:after="0" w:line="280" w:lineRule="exact"/>
              <w:jc w:val="center"/>
              <w:rPr>
                <w:rFonts w:hint="cs"/>
                <w:sz w:val="28"/>
                <w:szCs w:val="28"/>
              </w:rPr>
            </w:pPr>
            <w:r>
              <w:rPr>
                <w:rFonts w:hint="cs"/>
                <w:sz w:val="28"/>
                <w:szCs w:val="28"/>
                <w:rtl/>
              </w:rPr>
              <w:t>83.91</w:t>
            </w:r>
          </w:p>
        </w:tc>
      </w:tr>
      <w:tr w:rsidR="00443EC1" w:rsidTr="00443EC1">
        <w:tblPrEx>
          <w:tblCellMar>
            <w:top w:w="0" w:type="dxa"/>
            <w:bottom w:w="0" w:type="dxa"/>
          </w:tblCellMar>
        </w:tblPrEx>
        <w:trPr>
          <w:jc w:val="center"/>
        </w:trPr>
        <w:tc>
          <w:tcPr>
            <w:tcW w:w="3190" w:type="dxa"/>
          </w:tcPr>
          <w:p w:rsidR="00443EC1" w:rsidRDefault="00443EC1">
            <w:pPr>
              <w:spacing w:before="0" w:after="0" w:line="280" w:lineRule="exact"/>
              <w:jc w:val="center"/>
              <w:rPr>
                <w:rFonts w:hint="cs"/>
                <w:sz w:val="28"/>
                <w:szCs w:val="28"/>
              </w:rPr>
            </w:pPr>
            <w:r>
              <w:rPr>
                <w:rFonts w:hint="cs"/>
                <w:sz w:val="28"/>
                <w:szCs w:val="28"/>
                <w:rtl/>
              </w:rPr>
              <w:t>1999</w:t>
            </w:r>
          </w:p>
        </w:tc>
        <w:tc>
          <w:tcPr>
            <w:tcW w:w="3190" w:type="dxa"/>
          </w:tcPr>
          <w:p w:rsidR="00443EC1" w:rsidRDefault="00443EC1">
            <w:pPr>
              <w:spacing w:before="0" w:after="0" w:line="280" w:lineRule="exact"/>
              <w:jc w:val="center"/>
              <w:rPr>
                <w:rFonts w:hint="cs"/>
                <w:sz w:val="28"/>
                <w:szCs w:val="28"/>
              </w:rPr>
            </w:pPr>
            <w:r>
              <w:rPr>
                <w:rFonts w:hint="cs"/>
                <w:sz w:val="28"/>
                <w:szCs w:val="28"/>
                <w:rtl/>
              </w:rPr>
              <w:t>89.25</w:t>
            </w:r>
          </w:p>
        </w:tc>
        <w:tc>
          <w:tcPr>
            <w:tcW w:w="3190" w:type="dxa"/>
          </w:tcPr>
          <w:p w:rsidR="00443EC1" w:rsidRDefault="00443EC1">
            <w:pPr>
              <w:spacing w:before="0" w:after="0" w:line="280" w:lineRule="exact"/>
              <w:jc w:val="center"/>
              <w:rPr>
                <w:rFonts w:hint="cs"/>
                <w:sz w:val="28"/>
                <w:szCs w:val="28"/>
              </w:rPr>
            </w:pPr>
            <w:r>
              <w:rPr>
                <w:rFonts w:hint="cs"/>
                <w:sz w:val="28"/>
                <w:szCs w:val="28"/>
                <w:rtl/>
              </w:rPr>
              <w:t>85.86</w:t>
            </w:r>
          </w:p>
        </w:tc>
      </w:tr>
      <w:tr w:rsidR="00443EC1" w:rsidTr="00443EC1">
        <w:tblPrEx>
          <w:tblCellMar>
            <w:top w:w="0" w:type="dxa"/>
            <w:bottom w:w="0" w:type="dxa"/>
          </w:tblCellMar>
        </w:tblPrEx>
        <w:trPr>
          <w:jc w:val="center"/>
        </w:trPr>
        <w:tc>
          <w:tcPr>
            <w:tcW w:w="3190" w:type="dxa"/>
          </w:tcPr>
          <w:p w:rsidR="00443EC1" w:rsidRDefault="00443EC1">
            <w:pPr>
              <w:spacing w:before="0" w:after="0" w:line="280" w:lineRule="exact"/>
              <w:jc w:val="center"/>
              <w:rPr>
                <w:rFonts w:hint="cs"/>
                <w:sz w:val="28"/>
                <w:szCs w:val="28"/>
              </w:rPr>
            </w:pPr>
            <w:r>
              <w:rPr>
                <w:rFonts w:hint="cs"/>
                <w:sz w:val="28"/>
                <w:szCs w:val="28"/>
                <w:rtl/>
              </w:rPr>
              <w:t>2000</w:t>
            </w:r>
          </w:p>
        </w:tc>
        <w:tc>
          <w:tcPr>
            <w:tcW w:w="3190" w:type="dxa"/>
          </w:tcPr>
          <w:p w:rsidR="00443EC1" w:rsidRDefault="00443EC1">
            <w:pPr>
              <w:spacing w:before="0" w:after="0" w:line="280" w:lineRule="exact"/>
              <w:jc w:val="center"/>
              <w:rPr>
                <w:rFonts w:hint="cs"/>
                <w:sz w:val="28"/>
                <w:szCs w:val="28"/>
              </w:rPr>
            </w:pPr>
            <w:r>
              <w:rPr>
                <w:rFonts w:hint="cs"/>
                <w:sz w:val="28"/>
                <w:szCs w:val="28"/>
                <w:rtl/>
              </w:rPr>
              <w:t>89.36</w:t>
            </w:r>
          </w:p>
        </w:tc>
        <w:tc>
          <w:tcPr>
            <w:tcW w:w="3190" w:type="dxa"/>
          </w:tcPr>
          <w:p w:rsidR="00443EC1" w:rsidRDefault="00443EC1">
            <w:pPr>
              <w:spacing w:before="0" w:after="0" w:line="280" w:lineRule="exact"/>
              <w:jc w:val="center"/>
              <w:rPr>
                <w:rFonts w:hint="cs"/>
                <w:sz w:val="28"/>
                <w:szCs w:val="28"/>
              </w:rPr>
            </w:pPr>
            <w:r>
              <w:rPr>
                <w:rFonts w:hint="cs"/>
                <w:sz w:val="28"/>
                <w:szCs w:val="28"/>
                <w:rtl/>
              </w:rPr>
              <w:t>86.15</w:t>
            </w:r>
          </w:p>
        </w:tc>
      </w:tr>
      <w:tr w:rsidR="00443EC1" w:rsidTr="00443EC1">
        <w:tblPrEx>
          <w:tblCellMar>
            <w:top w:w="0" w:type="dxa"/>
            <w:bottom w:w="0" w:type="dxa"/>
          </w:tblCellMar>
        </w:tblPrEx>
        <w:trPr>
          <w:jc w:val="center"/>
        </w:trPr>
        <w:tc>
          <w:tcPr>
            <w:tcW w:w="3190" w:type="dxa"/>
          </w:tcPr>
          <w:p w:rsidR="00443EC1" w:rsidRDefault="00443EC1">
            <w:pPr>
              <w:spacing w:before="0" w:after="0" w:line="280" w:lineRule="exact"/>
              <w:jc w:val="center"/>
              <w:rPr>
                <w:rFonts w:hint="cs"/>
                <w:sz w:val="28"/>
                <w:szCs w:val="28"/>
              </w:rPr>
            </w:pPr>
            <w:r>
              <w:rPr>
                <w:rFonts w:hint="cs"/>
                <w:sz w:val="28"/>
                <w:szCs w:val="28"/>
                <w:rtl/>
              </w:rPr>
              <w:t>2001</w:t>
            </w:r>
          </w:p>
        </w:tc>
        <w:tc>
          <w:tcPr>
            <w:tcW w:w="3190" w:type="dxa"/>
          </w:tcPr>
          <w:p w:rsidR="00443EC1" w:rsidRDefault="00443EC1">
            <w:pPr>
              <w:spacing w:before="0" w:after="0" w:line="280" w:lineRule="exact"/>
              <w:jc w:val="center"/>
              <w:rPr>
                <w:rFonts w:hint="cs"/>
                <w:sz w:val="28"/>
                <w:szCs w:val="28"/>
              </w:rPr>
            </w:pPr>
            <w:r>
              <w:rPr>
                <w:rFonts w:hint="cs"/>
                <w:sz w:val="28"/>
                <w:szCs w:val="28"/>
                <w:rtl/>
              </w:rPr>
              <w:t>90.31</w:t>
            </w:r>
          </w:p>
        </w:tc>
        <w:tc>
          <w:tcPr>
            <w:tcW w:w="3190" w:type="dxa"/>
          </w:tcPr>
          <w:p w:rsidR="00443EC1" w:rsidRDefault="00443EC1">
            <w:pPr>
              <w:spacing w:before="0" w:after="0" w:line="280" w:lineRule="exact"/>
              <w:jc w:val="center"/>
              <w:rPr>
                <w:rFonts w:hint="cs"/>
                <w:sz w:val="28"/>
                <w:szCs w:val="28"/>
              </w:rPr>
            </w:pPr>
            <w:r>
              <w:rPr>
                <w:rFonts w:hint="cs"/>
                <w:sz w:val="28"/>
                <w:szCs w:val="28"/>
                <w:rtl/>
              </w:rPr>
              <w:t>87.15</w:t>
            </w:r>
          </w:p>
        </w:tc>
      </w:tr>
    </w:tbl>
    <w:p w:rsidR="00000000" w:rsidRDefault="00443EC1">
      <w:pPr>
        <w:spacing w:before="120" w:line="380" w:lineRule="exact"/>
        <w:jc w:val="both"/>
        <w:rPr>
          <w:rFonts w:hint="cs"/>
          <w:sz w:val="26"/>
          <w:szCs w:val="28"/>
          <w:rtl/>
        </w:rPr>
      </w:pPr>
      <w:r>
        <w:rPr>
          <w:rFonts w:hint="cs"/>
          <w:sz w:val="26"/>
          <w:szCs w:val="28"/>
          <w:rtl/>
        </w:rPr>
        <w:tab/>
      </w:r>
      <w:r>
        <w:rPr>
          <w:rFonts w:hint="cs"/>
          <w:i/>
          <w:iCs/>
          <w:sz w:val="26"/>
          <w:szCs w:val="28"/>
          <w:rtl/>
        </w:rPr>
        <w:t>المصدر</w:t>
      </w:r>
      <w:r>
        <w:rPr>
          <w:rFonts w:hint="cs"/>
          <w:sz w:val="26"/>
          <w:szCs w:val="28"/>
          <w:rtl/>
        </w:rPr>
        <w:t>: وزارة الصحة.</w:t>
      </w:r>
    </w:p>
    <w:p w:rsidR="00000000" w:rsidRDefault="00443EC1">
      <w:pPr>
        <w:jc w:val="center"/>
        <w:rPr>
          <w:rFonts w:hint="cs"/>
          <w:b/>
          <w:bCs/>
          <w:rtl/>
        </w:rPr>
      </w:pPr>
      <w:r>
        <w:rPr>
          <w:rFonts w:hint="cs"/>
          <w:b/>
          <w:bCs/>
          <w:rtl/>
        </w:rPr>
        <w:t>الجدول 21</w:t>
      </w:r>
    </w:p>
    <w:p w:rsidR="00000000" w:rsidRDefault="00443EC1">
      <w:pPr>
        <w:jc w:val="center"/>
        <w:rPr>
          <w:rFonts w:hint="cs"/>
          <w:b/>
          <w:bCs/>
          <w:rtl/>
        </w:rPr>
      </w:pPr>
      <w:r>
        <w:rPr>
          <w:rFonts w:hint="cs"/>
          <w:b/>
          <w:bCs/>
          <w:rtl/>
        </w:rPr>
        <w:t>معدل وفيات الأمهات، 1996-2001 (على الصعيد الوطني، في المدن والأرياف)</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5"/>
        <w:gridCol w:w="1932"/>
        <w:gridCol w:w="1258"/>
        <w:gridCol w:w="1595"/>
        <w:gridCol w:w="1595"/>
        <w:gridCol w:w="1595"/>
      </w:tblGrid>
      <w:tr w:rsidR="00443EC1" w:rsidTr="00443EC1">
        <w:tblPrEx>
          <w:tblCellMar>
            <w:top w:w="0" w:type="dxa"/>
            <w:bottom w:w="0" w:type="dxa"/>
          </w:tblCellMar>
        </w:tblPrEx>
        <w:trPr>
          <w:cantSplit/>
          <w:jc w:val="center"/>
        </w:trPr>
        <w:tc>
          <w:tcPr>
            <w:tcW w:w="1595" w:type="dxa"/>
            <w:tcBorders>
              <w:bottom w:val="nil"/>
            </w:tcBorders>
          </w:tcPr>
          <w:p w:rsidR="00443EC1" w:rsidRDefault="00443EC1">
            <w:pPr>
              <w:spacing w:before="0" w:after="0" w:line="320" w:lineRule="exact"/>
              <w:jc w:val="center"/>
              <w:rPr>
                <w:rFonts w:hint="cs"/>
                <w:szCs w:val="28"/>
              </w:rPr>
            </w:pPr>
          </w:p>
        </w:tc>
        <w:tc>
          <w:tcPr>
            <w:tcW w:w="4785" w:type="dxa"/>
            <w:gridSpan w:val="3"/>
            <w:tcBorders>
              <w:bottom w:val="single" w:sz="4" w:space="0" w:color="auto"/>
            </w:tcBorders>
          </w:tcPr>
          <w:p w:rsidR="00443EC1" w:rsidRDefault="00443EC1">
            <w:pPr>
              <w:spacing w:before="0" w:after="0" w:line="320" w:lineRule="exact"/>
              <w:jc w:val="center"/>
              <w:rPr>
                <w:rFonts w:hint="cs"/>
                <w:szCs w:val="28"/>
              </w:rPr>
            </w:pPr>
            <w:r>
              <w:rPr>
                <w:rFonts w:hint="cs"/>
                <w:szCs w:val="28"/>
                <w:rtl/>
              </w:rPr>
              <w:t>معدل وفيات الأمهات (1/000 100)</w:t>
            </w:r>
          </w:p>
        </w:tc>
        <w:tc>
          <w:tcPr>
            <w:tcW w:w="3190" w:type="dxa"/>
            <w:gridSpan w:val="2"/>
            <w:tcBorders>
              <w:bottom w:val="single" w:sz="4" w:space="0" w:color="auto"/>
            </w:tcBorders>
          </w:tcPr>
          <w:p w:rsidR="00443EC1" w:rsidRDefault="00443EC1">
            <w:pPr>
              <w:spacing w:before="0" w:after="0" w:line="320" w:lineRule="exact"/>
              <w:jc w:val="center"/>
              <w:rPr>
                <w:rFonts w:hint="cs"/>
                <w:szCs w:val="28"/>
              </w:rPr>
            </w:pPr>
            <w:r>
              <w:rPr>
                <w:rFonts w:hint="cs"/>
                <w:szCs w:val="28"/>
                <w:rtl/>
              </w:rPr>
              <w:t>النسبة (نسبة مئوية)</w:t>
            </w:r>
          </w:p>
        </w:tc>
      </w:tr>
      <w:tr w:rsidR="00443EC1" w:rsidTr="00443EC1">
        <w:tblPrEx>
          <w:tblCellMar>
            <w:top w:w="0" w:type="dxa"/>
            <w:bottom w:w="0" w:type="dxa"/>
          </w:tblCellMar>
        </w:tblPrEx>
        <w:trPr>
          <w:jc w:val="center"/>
        </w:trPr>
        <w:tc>
          <w:tcPr>
            <w:tcW w:w="1595" w:type="dxa"/>
            <w:tcBorders>
              <w:top w:val="nil"/>
              <w:bottom w:val="single" w:sz="4" w:space="0" w:color="auto"/>
            </w:tcBorders>
          </w:tcPr>
          <w:p w:rsidR="00443EC1" w:rsidRDefault="00443EC1">
            <w:pPr>
              <w:spacing w:before="0" w:after="0" w:line="320" w:lineRule="exact"/>
              <w:jc w:val="center"/>
              <w:rPr>
                <w:rFonts w:hint="cs"/>
                <w:szCs w:val="28"/>
              </w:rPr>
            </w:pPr>
            <w:r>
              <w:rPr>
                <w:rFonts w:hint="cs"/>
                <w:szCs w:val="28"/>
                <w:rtl/>
              </w:rPr>
              <w:t>السنة</w:t>
            </w:r>
          </w:p>
        </w:tc>
        <w:tc>
          <w:tcPr>
            <w:tcW w:w="1932" w:type="dxa"/>
            <w:tcBorders>
              <w:bottom w:val="single" w:sz="4" w:space="0" w:color="auto"/>
            </w:tcBorders>
          </w:tcPr>
          <w:p w:rsidR="00443EC1" w:rsidRDefault="00443EC1">
            <w:pPr>
              <w:spacing w:before="0" w:after="0" w:line="320" w:lineRule="exact"/>
              <w:jc w:val="center"/>
              <w:rPr>
                <w:rFonts w:hint="cs"/>
                <w:szCs w:val="28"/>
              </w:rPr>
            </w:pPr>
            <w:r>
              <w:rPr>
                <w:rFonts w:hint="cs"/>
                <w:szCs w:val="28"/>
                <w:rtl/>
              </w:rPr>
              <w:t>على الصعيد الوطني</w:t>
            </w:r>
          </w:p>
        </w:tc>
        <w:tc>
          <w:tcPr>
            <w:tcW w:w="1258" w:type="dxa"/>
            <w:tcBorders>
              <w:bottom w:val="single" w:sz="4" w:space="0" w:color="auto"/>
            </w:tcBorders>
          </w:tcPr>
          <w:p w:rsidR="00443EC1" w:rsidRDefault="00443EC1">
            <w:pPr>
              <w:spacing w:before="0" w:after="0" w:line="320" w:lineRule="exact"/>
              <w:jc w:val="center"/>
              <w:rPr>
                <w:rFonts w:hint="cs"/>
                <w:szCs w:val="28"/>
              </w:rPr>
            </w:pPr>
            <w:r>
              <w:rPr>
                <w:rFonts w:hint="cs"/>
                <w:szCs w:val="28"/>
                <w:rtl/>
              </w:rPr>
              <w:t>في المدن</w:t>
            </w:r>
          </w:p>
        </w:tc>
        <w:tc>
          <w:tcPr>
            <w:tcW w:w="1595" w:type="dxa"/>
            <w:tcBorders>
              <w:bottom w:val="single" w:sz="4" w:space="0" w:color="auto"/>
            </w:tcBorders>
          </w:tcPr>
          <w:p w:rsidR="00443EC1" w:rsidRDefault="00443EC1">
            <w:pPr>
              <w:spacing w:before="0" w:after="0" w:line="320" w:lineRule="exact"/>
              <w:jc w:val="center"/>
              <w:rPr>
                <w:rFonts w:hint="cs"/>
                <w:szCs w:val="28"/>
              </w:rPr>
            </w:pPr>
            <w:r>
              <w:rPr>
                <w:rFonts w:hint="cs"/>
                <w:szCs w:val="28"/>
                <w:rtl/>
              </w:rPr>
              <w:t>في المناطق الريفية</w:t>
            </w:r>
          </w:p>
        </w:tc>
        <w:tc>
          <w:tcPr>
            <w:tcW w:w="1595" w:type="dxa"/>
            <w:tcBorders>
              <w:bottom w:val="single" w:sz="4" w:space="0" w:color="auto"/>
            </w:tcBorders>
          </w:tcPr>
          <w:p w:rsidR="00443EC1" w:rsidRDefault="00443EC1">
            <w:pPr>
              <w:spacing w:before="0" w:after="0" w:line="320" w:lineRule="exact"/>
              <w:jc w:val="center"/>
              <w:rPr>
                <w:rFonts w:hint="cs"/>
                <w:szCs w:val="28"/>
              </w:rPr>
            </w:pPr>
            <w:r>
              <w:rPr>
                <w:rFonts w:hint="cs"/>
                <w:szCs w:val="28"/>
                <w:rtl/>
              </w:rPr>
              <w:t>قبل الولادة</w:t>
            </w:r>
          </w:p>
        </w:tc>
        <w:tc>
          <w:tcPr>
            <w:tcW w:w="1595" w:type="dxa"/>
            <w:tcBorders>
              <w:bottom w:val="single" w:sz="4" w:space="0" w:color="auto"/>
            </w:tcBorders>
          </w:tcPr>
          <w:p w:rsidR="00443EC1" w:rsidRDefault="00443EC1">
            <w:pPr>
              <w:spacing w:before="0" w:after="0" w:line="320" w:lineRule="exact"/>
              <w:jc w:val="center"/>
              <w:rPr>
                <w:rFonts w:hint="cs"/>
                <w:szCs w:val="28"/>
              </w:rPr>
            </w:pPr>
            <w:r>
              <w:rPr>
                <w:rFonts w:hint="cs"/>
                <w:szCs w:val="28"/>
                <w:rtl/>
              </w:rPr>
              <w:t>بعد الولادة</w:t>
            </w:r>
          </w:p>
        </w:tc>
      </w:tr>
      <w:tr w:rsidR="00443EC1" w:rsidTr="00443EC1">
        <w:tblPrEx>
          <w:tblCellMar>
            <w:top w:w="0" w:type="dxa"/>
            <w:bottom w:w="0" w:type="dxa"/>
          </w:tblCellMar>
        </w:tblPrEx>
        <w:trPr>
          <w:jc w:val="center"/>
        </w:trPr>
        <w:tc>
          <w:tcPr>
            <w:tcW w:w="1595" w:type="dxa"/>
            <w:tcBorders>
              <w:top w:val="single" w:sz="4" w:space="0" w:color="auto"/>
              <w:bottom w:val="nil"/>
            </w:tcBorders>
          </w:tcPr>
          <w:p w:rsidR="00443EC1" w:rsidRDefault="00443EC1">
            <w:pPr>
              <w:spacing w:before="0" w:after="0" w:line="320" w:lineRule="exact"/>
              <w:jc w:val="center"/>
              <w:rPr>
                <w:rFonts w:hint="cs"/>
                <w:szCs w:val="28"/>
              </w:rPr>
            </w:pPr>
            <w:r>
              <w:rPr>
                <w:rFonts w:hint="cs"/>
                <w:szCs w:val="28"/>
                <w:rtl/>
              </w:rPr>
              <w:t>1996</w:t>
            </w:r>
          </w:p>
        </w:tc>
        <w:tc>
          <w:tcPr>
            <w:tcW w:w="1932" w:type="dxa"/>
            <w:tcBorders>
              <w:top w:val="single" w:sz="4" w:space="0" w:color="auto"/>
              <w:bottom w:val="nil"/>
            </w:tcBorders>
          </w:tcPr>
          <w:p w:rsidR="00443EC1" w:rsidRDefault="00443EC1">
            <w:pPr>
              <w:spacing w:before="0" w:after="0" w:line="320" w:lineRule="exact"/>
              <w:jc w:val="center"/>
              <w:rPr>
                <w:rFonts w:hint="cs"/>
                <w:szCs w:val="28"/>
              </w:rPr>
            </w:pPr>
            <w:r>
              <w:rPr>
                <w:rFonts w:hint="cs"/>
                <w:szCs w:val="28"/>
                <w:rtl/>
              </w:rPr>
              <w:t>63.9</w:t>
            </w:r>
          </w:p>
        </w:tc>
        <w:tc>
          <w:tcPr>
            <w:tcW w:w="1258" w:type="dxa"/>
            <w:tcBorders>
              <w:top w:val="single" w:sz="4" w:space="0" w:color="auto"/>
              <w:bottom w:val="nil"/>
            </w:tcBorders>
          </w:tcPr>
          <w:p w:rsidR="00443EC1" w:rsidRDefault="00443EC1">
            <w:pPr>
              <w:spacing w:before="0" w:after="0" w:line="320" w:lineRule="exact"/>
              <w:jc w:val="center"/>
              <w:rPr>
                <w:rFonts w:hint="cs"/>
                <w:szCs w:val="28"/>
              </w:rPr>
            </w:pPr>
            <w:r>
              <w:rPr>
                <w:rFonts w:hint="cs"/>
                <w:szCs w:val="28"/>
                <w:rtl/>
              </w:rPr>
              <w:t>29.2</w:t>
            </w:r>
          </w:p>
        </w:tc>
        <w:tc>
          <w:tcPr>
            <w:tcW w:w="1595" w:type="dxa"/>
            <w:tcBorders>
              <w:top w:val="single" w:sz="4" w:space="0" w:color="auto"/>
              <w:bottom w:val="nil"/>
            </w:tcBorders>
          </w:tcPr>
          <w:p w:rsidR="00443EC1" w:rsidRDefault="00443EC1">
            <w:pPr>
              <w:spacing w:before="0" w:after="0" w:line="320" w:lineRule="exact"/>
              <w:jc w:val="center"/>
              <w:rPr>
                <w:rFonts w:hint="cs"/>
                <w:szCs w:val="28"/>
              </w:rPr>
            </w:pPr>
            <w:r>
              <w:rPr>
                <w:rFonts w:hint="cs"/>
                <w:szCs w:val="28"/>
                <w:rtl/>
              </w:rPr>
              <w:t>86.4</w:t>
            </w:r>
          </w:p>
        </w:tc>
        <w:tc>
          <w:tcPr>
            <w:tcW w:w="1595" w:type="dxa"/>
            <w:tcBorders>
              <w:top w:val="single" w:sz="4" w:space="0" w:color="auto"/>
              <w:bottom w:val="nil"/>
            </w:tcBorders>
          </w:tcPr>
          <w:p w:rsidR="00443EC1" w:rsidRDefault="00443EC1">
            <w:pPr>
              <w:spacing w:before="0" w:after="0" w:line="320" w:lineRule="exact"/>
              <w:jc w:val="center"/>
              <w:rPr>
                <w:rFonts w:hint="cs"/>
                <w:szCs w:val="28"/>
              </w:rPr>
            </w:pPr>
            <w:r>
              <w:rPr>
                <w:rFonts w:hint="cs"/>
                <w:szCs w:val="28"/>
                <w:rtl/>
              </w:rPr>
              <w:t>20.0</w:t>
            </w:r>
          </w:p>
        </w:tc>
        <w:tc>
          <w:tcPr>
            <w:tcW w:w="1595" w:type="dxa"/>
            <w:tcBorders>
              <w:top w:val="single" w:sz="4" w:space="0" w:color="auto"/>
              <w:bottom w:val="nil"/>
            </w:tcBorders>
          </w:tcPr>
          <w:p w:rsidR="00443EC1" w:rsidRDefault="00443EC1">
            <w:pPr>
              <w:spacing w:before="0" w:after="0" w:line="320" w:lineRule="exact"/>
              <w:jc w:val="center"/>
              <w:rPr>
                <w:rFonts w:hint="cs"/>
                <w:szCs w:val="28"/>
              </w:rPr>
            </w:pPr>
            <w:r>
              <w:rPr>
                <w:rFonts w:hint="cs"/>
                <w:szCs w:val="28"/>
                <w:rtl/>
              </w:rPr>
              <w:t>80.0</w:t>
            </w:r>
          </w:p>
        </w:tc>
      </w:tr>
      <w:tr w:rsidR="00443EC1" w:rsidTr="00443EC1">
        <w:tblPrEx>
          <w:tblCellMar>
            <w:top w:w="0" w:type="dxa"/>
            <w:bottom w:w="0" w:type="dxa"/>
          </w:tblCellMar>
        </w:tblPrEx>
        <w:trPr>
          <w:jc w:val="center"/>
        </w:trPr>
        <w:tc>
          <w:tcPr>
            <w:tcW w:w="1595" w:type="dxa"/>
            <w:tcBorders>
              <w:top w:val="nil"/>
              <w:bottom w:val="nil"/>
            </w:tcBorders>
          </w:tcPr>
          <w:p w:rsidR="00443EC1" w:rsidRDefault="00443EC1">
            <w:pPr>
              <w:spacing w:before="0" w:after="0" w:line="320" w:lineRule="exact"/>
              <w:jc w:val="center"/>
              <w:rPr>
                <w:rFonts w:hint="cs"/>
                <w:szCs w:val="28"/>
              </w:rPr>
            </w:pPr>
            <w:r>
              <w:rPr>
                <w:rFonts w:hint="cs"/>
                <w:szCs w:val="28"/>
                <w:rtl/>
              </w:rPr>
              <w:t>1997</w:t>
            </w:r>
          </w:p>
        </w:tc>
        <w:tc>
          <w:tcPr>
            <w:tcW w:w="1932" w:type="dxa"/>
            <w:tcBorders>
              <w:top w:val="nil"/>
              <w:bottom w:val="nil"/>
            </w:tcBorders>
          </w:tcPr>
          <w:p w:rsidR="00443EC1" w:rsidRDefault="00443EC1">
            <w:pPr>
              <w:spacing w:before="0" w:after="0" w:line="320" w:lineRule="exact"/>
              <w:jc w:val="center"/>
              <w:rPr>
                <w:rFonts w:hint="cs"/>
                <w:szCs w:val="28"/>
              </w:rPr>
            </w:pPr>
            <w:r>
              <w:rPr>
                <w:rFonts w:hint="cs"/>
                <w:szCs w:val="28"/>
                <w:rtl/>
              </w:rPr>
              <w:t>63.6</w:t>
            </w:r>
          </w:p>
        </w:tc>
        <w:tc>
          <w:tcPr>
            <w:tcW w:w="1258" w:type="dxa"/>
            <w:tcBorders>
              <w:top w:val="nil"/>
              <w:bottom w:val="nil"/>
            </w:tcBorders>
          </w:tcPr>
          <w:p w:rsidR="00443EC1" w:rsidRDefault="00443EC1">
            <w:pPr>
              <w:spacing w:before="0" w:after="0" w:line="320" w:lineRule="exact"/>
              <w:jc w:val="center"/>
              <w:rPr>
                <w:rFonts w:hint="cs"/>
                <w:szCs w:val="28"/>
              </w:rPr>
            </w:pPr>
            <w:r>
              <w:rPr>
                <w:rFonts w:hint="cs"/>
                <w:szCs w:val="28"/>
                <w:rtl/>
              </w:rPr>
              <w:t>38.3</w:t>
            </w:r>
          </w:p>
        </w:tc>
        <w:tc>
          <w:tcPr>
            <w:tcW w:w="1595" w:type="dxa"/>
            <w:tcBorders>
              <w:top w:val="nil"/>
              <w:bottom w:val="nil"/>
            </w:tcBorders>
          </w:tcPr>
          <w:p w:rsidR="00443EC1" w:rsidRDefault="00443EC1">
            <w:pPr>
              <w:spacing w:before="0" w:after="0" w:line="320" w:lineRule="exact"/>
              <w:jc w:val="center"/>
              <w:rPr>
                <w:rFonts w:hint="cs"/>
                <w:szCs w:val="28"/>
              </w:rPr>
            </w:pPr>
            <w:r>
              <w:rPr>
                <w:rFonts w:hint="cs"/>
                <w:szCs w:val="28"/>
                <w:rtl/>
              </w:rPr>
              <w:t>80.4</w:t>
            </w:r>
          </w:p>
        </w:tc>
        <w:tc>
          <w:tcPr>
            <w:tcW w:w="1595" w:type="dxa"/>
            <w:tcBorders>
              <w:top w:val="nil"/>
              <w:bottom w:val="nil"/>
            </w:tcBorders>
          </w:tcPr>
          <w:p w:rsidR="00443EC1" w:rsidRDefault="00443EC1">
            <w:pPr>
              <w:spacing w:before="0" w:after="0" w:line="320" w:lineRule="exact"/>
              <w:jc w:val="center"/>
              <w:rPr>
                <w:rFonts w:hint="cs"/>
                <w:szCs w:val="28"/>
              </w:rPr>
            </w:pPr>
            <w:r>
              <w:rPr>
                <w:rFonts w:hint="cs"/>
                <w:szCs w:val="28"/>
                <w:rtl/>
              </w:rPr>
              <w:t>22.6</w:t>
            </w:r>
          </w:p>
        </w:tc>
        <w:tc>
          <w:tcPr>
            <w:tcW w:w="1595" w:type="dxa"/>
            <w:tcBorders>
              <w:top w:val="nil"/>
              <w:bottom w:val="nil"/>
            </w:tcBorders>
          </w:tcPr>
          <w:p w:rsidR="00443EC1" w:rsidRDefault="00443EC1">
            <w:pPr>
              <w:spacing w:before="0" w:after="0" w:line="320" w:lineRule="exact"/>
              <w:jc w:val="center"/>
              <w:rPr>
                <w:rFonts w:hint="cs"/>
                <w:szCs w:val="28"/>
              </w:rPr>
            </w:pPr>
            <w:r>
              <w:rPr>
                <w:rFonts w:hint="cs"/>
                <w:szCs w:val="28"/>
                <w:rtl/>
              </w:rPr>
              <w:t>77.4</w:t>
            </w:r>
          </w:p>
        </w:tc>
      </w:tr>
      <w:tr w:rsidR="00443EC1" w:rsidTr="00443EC1">
        <w:tblPrEx>
          <w:tblCellMar>
            <w:top w:w="0" w:type="dxa"/>
            <w:bottom w:w="0" w:type="dxa"/>
          </w:tblCellMar>
        </w:tblPrEx>
        <w:trPr>
          <w:jc w:val="center"/>
        </w:trPr>
        <w:tc>
          <w:tcPr>
            <w:tcW w:w="1595" w:type="dxa"/>
            <w:tcBorders>
              <w:top w:val="nil"/>
              <w:bottom w:val="nil"/>
            </w:tcBorders>
          </w:tcPr>
          <w:p w:rsidR="00443EC1" w:rsidRDefault="00443EC1">
            <w:pPr>
              <w:spacing w:before="0" w:after="0" w:line="320" w:lineRule="exact"/>
              <w:jc w:val="center"/>
              <w:rPr>
                <w:rFonts w:hint="cs"/>
                <w:szCs w:val="28"/>
              </w:rPr>
            </w:pPr>
            <w:r>
              <w:rPr>
                <w:rFonts w:hint="cs"/>
                <w:szCs w:val="28"/>
                <w:rtl/>
              </w:rPr>
              <w:t>1998</w:t>
            </w:r>
          </w:p>
        </w:tc>
        <w:tc>
          <w:tcPr>
            <w:tcW w:w="1932" w:type="dxa"/>
            <w:tcBorders>
              <w:top w:val="nil"/>
              <w:bottom w:val="nil"/>
            </w:tcBorders>
          </w:tcPr>
          <w:p w:rsidR="00443EC1" w:rsidRDefault="00443EC1">
            <w:pPr>
              <w:spacing w:before="0" w:after="0" w:line="320" w:lineRule="exact"/>
              <w:jc w:val="center"/>
              <w:rPr>
                <w:rFonts w:hint="cs"/>
                <w:szCs w:val="28"/>
              </w:rPr>
            </w:pPr>
            <w:r>
              <w:rPr>
                <w:rFonts w:hint="cs"/>
                <w:szCs w:val="28"/>
                <w:rtl/>
              </w:rPr>
              <w:t>56.2</w:t>
            </w:r>
          </w:p>
        </w:tc>
        <w:tc>
          <w:tcPr>
            <w:tcW w:w="1258" w:type="dxa"/>
            <w:tcBorders>
              <w:top w:val="nil"/>
              <w:bottom w:val="nil"/>
            </w:tcBorders>
          </w:tcPr>
          <w:p w:rsidR="00443EC1" w:rsidRDefault="00443EC1">
            <w:pPr>
              <w:spacing w:before="0" w:after="0" w:line="320" w:lineRule="exact"/>
              <w:jc w:val="center"/>
              <w:rPr>
                <w:rFonts w:hint="cs"/>
                <w:szCs w:val="28"/>
              </w:rPr>
            </w:pPr>
            <w:r>
              <w:rPr>
                <w:rFonts w:hint="cs"/>
                <w:szCs w:val="28"/>
                <w:rtl/>
              </w:rPr>
              <w:t>28.1</w:t>
            </w:r>
          </w:p>
        </w:tc>
        <w:tc>
          <w:tcPr>
            <w:tcW w:w="1595" w:type="dxa"/>
            <w:tcBorders>
              <w:top w:val="nil"/>
              <w:bottom w:val="nil"/>
            </w:tcBorders>
          </w:tcPr>
          <w:p w:rsidR="00443EC1" w:rsidRDefault="00443EC1">
            <w:pPr>
              <w:spacing w:before="0" w:after="0" w:line="320" w:lineRule="exact"/>
              <w:jc w:val="center"/>
              <w:rPr>
                <w:rFonts w:hint="cs"/>
                <w:szCs w:val="28"/>
              </w:rPr>
            </w:pPr>
            <w:r>
              <w:rPr>
                <w:rFonts w:hint="cs"/>
                <w:szCs w:val="28"/>
                <w:rtl/>
              </w:rPr>
              <w:t>75.5</w:t>
            </w:r>
          </w:p>
        </w:tc>
        <w:tc>
          <w:tcPr>
            <w:tcW w:w="1595" w:type="dxa"/>
            <w:tcBorders>
              <w:top w:val="nil"/>
              <w:bottom w:val="nil"/>
            </w:tcBorders>
          </w:tcPr>
          <w:p w:rsidR="00443EC1" w:rsidRDefault="00443EC1">
            <w:pPr>
              <w:spacing w:before="0" w:after="0" w:line="320" w:lineRule="exact"/>
              <w:jc w:val="center"/>
              <w:rPr>
                <w:rFonts w:hint="cs"/>
                <w:szCs w:val="28"/>
              </w:rPr>
            </w:pPr>
            <w:r>
              <w:rPr>
                <w:rFonts w:hint="cs"/>
                <w:szCs w:val="28"/>
                <w:rtl/>
              </w:rPr>
              <w:t>24.9</w:t>
            </w:r>
          </w:p>
        </w:tc>
        <w:tc>
          <w:tcPr>
            <w:tcW w:w="1595" w:type="dxa"/>
            <w:tcBorders>
              <w:top w:val="nil"/>
              <w:bottom w:val="nil"/>
            </w:tcBorders>
          </w:tcPr>
          <w:p w:rsidR="00443EC1" w:rsidRDefault="00443EC1">
            <w:pPr>
              <w:spacing w:before="0" w:after="0" w:line="320" w:lineRule="exact"/>
              <w:jc w:val="center"/>
              <w:rPr>
                <w:rFonts w:hint="cs"/>
                <w:szCs w:val="28"/>
              </w:rPr>
            </w:pPr>
            <w:r>
              <w:rPr>
                <w:rFonts w:hint="cs"/>
                <w:szCs w:val="28"/>
                <w:rtl/>
              </w:rPr>
              <w:t>75.1</w:t>
            </w:r>
          </w:p>
        </w:tc>
      </w:tr>
      <w:tr w:rsidR="00443EC1" w:rsidTr="00443EC1">
        <w:tblPrEx>
          <w:tblCellMar>
            <w:top w:w="0" w:type="dxa"/>
            <w:bottom w:w="0" w:type="dxa"/>
          </w:tblCellMar>
        </w:tblPrEx>
        <w:trPr>
          <w:jc w:val="center"/>
        </w:trPr>
        <w:tc>
          <w:tcPr>
            <w:tcW w:w="1595" w:type="dxa"/>
            <w:tcBorders>
              <w:top w:val="nil"/>
              <w:bottom w:val="nil"/>
            </w:tcBorders>
          </w:tcPr>
          <w:p w:rsidR="00443EC1" w:rsidRDefault="00443EC1">
            <w:pPr>
              <w:spacing w:before="0" w:after="0" w:line="320" w:lineRule="exact"/>
              <w:jc w:val="center"/>
              <w:rPr>
                <w:rFonts w:hint="cs"/>
                <w:szCs w:val="28"/>
              </w:rPr>
            </w:pPr>
            <w:r>
              <w:rPr>
                <w:rFonts w:hint="cs"/>
                <w:szCs w:val="28"/>
                <w:rtl/>
              </w:rPr>
              <w:t>1999</w:t>
            </w:r>
          </w:p>
        </w:tc>
        <w:tc>
          <w:tcPr>
            <w:tcW w:w="1932" w:type="dxa"/>
            <w:tcBorders>
              <w:top w:val="nil"/>
              <w:bottom w:val="nil"/>
            </w:tcBorders>
          </w:tcPr>
          <w:p w:rsidR="00443EC1" w:rsidRDefault="00443EC1">
            <w:pPr>
              <w:spacing w:before="0" w:after="0" w:line="320" w:lineRule="exact"/>
              <w:jc w:val="center"/>
              <w:rPr>
                <w:rFonts w:hint="cs"/>
                <w:szCs w:val="28"/>
              </w:rPr>
            </w:pPr>
            <w:r>
              <w:rPr>
                <w:rFonts w:hint="cs"/>
                <w:szCs w:val="28"/>
                <w:rtl/>
              </w:rPr>
              <w:t>58.7</w:t>
            </w:r>
          </w:p>
        </w:tc>
        <w:tc>
          <w:tcPr>
            <w:tcW w:w="1258" w:type="dxa"/>
            <w:tcBorders>
              <w:top w:val="nil"/>
              <w:bottom w:val="nil"/>
            </w:tcBorders>
          </w:tcPr>
          <w:p w:rsidR="00443EC1" w:rsidRDefault="00443EC1">
            <w:pPr>
              <w:spacing w:before="0" w:after="0" w:line="320" w:lineRule="exact"/>
              <w:jc w:val="center"/>
              <w:rPr>
                <w:rFonts w:hint="cs"/>
                <w:szCs w:val="28"/>
              </w:rPr>
            </w:pPr>
            <w:r>
              <w:rPr>
                <w:rFonts w:hint="cs"/>
                <w:szCs w:val="28"/>
                <w:rtl/>
              </w:rPr>
              <w:t>26.2</w:t>
            </w:r>
          </w:p>
        </w:tc>
        <w:tc>
          <w:tcPr>
            <w:tcW w:w="1595" w:type="dxa"/>
            <w:tcBorders>
              <w:top w:val="nil"/>
              <w:bottom w:val="nil"/>
            </w:tcBorders>
          </w:tcPr>
          <w:p w:rsidR="00443EC1" w:rsidRDefault="00443EC1">
            <w:pPr>
              <w:spacing w:before="0" w:after="0" w:line="320" w:lineRule="exact"/>
              <w:jc w:val="center"/>
              <w:rPr>
                <w:rFonts w:hint="cs"/>
                <w:szCs w:val="28"/>
              </w:rPr>
            </w:pPr>
            <w:r>
              <w:rPr>
                <w:rFonts w:hint="cs"/>
                <w:szCs w:val="28"/>
                <w:rtl/>
              </w:rPr>
              <w:t>79.7</w:t>
            </w:r>
          </w:p>
        </w:tc>
        <w:tc>
          <w:tcPr>
            <w:tcW w:w="1595" w:type="dxa"/>
            <w:tcBorders>
              <w:top w:val="nil"/>
              <w:bottom w:val="nil"/>
            </w:tcBorders>
          </w:tcPr>
          <w:p w:rsidR="00443EC1" w:rsidRDefault="00443EC1">
            <w:pPr>
              <w:spacing w:before="0" w:after="0" w:line="320" w:lineRule="exact"/>
              <w:jc w:val="center"/>
              <w:rPr>
                <w:rFonts w:hint="cs"/>
                <w:szCs w:val="28"/>
              </w:rPr>
            </w:pPr>
            <w:r>
              <w:rPr>
                <w:rFonts w:hint="cs"/>
                <w:szCs w:val="28"/>
                <w:rtl/>
              </w:rPr>
              <w:t>22.7</w:t>
            </w:r>
          </w:p>
        </w:tc>
        <w:tc>
          <w:tcPr>
            <w:tcW w:w="1595" w:type="dxa"/>
            <w:tcBorders>
              <w:top w:val="nil"/>
              <w:bottom w:val="nil"/>
            </w:tcBorders>
          </w:tcPr>
          <w:p w:rsidR="00443EC1" w:rsidRDefault="00443EC1">
            <w:pPr>
              <w:spacing w:before="0" w:after="0" w:line="320" w:lineRule="exact"/>
              <w:jc w:val="center"/>
              <w:rPr>
                <w:rFonts w:hint="cs"/>
                <w:szCs w:val="28"/>
              </w:rPr>
            </w:pPr>
            <w:r>
              <w:rPr>
                <w:rFonts w:hint="cs"/>
                <w:szCs w:val="28"/>
                <w:rtl/>
              </w:rPr>
              <w:t>77.3</w:t>
            </w:r>
          </w:p>
        </w:tc>
      </w:tr>
      <w:tr w:rsidR="00443EC1" w:rsidTr="00443EC1">
        <w:tblPrEx>
          <w:tblCellMar>
            <w:top w:w="0" w:type="dxa"/>
            <w:bottom w:w="0" w:type="dxa"/>
          </w:tblCellMar>
        </w:tblPrEx>
        <w:trPr>
          <w:jc w:val="center"/>
        </w:trPr>
        <w:tc>
          <w:tcPr>
            <w:tcW w:w="1595" w:type="dxa"/>
            <w:tcBorders>
              <w:top w:val="nil"/>
              <w:bottom w:val="nil"/>
            </w:tcBorders>
          </w:tcPr>
          <w:p w:rsidR="00443EC1" w:rsidRDefault="00443EC1">
            <w:pPr>
              <w:spacing w:before="0" w:after="0" w:line="320" w:lineRule="exact"/>
              <w:jc w:val="center"/>
              <w:rPr>
                <w:rFonts w:hint="cs"/>
                <w:szCs w:val="28"/>
              </w:rPr>
            </w:pPr>
            <w:r>
              <w:rPr>
                <w:rFonts w:hint="cs"/>
                <w:szCs w:val="28"/>
                <w:rtl/>
              </w:rPr>
              <w:t>2000</w:t>
            </w:r>
          </w:p>
        </w:tc>
        <w:tc>
          <w:tcPr>
            <w:tcW w:w="1932" w:type="dxa"/>
            <w:tcBorders>
              <w:top w:val="nil"/>
              <w:bottom w:val="nil"/>
            </w:tcBorders>
          </w:tcPr>
          <w:p w:rsidR="00443EC1" w:rsidRDefault="00443EC1">
            <w:pPr>
              <w:spacing w:before="0" w:after="0" w:line="320" w:lineRule="exact"/>
              <w:jc w:val="center"/>
              <w:rPr>
                <w:rFonts w:hint="cs"/>
                <w:szCs w:val="28"/>
              </w:rPr>
            </w:pPr>
            <w:r>
              <w:rPr>
                <w:rFonts w:hint="cs"/>
                <w:szCs w:val="28"/>
                <w:rtl/>
              </w:rPr>
              <w:t>53.0</w:t>
            </w:r>
          </w:p>
        </w:tc>
        <w:tc>
          <w:tcPr>
            <w:tcW w:w="1258" w:type="dxa"/>
            <w:tcBorders>
              <w:top w:val="nil"/>
              <w:bottom w:val="nil"/>
            </w:tcBorders>
          </w:tcPr>
          <w:p w:rsidR="00443EC1" w:rsidRDefault="00443EC1">
            <w:pPr>
              <w:spacing w:before="0" w:after="0" w:line="320" w:lineRule="exact"/>
              <w:jc w:val="center"/>
              <w:rPr>
                <w:rFonts w:hint="cs"/>
                <w:szCs w:val="28"/>
              </w:rPr>
            </w:pPr>
            <w:r>
              <w:rPr>
                <w:rFonts w:hint="cs"/>
                <w:szCs w:val="28"/>
                <w:rtl/>
              </w:rPr>
              <w:t>28.9</w:t>
            </w:r>
          </w:p>
        </w:tc>
        <w:tc>
          <w:tcPr>
            <w:tcW w:w="1595" w:type="dxa"/>
            <w:tcBorders>
              <w:top w:val="nil"/>
              <w:bottom w:val="nil"/>
            </w:tcBorders>
          </w:tcPr>
          <w:p w:rsidR="00443EC1" w:rsidRDefault="00443EC1">
            <w:pPr>
              <w:spacing w:before="0" w:after="0" w:line="320" w:lineRule="exact"/>
              <w:jc w:val="center"/>
              <w:rPr>
                <w:rFonts w:hint="cs"/>
                <w:szCs w:val="28"/>
              </w:rPr>
            </w:pPr>
            <w:r>
              <w:rPr>
                <w:rFonts w:hint="cs"/>
                <w:szCs w:val="28"/>
                <w:rtl/>
              </w:rPr>
              <w:t>67.2</w:t>
            </w:r>
          </w:p>
        </w:tc>
        <w:tc>
          <w:tcPr>
            <w:tcW w:w="1595" w:type="dxa"/>
            <w:tcBorders>
              <w:top w:val="nil"/>
              <w:bottom w:val="nil"/>
            </w:tcBorders>
          </w:tcPr>
          <w:p w:rsidR="00443EC1" w:rsidRDefault="00443EC1">
            <w:pPr>
              <w:spacing w:before="0" w:after="0" w:line="320" w:lineRule="exact"/>
              <w:jc w:val="center"/>
              <w:rPr>
                <w:rFonts w:hint="cs"/>
                <w:szCs w:val="28"/>
              </w:rPr>
            </w:pPr>
            <w:r>
              <w:rPr>
                <w:rFonts w:hint="cs"/>
                <w:szCs w:val="28"/>
                <w:rtl/>
              </w:rPr>
              <w:t>22.0</w:t>
            </w:r>
          </w:p>
        </w:tc>
        <w:tc>
          <w:tcPr>
            <w:tcW w:w="1595" w:type="dxa"/>
            <w:tcBorders>
              <w:top w:val="nil"/>
              <w:bottom w:val="nil"/>
            </w:tcBorders>
          </w:tcPr>
          <w:p w:rsidR="00443EC1" w:rsidRDefault="00443EC1">
            <w:pPr>
              <w:spacing w:before="0" w:after="0" w:line="320" w:lineRule="exact"/>
              <w:jc w:val="center"/>
              <w:rPr>
                <w:rFonts w:hint="cs"/>
                <w:szCs w:val="28"/>
              </w:rPr>
            </w:pPr>
            <w:r>
              <w:rPr>
                <w:rFonts w:hint="cs"/>
                <w:szCs w:val="28"/>
                <w:rtl/>
              </w:rPr>
              <w:t>78.0</w:t>
            </w:r>
          </w:p>
        </w:tc>
      </w:tr>
      <w:tr w:rsidR="00443EC1" w:rsidTr="00443EC1">
        <w:tblPrEx>
          <w:tblCellMar>
            <w:top w:w="0" w:type="dxa"/>
            <w:bottom w:w="0" w:type="dxa"/>
          </w:tblCellMar>
        </w:tblPrEx>
        <w:trPr>
          <w:jc w:val="center"/>
        </w:trPr>
        <w:tc>
          <w:tcPr>
            <w:tcW w:w="1595" w:type="dxa"/>
            <w:tcBorders>
              <w:top w:val="nil"/>
              <w:bottom w:val="single" w:sz="4" w:space="0" w:color="auto"/>
            </w:tcBorders>
          </w:tcPr>
          <w:p w:rsidR="00443EC1" w:rsidRDefault="00443EC1">
            <w:pPr>
              <w:spacing w:before="0" w:after="0" w:line="320" w:lineRule="exact"/>
              <w:jc w:val="center"/>
              <w:rPr>
                <w:rFonts w:hint="cs"/>
                <w:szCs w:val="28"/>
                <w:rtl/>
              </w:rPr>
            </w:pPr>
            <w:r>
              <w:rPr>
                <w:rFonts w:hint="cs"/>
                <w:szCs w:val="28"/>
                <w:rtl/>
              </w:rPr>
              <w:t>2001</w:t>
            </w:r>
          </w:p>
        </w:tc>
        <w:tc>
          <w:tcPr>
            <w:tcW w:w="1932" w:type="dxa"/>
            <w:tcBorders>
              <w:top w:val="nil"/>
              <w:bottom w:val="single" w:sz="4" w:space="0" w:color="auto"/>
            </w:tcBorders>
          </w:tcPr>
          <w:p w:rsidR="00443EC1" w:rsidRDefault="00443EC1">
            <w:pPr>
              <w:spacing w:before="0" w:after="0" w:line="320" w:lineRule="exact"/>
              <w:jc w:val="center"/>
              <w:rPr>
                <w:rFonts w:hint="cs"/>
                <w:szCs w:val="28"/>
              </w:rPr>
            </w:pPr>
            <w:r>
              <w:rPr>
                <w:rFonts w:hint="cs"/>
                <w:szCs w:val="28"/>
                <w:rtl/>
              </w:rPr>
              <w:t>50.2</w:t>
            </w:r>
          </w:p>
        </w:tc>
        <w:tc>
          <w:tcPr>
            <w:tcW w:w="1258" w:type="dxa"/>
            <w:tcBorders>
              <w:top w:val="nil"/>
              <w:bottom w:val="single" w:sz="4" w:space="0" w:color="auto"/>
            </w:tcBorders>
          </w:tcPr>
          <w:p w:rsidR="00443EC1" w:rsidRDefault="00443EC1">
            <w:pPr>
              <w:spacing w:before="0" w:after="0" w:line="320" w:lineRule="exact"/>
              <w:jc w:val="center"/>
              <w:rPr>
                <w:rFonts w:hint="cs"/>
                <w:szCs w:val="28"/>
              </w:rPr>
            </w:pPr>
            <w:r>
              <w:rPr>
                <w:rFonts w:hint="cs"/>
                <w:szCs w:val="28"/>
                <w:rtl/>
              </w:rPr>
              <w:t>33.1</w:t>
            </w:r>
          </w:p>
        </w:tc>
        <w:tc>
          <w:tcPr>
            <w:tcW w:w="1595" w:type="dxa"/>
            <w:tcBorders>
              <w:top w:val="nil"/>
              <w:bottom w:val="single" w:sz="4" w:space="0" w:color="auto"/>
            </w:tcBorders>
          </w:tcPr>
          <w:p w:rsidR="00443EC1" w:rsidRDefault="00443EC1">
            <w:pPr>
              <w:spacing w:before="0" w:after="0" w:line="320" w:lineRule="exact"/>
              <w:jc w:val="center"/>
              <w:rPr>
                <w:rFonts w:hint="cs"/>
                <w:szCs w:val="28"/>
              </w:rPr>
            </w:pPr>
            <w:r>
              <w:rPr>
                <w:rFonts w:hint="cs"/>
                <w:szCs w:val="28"/>
                <w:rtl/>
              </w:rPr>
              <w:t>61.9</w:t>
            </w:r>
          </w:p>
        </w:tc>
        <w:tc>
          <w:tcPr>
            <w:tcW w:w="1595" w:type="dxa"/>
            <w:tcBorders>
              <w:top w:val="nil"/>
              <w:bottom w:val="single" w:sz="4" w:space="0" w:color="auto"/>
            </w:tcBorders>
          </w:tcPr>
          <w:p w:rsidR="00443EC1" w:rsidRDefault="00443EC1">
            <w:pPr>
              <w:spacing w:before="0" w:after="0" w:line="320" w:lineRule="exact"/>
              <w:jc w:val="center"/>
              <w:rPr>
                <w:rFonts w:hint="cs"/>
                <w:szCs w:val="28"/>
              </w:rPr>
            </w:pPr>
            <w:r>
              <w:rPr>
                <w:rFonts w:hint="cs"/>
                <w:szCs w:val="28"/>
                <w:rtl/>
              </w:rPr>
              <w:t>19.2</w:t>
            </w:r>
          </w:p>
        </w:tc>
        <w:tc>
          <w:tcPr>
            <w:tcW w:w="1595" w:type="dxa"/>
            <w:tcBorders>
              <w:top w:val="nil"/>
              <w:bottom w:val="single" w:sz="4" w:space="0" w:color="auto"/>
            </w:tcBorders>
          </w:tcPr>
          <w:p w:rsidR="00443EC1" w:rsidRDefault="00443EC1">
            <w:pPr>
              <w:spacing w:before="0" w:after="0" w:line="320" w:lineRule="exact"/>
              <w:jc w:val="center"/>
              <w:rPr>
                <w:rFonts w:hint="cs"/>
                <w:szCs w:val="28"/>
              </w:rPr>
            </w:pPr>
            <w:r>
              <w:rPr>
                <w:rFonts w:hint="cs"/>
                <w:szCs w:val="28"/>
                <w:rtl/>
              </w:rPr>
              <w:t>80.8</w:t>
            </w:r>
          </w:p>
        </w:tc>
      </w:tr>
    </w:tbl>
    <w:p w:rsidR="00000000" w:rsidRDefault="00443EC1">
      <w:pPr>
        <w:spacing w:before="120" w:line="380" w:lineRule="exact"/>
        <w:jc w:val="both"/>
        <w:rPr>
          <w:rFonts w:hint="cs"/>
          <w:sz w:val="26"/>
          <w:szCs w:val="28"/>
          <w:rtl/>
        </w:rPr>
      </w:pPr>
      <w:r>
        <w:rPr>
          <w:rFonts w:hint="cs"/>
          <w:sz w:val="26"/>
          <w:szCs w:val="28"/>
          <w:rtl/>
        </w:rPr>
        <w:tab/>
      </w:r>
      <w:r>
        <w:rPr>
          <w:rFonts w:hint="cs"/>
          <w:i/>
          <w:iCs/>
          <w:sz w:val="26"/>
          <w:szCs w:val="28"/>
          <w:rtl/>
        </w:rPr>
        <w:t>المصدر</w:t>
      </w:r>
      <w:r>
        <w:rPr>
          <w:rFonts w:hint="cs"/>
          <w:sz w:val="26"/>
          <w:szCs w:val="28"/>
          <w:rtl/>
        </w:rPr>
        <w:t>: وزارة الصحة.</w:t>
      </w:r>
    </w:p>
    <w:p w:rsidR="00000000" w:rsidRDefault="00443EC1">
      <w:pPr>
        <w:spacing w:line="380" w:lineRule="exact"/>
        <w:jc w:val="center"/>
        <w:rPr>
          <w:rFonts w:hint="cs"/>
          <w:b/>
          <w:bCs/>
          <w:rtl/>
        </w:rPr>
      </w:pPr>
      <w:r>
        <w:rPr>
          <w:rFonts w:hint="cs"/>
          <w:b/>
          <w:bCs/>
          <w:rtl/>
        </w:rPr>
        <w:t>الجدول 22</w:t>
      </w:r>
    </w:p>
    <w:p w:rsidR="00000000" w:rsidRDefault="00443EC1">
      <w:pPr>
        <w:spacing w:line="380" w:lineRule="exact"/>
        <w:jc w:val="center"/>
        <w:rPr>
          <w:rFonts w:hint="cs"/>
          <w:b/>
          <w:bCs/>
          <w:rtl/>
        </w:rPr>
      </w:pPr>
      <w:r>
        <w:rPr>
          <w:rFonts w:hint="cs"/>
          <w:b/>
          <w:bCs/>
          <w:rtl/>
        </w:rPr>
        <w:t>مؤسسات الرعاية الصحية الموفرة للنساء والأطفال على الصعيد الوطني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9"/>
        <w:gridCol w:w="868"/>
        <w:gridCol w:w="938"/>
        <w:gridCol w:w="951"/>
        <w:gridCol w:w="924"/>
        <w:gridCol w:w="952"/>
        <w:gridCol w:w="1022"/>
        <w:gridCol w:w="966"/>
        <w:gridCol w:w="990"/>
      </w:tblGrid>
      <w:tr w:rsidR="00443EC1" w:rsidTr="00443EC1">
        <w:tblPrEx>
          <w:tblCellMar>
            <w:top w:w="0" w:type="dxa"/>
            <w:bottom w:w="0" w:type="dxa"/>
          </w:tblCellMar>
        </w:tblPrEx>
        <w:trPr>
          <w:jc w:val="center"/>
        </w:trPr>
        <w:tc>
          <w:tcPr>
            <w:tcW w:w="1959" w:type="dxa"/>
            <w:tcBorders>
              <w:bottom w:val="single" w:sz="4" w:space="0" w:color="auto"/>
            </w:tcBorders>
          </w:tcPr>
          <w:p w:rsidR="00443EC1" w:rsidRDefault="00443EC1">
            <w:pPr>
              <w:spacing w:before="0" w:after="0" w:line="300" w:lineRule="exact"/>
              <w:jc w:val="both"/>
              <w:rPr>
                <w:rFonts w:hint="cs"/>
                <w:sz w:val="26"/>
                <w:szCs w:val="22"/>
              </w:rPr>
            </w:pPr>
          </w:p>
        </w:tc>
        <w:tc>
          <w:tcPr>
            <w:tcW w:w="868" w:type="dxa"/>
            <w:tcBorders>
              <w:bottom w:val="single" w:sz="4" w:space="0" w:color="auto"/>
            </w:tcBorders>
          </w:tcPr>
          <w:p w:rsidR="00443EC1" w:rsidRDefault="00443EC1">
            <w:pPr>
              <w:spacing w:before="0" w:after="0" w:line="300" w:lineRule="exact"/>
              <w:jc w:val="center"/>
              <w:rPr>
                <w:rFonts w:hint="cs"/>
                <w:sz w:val="26"/>
                <w:szCs w:val="22"/>
              </w:rPr>
            </w:pPr>
            <w:r>
              <w:rPr>
                <w:rFonts w:hint="cs"/>
                <w:sz w:val="26"/>
                <w:szCs w:val="22"/>
                <w:rtl/>
              </w:rPr>
              <w:t>1949</w:t>
            </w:r>
          </w:p>
        </w:tc>
        <w:tc>
          <w:tcPr>
            <w:tcW w:w="938" w:type="dxa"/>
            <w:tcBorders>
              <w:bottom w:val="single" w:sz="4" w:space="0" w:color="auto"/>
            </w:tcBorders>
          </w:tcPr>
          <w:p w:rsidR="00443EC1" w:rsidRDefault="00443EC1">
            <w:pPr>
              <w:spacing w:before="0" w:after="0" w:line="300" w:lineRule="exact"/>
              <w:jc w:val="center"/>
              <w:rPr>
                <w:rFonts w:hint="cs"/>
                <w:sz w:val="26"/>
                <w:szCs w:val="22"/>
              </w:rPr>
            </w:pPr>
            <w:r>
              <w:rPr>
                <w:rFonts w:hint="cs"/>
                <w:sz w:val="26"/>
                <w:szCs w:val="22"/>
                <w:rtl/>
              </w:rPr>
              <w:t>1957</w:t>
            </w:r>
          </w:p>
        </w:tc>
        <w:tc>
          <w:tcPr>
            <w:tcW w:w="951" w:type="dxa"/>
            <w:tcBorders>
              <w:bottom w:val="single" w:sz="4" w:space="0" w:color="auto"/>
            </w:tcBorders>
          </w:tcPr>
          <w:p w:rsidR="00443EC1" w:rsidRDefault="00443EC1">
            <w:pPr>
              <w:spacing w:before="0" w:after="0" w:line="300" w:lineRule="exact"/>
              <w:jc w:val="center"/>
              <w:rPr>
                <w:rFonts w:hint="cs"/>
                <w:sz w:val="26"/>
                <w:szCs w:val="22"/>
              </w:rPr>
            </w:pPr>
            <w:r>
              <w:rPr>
                <w:rFonts w:hint="cs"/>
                <w:sz w:val="26"/>
                <w:szCs w:val="22"/>
                <w:rtl/>
              </w:rPr>
              <w:t>1965</w:t>
            </w:r>
          </w:p>
        </w:tc>
        <w:tc>
          <w:tcPr>
            <w:tcW w:w="924" w:type="dxa"/>
            <w:tcBorders>
              <w:bottom w:val="single" w:sz="4" w:space="0" w:color="auto"/>
            </w:tcBorders>
          </w:tcPr>
          <w:p w:rsidR="00443EC1" w:rsidRDefault="00443EC1">
            <w:pPr>
              <w:spacing w:before="0" w:after="0" w:line="300" w:lineRule="exact"/>
              <w:jc w:val="center"/>
              <w:rPr>
                <w:rFonts w:hint="cs"/>
                <w:sz w:val="26"/>
                <w:szCs w:val="22"/>
              </w:rPr>
            </w:pPr>
            <w:r>
              <w:rPr>
                <w:rFonts w:hint="cs"/>
                <w:sz w:val="26"/>
                <w:szCs w:val="22"/>
                <w:rtl/>
              </w:rPr>
              <w:t>1975</w:t>
            </w:r>
          </w:p>
        </w:tc>
        <w:tc>
          <w:tcPr>
            <w:tcW w:w="952" w:type="dxa"/>
            <w:tcBorders>
              <w:bottom w:val="single" w:sz="4" w:space="0" w:color="auto"/>
            </w:tcBorders>
          </w:tcPr>
          <w:p w:rsidR="00443EC1" w:rsidRDefault="00443EC1">
            <w:pPr>
              <w:spacing w:before="0" w:after="0" w:line="300" w:lineRule="exact"/>
              <w:jc w:val="center"/>
              <w:rPr>
                <w:rFonts w:hint="cs"/>
                <w:sz w:val="26"/>
                <w:szCs w:val="22"/>
              </w:rPr>
            </w:pPr>
            <w:r>
              <w:rPr>
                <w:rFonts w:hint="cs"/>
                <w:sz w:val="26"/>
                <w:szCs w:val="22"/>
                <w:rtl/>
              </w:rPr>
              <w:t>1985</w:t>
            </w:r>
          </w:p>
        </w:tc>
        <w:tc>
          <w:tcPr>
            <w:tcW w:w="1022" w:type="dxa"/>
            <w:tcBorders>
              <w:bottom w:val="single" w:sz="4" w:space="0" w:color="auto"/>
            </w:tcBorders>
          </w:tcPr>
          <w:p w:rsidR="00443EC1" w:rsidRDefault="00443EC1">
            <w:pPr>
              <w:spacing w:before="0" w:after="0" w:line="300" w:lineRule="exact"/>
              <w:jc w:val="center"/>
              <w:rPr>
                <w:rFonts w:hint="cs"/>
                <w:sz w:val="26"/>
                <w:szCs w:val="22"/>
              </w:rPr>
            </w:pPr>
            <w:r>
              <w:rPr>
                <w:rFonts w:hint="cs"/>
                <w:sz w:val="26"/>
                <w:szCs w:val="22"/>
                <w:rtl/>
              </w:rPr>
              <w:t>1990</w:t>
            </w:r>
          </w:p>
        </w:tc>
        <w:tc>
          <w:tcPr>
            <w:tcW w:w="966" w:type="dxa"/>
            <w:tcBorders>
              <w:bottom w:val="single" w:sz="4" w:space="0" w:color="auto"/>
            </w:tcBorders>
          </w:tcPr>
          <w:p w:rsidR="00443EC1" w:rsidRDefault="00443EC1">
            <w:pPr>
              <w:spacing w:before="0" w:after="0" w:line="300" w:lineRule="exact"/>
              <w:jc w:val="center"/>
              <w:rPr>
                <w:rFonts w:hint="cs"/>
                <w:sz w:val="26"/>
                <w:szCs w:val="22"/>
              </w:rPr>
            </w:pPr>
            <w:r>
              <w:rPr>
                <w:rFonts w:hint="cs"/>
                <w:sz w:val="26"/>
                <w:szCs w:val="22"/>
                <w:rtl/>
              </w:rPr>
              <w:t>1995</w:t>
            </w:r>
          </w:p>
        </w:tc>
        <w:tc>
          <w:tcPr>
            <w:tcW w:w="990" w:type="dxa"/>
            <w:tcBorders>
              <w:bottom w:val="single" w:sz="4" w:space="0" w:color="auto"/>
            </w:tcBorders>
          </w:tcPr>
          <w:p w:rsidR="00443EC1" w:rsidRDefault="00443EC1">
            <w:pPr>
              <w:spacing w:before="0" w:after="0" w:line="300" w:lineRule="exact"/>
              <w:jc w:val="center"/>
              <w:rPr>
                <w:rFonts w:hint="cs"/>
                <w:sz w:val="26"/>
                <w:szCs w:val="22"/>
              </w:rPr>
            </w:pPr>
            <w:r>
              <w:rPr>
                <w:rFonts w:hint="cs"/>
                <w:sz w:val="26"/>
                <w:szCs w:val="22"/>
                <w:rtl/>
              </w:rPr>
              <w:t>2001</w:t>
            </w:r>
          </w:p>
        </w:tc>
      </w:tr>
      <w:tr w:rsidR="00443EC1" w:rsidTr="00443EC1">
        <w:tblPrEx>
          <w:tblCellMar>
            <w:top w:w="0" w:type="dxa"/>
            <w:bottom w:w="0" w:type="dxa"/>
          </w:tblCellMar>
        </w:tblPrEx>
        <w:trPr>
          <w:jc w:val="center"/>
        </w:trPr>
        <w:tc>
          <w:tcPr>
            <w:tcW w:w="1959" w:type="dxa"/>
            <w:tcBorders>
              <w:bottom w:val="nil"/>
            </w:tcBorders>
          </w:tcPr>
          <w:p w:rsidR="00443EC1" w:rsidRDefault="00443EC1">
            <w:pPr>
              <w:spacing w:before="0" w:after="0" w:line="300" w:lineRule="exact"/>
              <w:jc w:val="both"/>
              <w:rPr>
                <w:rFonts w:hint="cs"/>
                <w:sz w:val="26"/>
                <w:szCs w:val="22"/>
              </w:rPr>
            </w:pPr>
            <w:r>
              <w:rPr>
                <w:rFonts w:hint="cs"/>
                <w:sz w:val="26"/>
                <w:szCs w:val="22"/>
                <w:rtl/>
              </w:rPr>
              <w:t>مستشفيات النساء والأطفال</w:t>
            </w:r>
          </w:p>
        </w:tc>
        <w:tc>
          <w:tcPr>
            <w:tcW w:w="868" w:type="dxa"/>
            <w:tcBorders>
              <w:bottom w:val="nil"/>
            </w:tcBorders>
          </w:tcPr>
          <w:p w:rsidR="00443EC1" w:rsidRDefault="00443EC1">
            <w:pPr>
              <w:spacing w:before="0" w:after="0" w:line="300" w:lineRule="exact"/>
              <w:jc w:val="both"/>
              <w:rPr>
                <w:rFonts w:hint="cs"/>
                <w:sz w:val="26"/>
                <w:szCs w:val="22"/>
              </w:rPr>
            </w:pPr>
            <w:r>
              <w:rPr>
                <w:rFonts w:hint="cs"/>
                <w:sz w:val="26"/>
                <w:szCs w:val="22"/>
                <w:rtl/>
              </w:rPr>
              <w:t>80</w:t>
            </w:r>
          </w:p>
        </w:tc>
        <w:tc>
          <w:tcPr>
            <w:tcW w:w="938" w:type="dxa"/>
            <w:tcBorders>
              <w:bottom w:val="nil"/>
            </w:tcBorders>
          </w:tcPr>
          <w:p w:rsidR="00443EC1" w:rsidRDefault="00443EC1">
            <w:pPr>
              <w:spacing w:before="0" w:after="0" w:line="300" w:lineRule="exact"/>
              <w:jc w:val="both"/>
              <w:rPr>
                <w:rFonts w:hint="cs"/>
                <w:sz w:val="26"/>
                <w:szCs w:val="22"/>
              </w:rPr>
            </w:pPr>
            <w:r>
              <w:rPr>
                <w:rFonts w:hint="cs"/>
                <w:sz w:val="26"/>
                <w:szCs w:val="22"/>
                <w:rtl/>
              </w:rPr>
              <w:t>96</w:t>
            </w:r>
          </w:p>
        </w:tc>
        <w:tc>
          <w:tcPr>
            <w:tcW w:w="951" w:type="dxa"/>
            <w:tcBorders>
              <w:bottom w:val="nil"/>
            </w:tcBorders>
          </w:tcPr>
          <w:p w:rsidR="00443EC1" w:rsidRDefault="00443EC1">
            <w:pPr>
              <w:spacing w:before="0" w:after="0" w:line="300" w:lineRule="exact"/>
              <w:jc w:val="both"/>
              <w:rPr>
                <w:rFonts w:hint="cs"/>
                <w:sz w:val="26"/>
                <w:szCs w:val="22"/>
              </w:rPr>
            </w:pPr>
            <w:r>
              <w:rPr>
                <w:rFonts w:hint="cs"/>
                <w:sz w:val="26"/>
                <w:szCs w:val="22"/>
                <w:rtl/>
              </w:rPr>
              <w:t>115</w:t>
            </w:r>
          </w:p>
        </w:tc>
        <w:tc>
          <w:tcPr>
            <w:tcW w:w="924" w:type="dxa"/>
            <w:tcBorders>
              <w:bottom w:val="nil"/>
            </w:tcBorders>
          </w:tcPr>
          <w:p w:rsidR="00443EC1" w:rsidRDefault="00443EC1">
            <w:pPr>
              <w:spacing w:before="0" w:after="0" w:line="300" w:lineRule="exact"/>
              <w:jc w:val="both"/>
              <w:rPr>
                <w:rFonts w:hint="cs"/>
                <w:sz w:val="26"/>
                <w:szCs w:val="22"/>
              </w:rPr>
            </w:pPr>
            <w:r>
              <w:rPr>
                <w:rFonts w:hint="cs"/>
                <w:sz w:val="26"/>
                <w:szCs w:val="22"/>
                <w:rtl/>
              </w:rPr>
              <w:t>103</w:t>
            </w:r>
          </w:p>
        </w:tc>
        <w:tc>
          <w:tcPr>
            <w:tcW w:w="952" w:type="dxa"/>
            <w:tcBorders>
              <w:bottom w:val="nil"/>
            </w:tcBorders>
          </w:tcPr>
          <w:p w:rsidR="00443EC1" w:rsidRDefault="00443EC1">
            <w:pPr>
              <w:spacing w:before="0" w:after="0" w:line="300" w:lineRule="exact"/>
              <w:jc w:val="both"/>
              <w:rPr>
                <w:rFonts w:hint="cs"/>
                <w:sz w:val="26"/>
                <w:szCs w:val="22"/>
              </w:rPr>
            </w:pPr>
            <w:r>
              <w:rPr>
                <w:rFonts w:hint="cs"/>
                <w:sz w:val="26"/>
                <w:szCs w:val="22"/>
                <w:rtl/>
              </w:rPr>
              <w:t>272</w:t>
            </w:r>
          </w:p>
        </w:tc>
        <w:tc>
          <w:tcPr>
            <w:tcW w:w="1022" w:type="dxa"/>
            <w:tcBorders>
              <w:bottom w:val="nil"/>
            </w:tcBorders>
          </w:tcPr>
          <w:p w:rsidR="00443EC1" w:rsidRDefault="00443EC1">
            <w:pPr>
              <w:spacing w:before="0" w:after="0" w:line="300" w:lineRule="exact"/>
              <w:jc w:val="both"/>
              <w:rPr>
                <w:rFonts w:hint="cs"/>
                <w:sz w:val="26"/>
                <w:szCs w:val="22"/>
              </w:rPr>
            </w:pPr>
            <w:r>
              <w:rPr>
                <w:rFonts w:hint="cs"/>
                <w:sz w:val="26"/>
                <w:szCs w:val="22"/>
                <w:rtl/>
              </w:rPr>
              <w:t>328</w:t>
            </w:r>
          </w:p>
        </w:tc>
        <w:tc>
          <w:tcPr>
            <w:tcW w:w="966" w:type="dxa"/>
            <w:tcBorders>
              <w:bottom w:val="nil"/>
            </w:tcBorders>
          </w:tcPr>
          <w:p w:rsidR="00443EC1" w:rsidRDefault="00443EC1">
            <w:pPr>
              <w:spacing w:before="0" w:after="0" w:line="300" w:lineRule="exact"/>
              <w:jc w:val="both"/>
              <w:rPr>
                <w:rFonts w:hint="cs"/>
                <w:sz w:val="26"/>
                <w:szCs w:val="22"/>
              </w:rPr>
            </w:pPr>
            <w:r>
              <w:rPr>
                <w:rFonts w:hint="cs"/>
                <w:sz w:val="26"/>
                <w:szCs w:val="22"/>
                <w:rtl/>
              </w:rPr>
              <w:t>396</w:t>
            </w:r>
          </w:p>
        </w:tc>
        <w:tc>
          <w:tcPr>
            <w:tcW w:w="990" w:type="dxa"/>
            <w:tcBorders>
              <w:bottom w:val="nil"/>
            </w:tcBorders>
          </w:tcPr>
          <w:p w:rsidR="00443EC1" w:rsidRDefault="00443EC1">
            <w:pPr>
              <w:spacing w:before="0" w:after="0" w:line="300" w:lineRule="exact"/>
              <w:jc w:val="both"/>
              <w:rPr>
                <w:rFonts w:hint="cs"/>
                <w:sz w:val="26"/>
                <w:szCs w:val="22"/>
              </w:rPr>
            </w:pPr>
            <w:r>
              <w:rPr>
                <w:rFonts w:hint="cs"/>
                <w:sz w:val="26"/>
                <w:szCs w:val="22"/>
                <w:rtl/>
              </w:rPr>
              <w:t>584</w:t>
            </w:r>
          </w:p>
        </w:tc>
      </w:tr>
      <w:tr w:rsidR="00443EC1" w:rsidTr="00443EC1">
        <w:tblPrEx>
          <w:tblCellMar>
            <w:top w:w="0" w:type="dxa"/>
            <w:bottom w:w="0" w:type="dxa"/>
          </w:tblCellMar>
        </w:tblPrEx>
        <w:trPr>
          <w:jc w:val="center"/>
        </w:trPr>
        <w:tc>
          <w:tcPr>
            <w:tcW w:w="1959"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عدد الأسِرَّة</w:t>
            </w:r>
          </w:p>
        </w:tc>
        <w:tc>
          <w:tcPr>
            <w:tcW w:w="868"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762 1</w:t>
            </w:r>
          </w:p>
        </w:tc>
        <w:tc>
          <w:tcPr>
            <w:tcW w:w="938"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794 6</w:t>
            </w:r>
          </w:p>
        </w:tc>
        <w:tc>
          <w:tcPr>
            <w:tcW w:w="951"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233 9</w:t>
            </w:r>
          </w:p>
        </w:tc>
        <w:tc>
          <w:tcPr>
            <w:tcW w:w="924"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307 8</w:t>
            </w:r>
          </w:p>
        </w:tc>
        <w:tc>
          <w:tcPr>
            <w:tcW w:w="952"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443 24</w:t>
            </w:r>
          </w:p>
        </w:tc>
        <w:tc>
          <w:tcPr>
            <w:tcW w:w="1022"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304 32</w:t>
            </w:r>
          </w:p>
        </w:tc>
        <w:tc>
          <w:tcPr>
            <w:tcW w:w="966"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368 38</w:t>
            </w:r>
          </w:p>
        </w:tc>
        <w:tc>
          <w:tcPr>
            <w:tcW w:w="990"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431 41</w:t>
            </w:r>
          </w:p>
        </w:tc>
      </w:tr>
      <w:tr w:rsidR="00443EC1" w:rsidTr="00443EC1">
        <w:tblPrEx>
          <w:tblCellMar>
            <w:top w:w="0" w:type="dxa"/>
            <w:bottom w:w="0" w:type="dxa"/>
          </w:tblCellMar>
        </w:tblPrEx>
        <w:trPr>
          <w:jc w:val="center"/>
        </w:trPr>
        <w:tc>
          <w:tcPr>
            <w:tcW w:w="1959"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مستشفيات طب الأطفال</w:t>
            </w:r>
          </w:p>
        </w:tc>
        <w:tc>
          <w:tcPr>
            <w:tcW w:w="868"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5</w:t>
            </w:r>
          </w:p>
        </w:tc>
        <w:tc>
          <w:tcPr>
            <w:tcW w:w="938"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16</w:t>
            </w:r>
          </w:p>
        </w:tc>
        <w:tc>
          <w:tcPr>
            <w:tcW w:w="951"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28</w:t>
            </w:r>
          </w:p>
        </w:tc>
        <w:tc>
          <w:tcPr>
            <w:tcW w:w="924"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23</w:t>
            </w:r>
          </w:p>
        </w:tc>
        <w:tc>
          <w:tcPr>
            <w:tcW w:w="952"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26</w:t>
            </w:r>
          </w:p>
        </w:tc>
        <w:tc>
          <w:tcPr>
            <w:tcW w:w="1022"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33</w:t>
            </w:r>
          </w:p>
        </w:tc>
        <w:tc>
          <w:tcPr>
            <w:tcW w:w="966"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35</w:t>
            </w:r>
          </w:p>
        </w:tc>
        <w:tc>
          <w:tcPr>
            <w:tcW w:w="990"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37</w:t>
            </w:r>
          </w:p>
        </w:tc>
      </w:tr>
      <w:tr w:rsidR="00443EC1" w:rsidTr="00443EC1">
        <w:tblPrEx>
          <w:tblCellMar>
            <w:top w:w="0" w:type="dxa"/>
            <w:bottom w:w="0" w:type="dxa"/>
          </w:tblCellMar>
        </w:tblPrEx>
        <w:trPr>
          <w:jc w:val="center"/>
        </w:trPr>
        <w:tc>
          <w:tcPr>
            <w:tcW w:w="1959"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عدد الأسِرَّة</w:t>
            </w:r>
          </w:p>
        </w:tc>
        <w:tc>
          <w:tcPr>
            <w:tcW w:w="868"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139</w:t>
            </w:r>
          </w:p>
        </w:tc>
        <w:tc>
          <w:tcPr>
            <w:tcW w:w="938"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295 2</w:t>
            </w:r>
          </w:p>
        </w:tc>
        <w:tc>
          <w:tcPr>
            <w:tcW w:w="951"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527 4</w:t>
            </w:r>
          </w:p>
        </w:tc>
        <w:tc>
          <w:tcPr>
            <w:tcW w:w="924"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546 4</w:t>
            </w:r>
          </w:p>
        </w:tc>
        <w:tc>
          <w:tcPr>
            <w:tcW w:w="952"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209 6</w:t>
            </w:r>
          </w:p>
        </w:tc>
        <w:tc>
          <w:tcPr>
            <w:tcW w:w="1022"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866 7</w:t>
            </w:r>
          </w:p>
        </w:tc>
        <w:tc>
          <w:tcPr>
            <w:tcW w:w="966"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407 9</w:t>
            </w:r>
          </w:p>
        </w:tc>
        <w:tc>
          <w:tcPr>
            <w:tcW w:w="990"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907 9</w:t>
            </w:r>
          </w:p>
        </w:tc>
      </w:tr>
      <w:tr w:rsidR="00443EC1" w:rsidTr="00443EC1">
        <w:tblPrEx>
          <w:tblCellMar>
            <w:top w:w="0" w:type="dxa"/>
            <w:bottom w:w="0" w:type="dxa"/>
          </w:tblCellMar>
        </w:tblPrEx>
        <w:trPr>
          <w:jc w:val="center"/>
        </w:trPr>
        <w:tc>
          <w:tcPr>
            <w:tcW w:w="1959"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مراكز الرعاية الصحية للنساء والأطفال</w:t>
            </w:r>
          </w:p>
        </w:tc>
        <w:tc>
          <w:tcPr>
            <w:tcW w:w="868"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9</w:t>
            </w:r>
          </w:p>
        </w:tc>
        <w:tc>
          <w:tcPr>
            <w:tcW w:w="938"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599 4</w:t>
            </w:r>
          </w:p>
        </w:tc>
        <w:tc>
          <w:tcPr>
            <w:tcW w:w="951"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795 2</w:t>
            </w:r>
          </w:p>
        </w:tc>
        <w:tc>
          <w:tcPr>
            <w:tcW w:w="924"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025 2</w:t>
            </w:r>
          </w:p>
        </w:tc>
        <w:tc>
          <w:tcPr>
            <w:tcW w:w="952"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724 2</w:t>
            </w:r>
          </w:p>
        </w:tc>
        <w:tc>
          <w:tcPr>
            <w:tcW w:w="1022"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820 2</w:t>
            </w:r>
          </w:p>
        </w:tc>
        <w:tc>
          <w:tcPr>
            <w:tcW w:w="966"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832 2</w:t>
            </w:r>
          </w:p>
        </w:tc>
        <w:tc>
          <w:tcPr>
            <w:tcW w:w="990"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548 2</w:t>
            </w:r>
          </w:p>
        </w:tc>
      </w:tr>
      <w:tr w:rsidR="00443EC1" w:rsidTr="00443EC1">
        <w:tblPrEx>
          <w:tblCellMar>
            <w:top w:w="0" w:type="dxa"/>
            <w:bottom w:w="0" w:type="dxa"/>
          </w:tblCellMar>
        </w:tblPrEx>
        <w:trPr>
          <w:jc w:val="center"/>
        </w:trPr>
        <w:tc>
          <w:tcPr>
            <w:tcW w:w="1959"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عدد الأسِرَّة</w:t>
            </w:r>
          </w:p>
        </w:tc>
        <w:tc>
          <w:tcPr>
            <w:tcW w:w="868"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139</w:t>
            </w:r>
          </w:p>
        </w:tc>
        <w:tc>
          <w:tcPr>
            <w:tcW w:w="938"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295 2</w:t>
            </w:r>
          </w:p>
        </w:tc>
        <w:tc>
          <w:tcPr>
            <w:tcW w:w="951"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527 4</w:t>
            </w:r>
          </w:p>
        </w:tc>
        <w:tc>
          <w:tcPr>
            <w:tcW w:w="924"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406 1</w:t>
            </w:r>
          </w:p>
        </w:tc>
        <w:tc>
          <w:tcPr>
            <w:tcW w:w="952"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110 10</w:t>
            </w:r>
          </w:p>
        </w:tc>
        <w:tc>
          <w:tcPr>
            <w:tcW w:w="1022"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263 14</w:t>
            </w:r>
          </w:p>
        </w:tc>
        <w:tc>
          <w:tcPr>
            <w:tcW w:w="966"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618 21</w:t>
            </w:r>
          </w:p>
        </w:tc>
        <w:tc>
          <w:tcPr>
            <w:tcW w:w="990"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560 32</w:t>
            </w:r>
          </w:p>
        </w:tc>
      </w:tr>
      <w:tr w:rsidR="00443EC1" w:rsidTr="00443EC1">
        <w:tblPrEx>
          <w:tblCellMar>
            <w:top w:w="0" w:type="dxa"/>
            <w:bottom w:w="0" w:type="dxa"/>
          </w:tblCellMar>
        </w:tblPrEx>
        <w:trPr>
          <w:jc w:val="center"/>
        </w:trPr>
        <w:tc>
          <w:tcPr>
            <w:tcW w:w="1959"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الأطباء المختصون في التوليد</w:t>
            </w:r>
          </w:p>
        </w:tc>
        <w:tc>
          <w:tcPr>
            <w:tcW w:w="868"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w:t>
            </w:r>
          </w:p>
        </w:tc>
        <w:tc>
          <w:tcPr>
            <w:tcW w:w="938"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194 4</w:t>
            </w:r>
          </w:p>
        </w:tc>
        <w:tc>
          <w:tcPr>
            <w:tcW w:w="951"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218 9</w:t>
            </w:r>
          </w:p>
        </w:tc>
        <w:tc>
          <w:tcPr>
            <w:tcW w:w="924"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w:t>
            </w:r>
          </w:p>
        </w:tc>
        <w:tc>
          <w:tcPr>
            <w:tcW w:w="952"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680 44</w:t>
            </w:r>
          </w:p>
        </w:tc>
        <w:tc>
          <w:tcPr>
            <w:tcW w:w="1022"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359 92</w:t>
            </w:r>
          </w:p>
        </w:tc>
        <w:tc>
          <w:tcPr>
            <w:tcW w:w="966"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w:t>
            </w:r>
          </w:p>
        </w:tc>
        <w:tc>
          <w:tcPr>
            <w:tcW w:w="990"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864 127</w:t>
            </w:r>
          </w:p>
        </w:tc>
      </w:tr>
      <w:tr w:rsidR="00443EC1" w:rsidTr="00443EC1">
        <w:tblPrEx>
          <w:tblCellMar>
            <w:top w:w="0" w:type="dxa"/>
            <w:bottom w:w="0" w:type="dxa"/>
          </w:tblCellMar>
        </w:tblPrEx>
        <w:trPr>
          <w:jc w:val="center"/>
        </w:trPr>
        <w:tc>
          <w:tcPr>
            <w:tcW w:w="1959" w:type="dxa"/>
            <w:tcBorders>
              <w:top w:val="nil"/>
              <w:bottom w:val="nil"/>
            </w:tcBorders>
          </w:tcPr>
          <w:p w:rsidR="00443EC1" w:rsidRDefault="00443EC1">
            <w:pPr>
              <w:spacing w:before="0" w:after="0" w:line="300" w:lineRule="exact"/>
              <w:jc w:val="both"/>
              <w:rPr>
                <w:rFonts w:hint="cs"/>
                <w:sz w:val="26"/>
                <w:szCs w:val="22"/>
                <w:rtl/>
              </w:rPr>
            </w:pPr>
            <w:r>
              <w:rPr>
                <w:rFonts w:hint="cs"/>
                <w:sz w:val="26"/>
                <w:szCs w:val="22"/>
                <w:rtl/>
              </w:rPr>
              <w:t>الأطباء المختصون في أمراض الأطفال</w:t>
            </w:r>
          </w:p>
        </w:tc>
        <w:tc>
          <w:tcPr>
            <w:tcW w:w="868"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w:t>
            </w:r>
          </w:p>
        </w:tc>
        <w:tc>
          <w:tcPr>
            <w:tcW w:w="938"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539 4</w:t>
            </w:r>
          </w:p>
        </w:tc>
        <w:tc>
          <w:tcPr>
            <w:tcW w:w="951"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281 10</w:t>
            </w:r>
          </w:p>
        </w:tc>
        <w:tc>
          <w:tcPr>
            <w:tcW w:w="924"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w:t>
            </w:r>
          </w:p>
        </w:tc>
        <w:tc>
          <w:tcPr>
            <w:tcW w:w="952"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162 36</w:t>
            </w:r>
          </w:p>
        </w:tc>
        <w:tc>
          <w:tcPr>
            <w:tcW w:w="1022"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661 56</w:t>
            </w:r>
          </w:p>
        </w:tc>
        <w:tc>
          <w:tcPr>
            <w:tcW w:w="966"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w:t>
            </w:r>
          </w:p>
        </w:tc>
        <w:tc>
          <w:tcPr>
            <w:tcW w:w="990"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995 65</w:t>
            </w:r>
          </w:p>
        </w:tc>
      </w:tr>
      <w:tr w:rsidR="00443EC1" w:rsidTr="00443EC1">
        <w:tblPrEx>
          <w:tblCellMar>
            <w:top w:w="0" w:type="dxa"/>
            <w:bottom w:w="0" w:type="dxa"/>
          </w:tblCellMar>
        </w:tblPrEx>
        <w:trPr>
          <w:jc w:val="center"/>
        </w:trPr>
        <w:tc>
          <w:tcPr>
            <w:tcW w:w="1959"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القابلات</w:t>
            </w:r>
          </w:p>
        </w:tc>
        <w:tc>
          <w:tcPr>
            <w:tcW w:w="868"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900 13</w:t>
            </w:r>
          </w:p>
        </w:tc>
        <w:tc>
          <w:tcPr>
            <w:tcW w:w="938"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774 35</w:t>
            </w:r>
          </w:p>
        </w:tc>
        <w:tc>
          <w:tcPr>
            <w:tcW w:w="951"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639 45</w:t>
            </w:r>
          </w:p>
        </w:tc>
        <w:tc>
          <w:tcPr>
            <w:tcW w:w="924"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875 64</w:t>
            </w:r>
          </w:p>
        </w:tc>
        <w:tc>
          <w:tcPr>
            <w:tcW w:w="952"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517 75</w:t>
            </w:r>
          </w:p>
        </w:tc>
        <w:tc>
          <w:tcPr>
            <w:tcW w:w="1022"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397 58</w:t>
            </w:r>
          </w:p>
        </w:tc>
        <w:tc>
          <w:tcPr>
            <w:tcW w:w="966"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997 48</w:t>
            </w:r>
          </w:p>
        </w:tc>
        <w:tc>
          <w:tcPr>
            <w:tcW w:w="990" w:type="dxa"/>
            <w:tcBorders>
              <w:top w:val="nil"/>
              <w:bottom w:val="nil"/>
            </w:tcBorders>
          </w:tcPr>
          <w:p w:rsidR="00443EC1" w:rsidRDefault="00443EC1">
            <w:pPr>
              <w:spacing w:before="0" w:after="0" w:line="300" w:lineRule="exact"/>
              <w:jc w:val="both"/>
              <w:rPr>
                <w:rFonts w:hint="cs"/>
                <w:sz w:val="26"/>
                <w:szCs w:val="22"/>
              </w:rPr>
            </w:pPr>
            <w:r>
              <w:rPr>
                <w:rFonts w:hint="cs"/>
                <w:sz w:val="26"/>
                <w:szCs w:val="22"/>
                <w:rtl/>
              </w:rPr>
              <w:t>140 42</w:t>
            </w:r>
          </w:p>
        </w:tc>
      </w:tr>
      <w:tr w:rsidR="00443EC1" w:rsidTr="00443EC1">
        <w:tblPrEx>
          <w:tblCellMar>
            <w:top w:w="0" w:type="dxa"/>
            <w:bottom w:w="0" w:type="dxa"/>
          </w:tblCellMar>
        </w:tblPrEx>
        <w:trPr>
          <w:jc w:val="center"/>
        </w:trPr>
        <w:tc>
          <w:tcPr>
            <w:tcW w:w="1959" w:type="dxa"/>
            <w:tcBorders>
              <w:top w:val="nil"/>
              <w:bottom w:val="single" w:sz="4" w:space="0" w:color="auto"/>
            </w:tcBorders>
          </w:tcPr>
          <w:p w:rsidR="00443EC1" w:rsidRDefault="00443EC1">
            <w:pPr>
              <w:spacing w:before="0" w:after="0" w:line="300" w:lineRule="exact"/>
              <w:jc w:val="both"/>
              <w:rPr>
                <w:rFonts w:hint="cs"/>
                <w:sz w:val="26"/>
                <w:szCs w:val="22"/>
              </w:rPr>
            </w:pPr>
            <w:r>
              <w:rPr>
                <w:rFonts w:hint="cs"/>
                <w:sz w:val="26"/>
                <w:szCs w:val="22"/>
                <w:rtl/>
              </w:rPr>
              <w:t>القابلات في الأرياف</w:t>
            </w:r>
          </w:p>
        </w:tc>
        <w:tc>
          <w:tcPr>
            <w:tcW w:w="868" w:type="dxa"/>
            <w:tcBorders>
              <w:top w:val="nil"/>
              <w:bottom w:val="single" w:sz="4" w:space="0" w:color="auto"/>
            </w:tcBorders>
          </w:tcPr>
          <w:p w:rsidR="00443EC1" w:rsidRDefault="00443EC1">
            <w:pPr>
              <w:spacing w:before="0" w:after="0" w:line="300" w:lineRule="exact"/>
              <w:jc w:val="both"/>
              <w:rPr>
                <w:rFonts w:hint="cs"/>
                <w:sz w:val="26"/>
                <w:szCs w:val="22"/>
              </w:rPr>
            </w:pPr>
            <w:r>
              <w:rPr>
                <w:rFonts w:hint="cs"/>
                <w:sz w:val="26"/>
                <w:szCs w:val="22"/>
                <w:rtl/>
              </w:rPr>
              <w:t>...</w:t>
            </w:r>
          </w:p>
        </w:tc>
        <w:tc>
          <w:tcPr>
            <w:tcW w:w="938" w:type="dxa"/>
            <w:tcBorders>
              <w:top w:val="nil"/>
              <w:bottom w:val="single" w:sz="4" w:space="0" w:color="auto"/>
            </w:tcBorders>
          </w:tcPr>
          <w:p w:rsidR="00443EC1" w:rsidRDefault="00443EC1">
            <w:pPr>
              <w:spacing w:before="0" w:after="0" w:line="300" w:lineRule="exact"/>
              <w:jc w:val="both"/>
              <w:rPr>
                <w:rFonts w:hint="cs"/>
                <w:sz w:val="26"/>
                <w:szCs w:val="22"/>
              </w:rPr>
            </w:pPr>
            <w:r>
              <w:rPr>
                <w:rFonts w:hint="cs"/>
                <w:sz w:val="26"/>
                <w:szCs w:val="22"/>
                <w:rtl/>
              </w:rPr>
              <w:t>335 657</w:t>
            </w:r>
          </w:p>
        </w:tc>
        <w:tc>
          <w:tcPr>
            <w:tcW w:w="951" w:type="dxa"/>
            <w:tcBorders>
              <w:top w:val="nil"/>
              <w:bottom w:val="single" w:sz="4" w:space="0" w:color="auto"/>
            </w:tcBorders>
          </w:tcPr>
          <w:p w:rsidR="00443EC1" w:rsidRDefault="00443EC1">
            <w:pPr>
              <w:spacing w:before="0" w:after="0" w:line="300" w:lineRule="exact"/>
              <w:jc w:val="both"/>
              <w:rPr>
                <w:rFonts w:hint="cs"/>
                <w:sz w:val="26"/>
                <w:szCs w:val="22"/>
              </w:rPr>
            </w:pPr>
            <w:r>
              <w:rPr>
                <w:rFonts w:hint="cs"/>
                <w:sz w:val="26"/>
                <w:szCs w:val="22"/>
                <w:rtl/>
              </w:rPr>
              <w:t>740 685</w:t>
            </w:r>
          </w:p>
        </w:tc>
        <w:tc>
          <w:tcPr>
            <w:tcW w:w="924" w:type="dxa"/>
            <w:tcBorders>
              <w:top w:val="nil"/>
              <w:bottom w:val="single" w:sz="4" w:space="0" w:color="auto"/>
            </w:tcBorders>
          </w:tcPr>
          <w:p w:rsidR="00443EC1" w:rsidRDefault="00443EC1">
            <w:pPr>
              <w:spacing w:before="0" w:after="0" w:line="300" w:lineRule="exact"/>
              <w:jc w:val="both"/>
              <w:rPr>
                <w:rFonts w:hint="cs"/>
                <w:sz w:val="26"/>
                <w:szCs w:val="22"/>
              </w:rPr>
            </w:pPr>
            <w:r>
              <w:rPr>
                <w:rFonts w:hint="cs"/>
                <w:sz w:val="26"/>
                <w:szCs w:val="22"/>
                <w:rtl/>
              </w:rPr>
              <w:t>184 615</w:t>
            </w:r>
          </w:p>
        </w:tc>
        <w:tc>
          <w:tcPr>
            <w:tcW w:w="952" w:type="dxa"/>
            <w:tcBorders>
              <w:top w:val="nil"/>
              <w:bottom w:val="single" w:sz="4" w:space="0" w:color="auto"/>
            </w:tcBorders>
          </w:tcPr>
          <w:p w:rsidR="00443EC1" w:rsidRDefault="00443EC1">
            <w:pPr>
              <w:spacing w:before="0" w:after="0" w:line="300" w:lineRule="exact"/>
              <w:jc w:val="both"/>
              <w:rPr>
                <w:rFonts w:hint="cs"/>
                <w:sz w:val="26"/>
                <w:szCs w:val="22"/>
              </w:rPr>
            </w:pPr>
            <w:r>
              <w:rPr>
                <w:rFonts w:hint="cs"/>
                <w:sz w:val="26"/>
                <w:szCs w:val="22"/>
                <w:rtl/>
              </w:rPr>
              <w:t>977 513</w:t>
            </w:r>
          </w:p>
        </w:tc>
        <w:tc>
          <w:tcPr>
            <w:tcW w:w="1022" w:type="dxa"/>
            <w:tcBorders>
              <w:top w:val="nil"/>
              <w:bottom w:val="single" w:sz="4" w:space="0" w:color="auto"/>
            </w:tcBorders>
          </w:tcPr>
          <w:p w:rsidR="00443EC1" w:rsidRDefault="00443EC1">
            <w:pPr>
              <w:spacing w:before="0" w:after="0" w:line="300" w:lineRule="exact"/>
              <w:jc w:val="both"/>
              <w:rPr>
                <w:rFonts w:hint="cs"/>
                <w:sz w:val="26"/>
                <w:szCs w:val="22"/>
              </w:rPr>
            </w:pPr>
            <w:r>
              <w:rPr>
                <w:rFonts w:hint="cs"/>
                <w:sz w:val="26"/>
                <w:szCs w:val="22"/>
                <w:rtl/>
              </w:rPr>
              <w:t>982 470</w:t>
            </w:r>
          </w:p>
        </w:tc>
        <w:tc>
          <w:tcPr>
            <w:tcW w:w="966" w:type="dxa"/>
            <w:tcBorders>
              <w:top w:val="nil"/>
              <w:bottom w:val="single" w:sz="4" w:space="0" w:color="auto"/>
            </w:tcBorders>
          </w:tcPr>
          <w:p w:rsidR="00443EC1" w:rsidRDefault="00443EC1">
            <w:pPr>
              <w:spacing w:before="0" w:after="0" w:line="300" w:lineRule="exact"/>
              <w:jc w:val="both"/>
              <w:rPr>
                <w:rFonts w:hint="cs"/>
                <w:sz w:val="26"/>
                <w:szCs w:val="22"/>
              </w:rPr>
            </w:pPr>
            <w:r>
              <w:rPr>
                <w:rFonts w:hint="cs"/>
                <w:sz w:val="26"/>
                <w:szCs w:val="22"/>
                <w:rtl/>
              </w:rPr>
              <w:t>052 359</w:t>
            </w:r>
          </w:p>
        </w:tc>
        <w:tc>
          <w:tcPr>
            <w:tcW w:w="990" w:type="dxa"/>
            <w:tcBorders>
              <w:top w:val="nil"/>
              <w:bottom w:val="single" w:sz="4" w:space="0" w:color="auto"/>
            </w:tcBorders>
          </w:tcPr>
          <w:p w:rsidR="00443EC1" w:rsidRDefault="00443EC1">
            <w:pPr>
              <w:spacing w:before="0" w:after="0" w:line="300" w:lineRule="exact"/>
              <w:jc w:val="both"/>
              <w:rPr>
                <w:rFonts w:hint="cs"/>
                <w:sz w:val="26"/>
                <w:szCs w:val="22"/>
              </w:rPr>
            </w:pPr>
            <w:r>
              <w:rPr>
                <w:rFonts w:hint="cs"/>
                <w:sz w:val="26"/>
                <w:szCs w:val="22"/>
                <w:rtl/>
              </w:rPr>
              <w:t>934 226</w:t>
            </w:r>
          </w:p>
        </w:tc>
      </w:tr>
    </w:tbl>
    <w:p w:rsidR="00000000" w:rsidRDefault="00443EC1">
      <w:pPr>
        <w:spacing w:before="60" w:after="0" w:line="320" w:lineRule="exact"/>
        <w:jc w:val="both"/>
        <w:rPr>
          <w:rFonts w:hint="cs"/>
          <w:sz w:val="26"/>
          <w:szCs w:val="28"/>
          <w:rtl/>
        </w:rPr>
      </w:pPr>
      <w:r>
        <w:rPr>
          <w:rFonts w:hint="cs"/>
          <w:sz w:val="26"/>
          <w:szCs w:val="28"/>
          <w:rtl/>
        </w:rPr>
        <w:tab/>
      </w:r>
      <w:r>
        <w:rPr>
          <w:rFonts w:hint="cs"/>
          <w:i/>
          <w:iCs/>
          <w:sz w:val="26"/>
          <w:szCs w:val="28"/>
          <w:rtl/>
        </w:rPr>
        <w:t>المصدر</w:t>
      </w:r>
      <w:r>
        <w:rPr>
          <w:rFonts w:hint="cs"/>
          <w:sz w:val="26"/>
          <w:szCs w:val="28"/>
          <w:rtl/>
        </w:rPr>
        <w:t>: وزارة الصحة.</w:t>
      </w:r>
    </w:p>
    <w:p w:rsidR="00000000" w:rsidRDefault="00443EC1">
      <w:pPr>
        <w:spacing w:before="60" w:after="0" w:line="320" w:lineRule="exact"/>
        <w:ind w:left="1440" w:hanging="720"/>
        <w:jc w:val="both"/>
        <w:rPr>
          <w:rFonts w:hint="cs"/>
          <w:sz w:val="26"/>
          <w:szCs w:val="28"/>
          <w:rtl/>
        </w:rPr>
      </w:pPr>
      <w:r>
        <w:rPr>
          <w:rFonts w:hint="cs"/>
          <w:i/>
          <w:iCs/>
          <w:sz w:val="26"/>
          <w:szCs w:val="28"/>
          <w:rtl/>
        </w:rPr>
        <w:t>ملاحظة</w:t>
      </w:r>
      <w:r>
        <w:rPr>
          <w:rFonts w:hint="cs"/>
          <w:sz w:val="26"/>
          <w:szCs w:val="28"/>
          <w:rtl/>
        </w:rPr>
        <w:t>:</w:t>
      </w:r>
      <w:r>
        <w:rPr>
          <w:rFonts w:hint="cs"/>
          <w:sz w:val="26"/>
          <w:szCs w:val="28"/>
          <w:rtl/>
        </w:rPr>
        <w:tab/>
        <w:t>لأغراض إحصائية، أُدرجت تحت بند مستشفيات النساء والأطفال، أرقام عام 1995 وعام 2000 الخاصة بمستشفيات التوليد وبعدد أسِرَّتها.</w:t>
      </w:r>
    </w:p>
    <w:p w:rsidR="00000000" w:rsidRDefault="00443EC1">
      <w:pPr>
        <w:spacing w:before="60" w:after="0" w:line="320" w:lineRule="exact"/>
        <w:jc w:val="both"/>
        <w:rPr>
          <w:sz w:val="26"/>
          <w:szCs w:val="28"/>
          <w:rtl/>
        </w:rPr>
      </w:pPr>
      <w:r>
        <w:rPr>
          <w:rFonts w:hint="cs"/>
          <w:sz w:val="26"/>
          <w:szCs w:val="28"/>
          <w:rtl/>
        </w:rPr>
        <w:tab/>
        <w:t xml:space="preserve">الأرقام </w:t>
      </w:r>
      <w:r>
        <w:rPr>
          <w:rFonts w:hint="cs"/>
          <w:sz w:val="26"/>
          <w:szCs w:val="28"/>
          <w:rtl/>
        </w:rPr>
        <w:t>المدرجة في إطار عام 1965 بشأن الأطباء المختصين في التوليد وفي أمراض الأطفال، هي في الواقع أرقام عام 1963، وبالمثل، الأرقام المدرجة في إطار عام 2001 بشأن الفئتين المذكورتين من الأطباء تخص عام 2000.</w:t>
      </w:r>
    </w:p>
    <w:p w:rsidR="00000000" w:rsidRDefault="00443EC1">
      <w:pPr>
        <w:spacing w:line="380" w:lineRule="exact"/>
        <w:jc w:val="center"/>
        <w:rPr>
          <w:rFonts w:hint="cs"/>
          <w:b/>
          <w:bCs/>
          <w:rtl/>
        </w:rPr>
      </w:pPr>
      <w:r>
        <w:rPr>
          <w:sz w:val="26"/>
          <w:szCs w:val="28"/>
          <w:rtl/>
        </w:rPr>
        <w:br w:type="page"/>
      </w:r>
      <w:r>
        <w:rPr>
          <w:rFonts w:hint="cs"/>
          <w:b/>
          <w:bCs/>
          <w:rtl/>
        </w:rPr>
        <w:t>الجدول 23</w:t>
      </w:r>
    </w:p>
    <w:p w:rsidR="00000000" w:rsidRDefault="00443EC1">
      <w:pPr>
        <w:spacing w:line="380" w:lineRule="exact"/>
        <w:jc w:val="center"/>
        <w:rPr>
          <w:rFonts w:hint="cs"/>
          <w:b/>
          <w:bCs/>
          <w:rtl/>
        </w:rPr>
      </w:pPr>
      <w:r>
        <w:rPr>
          <w:rFonts w:hint="cs"/>
          <w:b/>
          <w:bCs/>
          <w:rtl/>
        </w:rPr>
        <w:t>توزيع المحطات ال‍ 28 الموجودة في الصين لرصد نوعي</w:t>
      </w:r>
      <w:r>
        <w:rPr>
          <w:rFonts w:hint="cs"/>
          <w:b/>
          <w:bCs/>
          <w:rtl/>
        </w:rPr>
        <w:t>ة الهواء ونقاط مراقبة الأمراض</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43"/>
        <w:gridCol w:w="2841"/>
        <w:gridCol w:w="2086"/>
        <w:gridCol w:w="2600"/>
      </w:tblGrid>
      <w:tr w:rsidR="00443EC1" w:rsidTr="00443EC1">
        <w:tblPrEx>
          <w:tblCellMar>
            <w:top w:w="0" w:type="dxa"/>
            <w:bottom w:w="0" w:type="dxa"/>
          </w:tblCellMar>
        </w:tblPrEx>
        <w:trPr>
          <w:jc w:val="center"/>
        </w:trPr>
        <w:tc>
          <w:tcPr>
            <w:tcW w:w="2043" w:type="dxa"/>
            <w:tcBorders>
              <w:bottom w:val="single" w:sz="4" w:space="0" w:color="auto"/>
            </w:tcBorders>
          </w:tcPr>
          <w:p w:rsidR="00443EC1" w:rsidRDefault="00443EC1">
            <w:pPr>
              <w:spacing w:before="0" w:after="120" w:line="320" w:lineRule="exact"/>
              <w:jc w:val="center"/>
              <w:rPr>
                <w:rFonts w:hint="cs"/>
                <w:szCs w:val="26"/>
              </w:rPr>
            </w:pPr>
            <w:r>
              <w:rPr>
                <w:rFonts w:hint="cs"/>
                <w:szCs w:val="26"/>
                <w:rtl/>
              </w:rPr>
              <w:t>محطات رصد نوعية الهواء</w:t>
            </w:r>
          </w:p>
        </w:tc>
        <w:tc>
          <w:tcPr>
            <w:tcW w:w="2841" w:type="dxa"/>
            <w:tcBorders>
              <w:bottom w:val="single" w:sz="4" w:space="0" w:color="auto"/>
            </w:tcBorders>
          </w:tcPr>
          <w:p w:rsidR="00443EC1" w:rsidRDefault="00443EC1">
            <w:pPr>
              <w:spacing w:before="0" w:after="120" w:line="320" w:lineRule="exact"/>
              <w:jc w:val="center"/>
              <w:rPr>
                <w:rFonts w:hint="cs"/>
                <w:szCs w:val="26"/>
              </w:rPr>
            </w:pPr>
            <w:r>
              <w:rPr>
                <w:rFonts w:hint="cs"/>
                <w:szCs w:val="26"/>
                <w:rtl/>
              </w:rPr>
              <w:t>محطات مراقبة الأمراض</w:t>
            </w:r>
          </w:p>
        </w:tc>
        <w:tc>
          <w:tcPr>
            <w:tcW w:w="2086" w:type="dxa"/>
            <w:tcBorders>
              <w:bottom w:val="single" w:sz="4" w:space="0" w:color="auto"/>
            </w:tcBorders>
          </w:tcPr>
          <w:p w:rsidR="00443EC1" w:rsidRDefault="00443EC1">
            <w:pPr>
              <w:spacing w:before="0" w:after="120" w:line="320" w:lineRule="exact"/>
              <w:jc w:val="center"/>
              <w:rPr>
                <w:rFonts w:hint="cs"/>
                <w:szCs w:val="26"/>
              </w:rPr>
            </w:pPr>
            <w:r>
              <w:rPr>
                <w:rFonts w:hint="cs"/>
                <w:szCs w:val="26"/>
                <w:rtl/>
              </w:rPr>
              <w:t>محطات رصد نوعية الهواء</w:t>
            </w:r>
          </w:p>
        </w:tc>
        <w:tc>
          <w:tcPr>
            <w:tcW w:w="2600" w:type="dxa"/>
            <w:tcBorders>
              <w:bottom w:val="single" w:sz="4" w:space="0" w:color="auto"/>
            </w:tcBorders>
          </w:tcPr>
          <w:p w:rsidR="00443EC1" w:rsidRDefault="00443EC1">
            <w:pPr>
              <w:spacing w:before="0" w:after="120" w:line="320" w:lineRule="exact"/>
              <w:jc w:val="center"/>
              <w:rPr>
                <w:rFonts w:hint="cs"/>
                <w:szCs w:val="26"/>
              </w:rPr>
            </w:pPr>
            <w:r>
              <w:rPr>
                <w:rFonts w:hint="cs"/>
                <w:szCs w:val="26"/>
                <w:rtl/>
              </w:rPr>
              <w:t>محطات مراقبة الأمراض</w:t>
            </w:r>
          </w:p>
        </w:tc>
      </w:tr>
      <w:tr w:rsidR="00443EC1" w:rsidTr="00443EC1">
        <w:tblPrEx>
          <w:tblCellMar>
            <w:top w:w="0" w:type="dxa"/>
            <w:bottom w:w="0" w:type="dxa"/>
          </w:tblCellMar>
        </w:tblPrEx>
        <w:trPr>
          <w:jc w:val="center"/>
        </w:trPr>
        <w:tc>
          <w:tcPr>
            <w:tcW w:w="2043" w:type="dxa"/>
            <w:tcBorders>
              <w:top w:val="single" w:sz="4" w:space="0" w:color="auto"/>
              <w:bottom w:val="nil"/>
            </w:tcBorders>
          </w:tcPr>
          <w:p w:rsidR="00443EC1" w:rsidRDefault="00443EC1">
            <w:pPr>
              <w:spacing w:before="0" w:line="320" w:lineRule="exact"/>
              <w:jc w:val="both"/>
              <w:rPr>
                <w:rFonts w:hint="cs"/>
                <w:szCs w:val="28"/>
              </w:rPr>
            </w:pPr>
            <w:r>
              <w:rPr>
                <w:rFonts w:hint="cs"/>
                <w:szCs w:val="28"/>
                <w:rtl/>
              </w:rPr>
              <w:t>جنغجو</w:t>
            </w:r>
          </w:p>
        </w:tc>
        <w:tc>
          <w:tcPr>
            <w:tcW w:w="2841" w:type="dxa"/>
            <w:tcBorders>
              <w:top w:val="single" w:sz="4" w:space="0" w:color="auto"/>
              <w:bottom w:val="nil"/>
            </w:tcBorders>
          </w:tcPr>
          <w:p w:rsidR="00443EC1" w:rsidRDefault="00443EC1">
            <w:pPr>
              <w:spacing w:before="0" w:line="320" w:lineRule="exact"/>
              <w:jc w:val="both"/>
              <w:rPr>
                <w:rFonts w:hint="cs"/>
                <w:szCs w:val="28"/>
              </w:rPr>
            </w:pPr>
            <w:r>
              <w:rPr>
                <w:rFonts w:hint="cs"/>
                <w:szCs w:val="28"/>
                <w:rtl/>
              </w:rPr>
              <w:t>مدينة جنغجو</w:t>
            </w:r>
          </w:p>
        </w:tc>
        <w:tc>
          <w:tcPr>
            <w:tcW w:w="2086" w:type="dxa"/>
            <w:tcBorders>
              <w:top w:val="single" w:sz="4" w:space="0" w:color="auto"/>
              <w:bottom w:val="nil"/>
            </w:tcBorders>
          </w:tcPr>
          <w:p w:rsidR="00443EC1" w:rsidRDefault="00443EC1">
            <w:pPr>
              <w:spacing w:before="0" w:line="320" w:lineRule="exact"/>
              <w:jc w:val="both"/>
              <w:rPr>
                <w:rFonts w:hint="cs"/>
                <w:szCs w:val="28"/>
              </w:rPr>
            </w:pPr>
            <w:r>
              <w:rPr>
                <w:rFonts w:hint="cs"/>
                <w:szCs w:val="28"/>
                <w:rtl/>
              </w:rPr>
              <w:t>لاسا</w:t>
            </w:r>
          </w:p>
        </w:tc>
        <w:tc>
          <w:tcPr>
            <w:tcW w:w="2600" w:type="dxa"/>
            <w:tcBorders>
              <w:top w:val="single" w:sz="4" w:space="0" w:color="auto"/>
              <w:bottom w:val="nil"/>
            </w:tcBorders>
          </w:tcPr>
          <w:p w:rsidR="00443EC1" w:rsidRDefault="00443EC1">
            <w:pPr>
              <w:spacing w:before="0" w:line="320" w:lineRule="exact"/>
              <w:jc w:val="both"/>
              <w:rPr>
                <w:rFonts w:hint="cs"/>
                <w:szCs w:val="28"/>
              </w:rPr>
            </w:pPr>
            <w:r>
              <w:rPr>
                <w:rFonts w:hint="cs"/>
                <w:szCs w:val="28"/>
                <w:rtl/>
              </w:rPr>
              <w:t>مدينة لاسا/دائرة شنغغوان</w:t>
            </w:r>
          </w:p>
        </w:tc>
      </w:tr>
      <w:tr w:rsidR="00443EC1" w:rsidTr="00443EC1">
        <w:tblPrEx>
          <w:tblCellMar>
            <w:top w:w="0" w:type="dxa"/>
            <w:bottom w:w="0" w:type="dxa"/>
          </w:tblCellMar>
        </w:tblPrEx>
        <w:trPr>
          <w:jc w:val="center"/>
        </w:trPr>
        <w:tc>
          <w:tcPr>
            <w:tcW w:w="2043" w:type="dxa"/>
            <w:tcBorders>
              <w:top w:val="nil"/>
              <w:bottom w:val="nil"/>
            </w:tcBorders>
          </w:tcPr>
          <w:p w:rsidR="00443EC1" w:rsidRDefault="00443EC1">
            <w:pPr>
              <w:spacing w:before="0" w:line="320" w:lineRule="exact"/>
              <w:jc w:val="both"/>
              <w:rPr>
                <w:rFonts w:hint="cs"/>
                <w:szCs w:val="28"/>
              </w:rPr>
            </w:pPr>
            <w:r>
              <w:rPr>
                <w:rFonts w:hint="cs"/>
                <w:szCs w:val="28"/>
                <w:rtl/>
              </w:rPr>
              <w:t>يينشوان</w:t>
            </w:r>
          </w:p>
        </w:tc>
        <w:tc>
          <w:tcPr>
            <w:tcW w:w="2841" w:type="dxa"/>
            <w:tcBorders>
              <w:top w:val="nil"/>
              <w:bottom w:val="nil"/>
            </w:tcBorders>
          </w:tcPr>
          <w:p w:rsidR="00443EC1" w:rsidRDefault="00443EC1">
            <w:pPr>
              <w:spacing w:before="0" w:line="320" w:lineRule="exact"/>
              <w:jc w:val="both"/>
              <w:rPr>
                <w:rFonts w:hint="cs"/>
                <w:szCs w:val="28"/>
              </w:rPr>
            </w:pPr>
            <w:r>
              <w:rPr>
                <w:rFonts w:hint="cs"/>
                <w:szCs w:val="28"/>
                <w:rtl/>
              </w:rPr>
              <w:t>مدينة يينشوان</w:t>
            </w:r>
          </w:p>
        </w:tc>
        <w:tc>
          <w:tcPr>
            <w:tcW w:w="2086" w:type="dxa"/>
            <w:tcBorders>
              <w:top w:val="nil"/>
              <w:bottom w:val="nil"/>
            </w:tcBorders>
          </w:tcPr>
          <w:p w:rsidR="00443EC1" w:rsidRDefault="00443EC1">
            <w:pPr>
              <w:spacing w:before="0" w:line="320" w:lineRule="exact"/>
              <w:jc w:val="both"/>
              <w:rPr>
                <w:rFonts w:hint="cs"/>
                <w:szCs w:val="28"/>
              </w:rPr>
            </w:pPr>
            <w:r>
              <w:rPr>
                <w:rFonts w:hint="cs"/>
                <w:szCs w:val="28"/>
                <w:rtl/>
              </w:rPr>
              <w:t>لانجو</w:t>
            </w:r>
          </w:p>
        </w:tc>
        <w:tc>
          <w:tcPr>
            <w:tcW w:w="2600" w:type="dxa"/>
            <w:tcBorders>
              <w:top w:val="nil"/>
              <w:bottom w:val="nil"/>
            </w:tcBorders>
          </w:tcPr>
          <w:p w:rsidR="00443EC1" w:rsidRDefault="00443EC1">
            <w:pPr>
              <w:spacing w:before="0" w:line="320" w:lineRule="exact"/>
              <w:jc w:val="both"/>
              <w:rPr>
                <w:rFonts w:hint="cs"/>
                <w:szCs w:val="28"/>
              </w:rPr>
            </w:pPr>
            <w:r>
              <w:rPr>
                <w:rFonts w:hint="cs"/>
                <w:szCs w:val="28"/>
                <w:rtl/>
              </w:rPr>
              <w:t>مدينة لانجو/دائرة شنغغوان</w:t>
            </w:r>
          </w:p>
        </w:tc>
      </w:tr>
      <w:tr w:rsidR="00443EC1" w:rsidTr="00443EC1">
        <w:tblPrEx>
          <w:tblCellMar>
            <w:top w:w="0" w:type="dxa"/>
            <w:bottom w:w="0" w:type="dxa"/>
          </w:tblCellMar>
        </w:tblPrEx>
        <w:trPr>
          <w:jc w:val="center"/>
        </w:trPr>
        <w:tc>
          <w:tcPr>
            <w:tcW w:w="2043" w:type="dxa"/>
            <w:tcBorders>
              <w:top w:val="nil"/>
              <w:bottom w:val="nil"/>
            </w:tcBorders>
          </w:tcPr>
          <w:p w:rsidR="00443EC1" w:rsidRDefault="00443EC1">
            <w:pPr>
              <w:spacing w:before="0" w:line="320" w:lineRule="exact"/>
              <w:jc w:val="both"/>
              <w:rPr>
                <w:rFonts w:hint="cs"/>
                <w:szCs w:val="28"/>
              </w:rPr>
            </w:pPr>
            <w:r>
              <w:rPr>
                <w:rFonts w:hint="cs"/>
                <w:szCs w:val="28"/>
                <w:rtl/>
              </w:rPr>
              <w:t>شينينغ</w:t>
            </w:r>
          </w:p>
        </w:tc>
        <w:tc>
          <w:tcPr>
            <w:tcW w:w="2841" w:type="dxa"/>
            <w:tcBorders>
              <w:top w:val="nil"/>
              <w:bottom w:val="nil"/>
            </w:tcBorders>
          </w:tcPr>
          <w:p w:rsidR="00443EC1" w:rsidRDefault="00443EC1">
            <w:pPr>
              <w:spacing w:before="0" w:line="320" w:lineRule="exact"/>
              <w:jc w:val="both"/>
              <w:rPr>
                <w:rFonts w:hint="cs"/>
                <w:szCs w:val="28"/>
              </w:rPr>
            </w:pPr>
            <w:r>
              <w:rPr>
                <w:rFonts w:hint="cs"/>
                <w:szCs w:val="28"/>
                <w:rtl/>
              </w:rPr>
              <w:t>مدينة شينينغ/وسط المدينة</w:t>
            </w:r>
          </w:p>
        </w:tc>
        <w:tc>
          <w:tcPr>
            <w:tcW w:w="2086" w:type="dxa"/>
            <w:tcBorders>
              <w:top w:val="nil"/>
              <w:bottom w:val="nil"/>
            </w:tcBorders>
          </w:tcPr>
          <w:p w:rsidR="00443EC1" w:rsidRDefault="00443EC1">
            <w:pPr>
              <w:spacing w:before="0" w:line="320" w:lineRule="exact"/>
              <w:jc w:val="both"/>
              <w:rPr>
                <w:rFonts w:hint="cs"/>
                <w:szCs w:val="28"/>
              </w:rPr>
            </w:pPr>
            <w:r>
              <w:rPr>
                <w:rFonts w:hint="cs"/>
                <w:szCs w:val="28"/>
                <w:rtl/>
              </w:rPr>
              <w:t>كونمينغ</w:t>
            </w:r>
          </w:p>
        </w:tc>
        <w:tc>
          <w:tcPr>
            <w:tcW w:w="2600" w:type="dxa"/>
            <w:tcBorders>
              <w:top w:val="nil"/>
              <w:bottom w:val="nil"/>
            </w:tcBorders>
          </w:tcPr>
          <w:p w:rsidR="00443EC1" w:rsidRDefault="00443EC1">
            <w:pPr>
              <w:spacing w:before="0" w:line="320" w:lineRule="exact"/>
              <w:jc w:val="both"/>
              <w:rPr>
                <w:rFonts w:hint="cs"/>
                <w:szCs w:val="28"/>
              </w:rPr>
            </w:pPr>
            <w:r>
              <w:rPr>
                <w:rFonts w:hint="cs"/>
                <w:szCs w:val="28"/>
                <w:rtl/>
              </w:rPr>
              <w:t>مدينة كونمينغ/دائرة بانلونغ</w:t>
            </w:r>
          </w:p>
        </w:tc>
      </w:tr>
      <w:tr w:rsidR="00443EC1" w:rsidTr="00443EC1">
        <w:tblPrEx>
          <w:tblCellMar>
            <w:top w:w="0" w:type="dxa"/>
            <w:bottom w:w="0" w:type="dxa"/>
          </w:tblCellMar>
        </w:tblPrEx>
        <w:trPr>
          <w:jc w:val="center"/>
        </w:trPr>
        <w:tc>
          <w:tcPr>
            <w:tcW w:w="2043" w:type="dxa"/>
            <w:tcBorders>
              <w:top w:val="nil"/>
              <w:bottom w:val="nil"/>
            </w:tcBorders>
          </w:tcPr>
          <w:p w:rsidR="00443EC1" w:rsidRDefault="00443EC1">
            <w:pPr>
              <w:spacing w:before="0" w:line="320" w:lineRule="exact"/>
              <w:jc w:val="both"/>
              <w:rPr>
                <w:rFonts w:hint="cs"/>
                <w:szCs w:val="28"/>
              </w:rPr>
            </w:pPr>
            <w:r>
              <w:rPr>
                <w:rFonts w:hint="cs"/>
                <w:szCs w:val="28"/>
                <w:rtl/>
              </w:rPr>
              <w:t>شي آن</w:t>
            </w:r>
          </w:p>
        </w:tc>
        <w:tc>
          <w:tcPr>
            <w:tcW w:w="2841" w:type="dxa"/>
            <w:tcBorders>
              <w:top w:val="nil"/>
              <w:bottom w:val="nil"/>
            </w:tcBorders>
          </w:tcPr>
          <w:p w:rsidR="00443EC1" w:rsidRDefault="00443EC1">
            <w:pPr>
              <w:spacing w:before="0" w:line="320" w:lineRule="exact"/>
              <w:jc w:val="both"/>
              <w:rPr>
                <w:rFonts w:hint="cs"/>
                <w:szCs w:val="28"/>
              </w:rPr>
            </w:pPr>
            <w:r>
              <w:rPr>
                <w:rFonts w:hint="cs"/>
                <w:szCs w:val="28"/>
                <w:rtl/>
              </w:rPr>
              <w:t>مدينة شي آن/دائرة بيلين</w:t>
            </w:r>
          </w:p>
        </w:tc>
        <w:tc>
          <w:tcPr>
            <w:tcW w:w="2086" w:type="dxa"/>
            <w:tcBorders>
              <w:top w:val="nil"/>
              <w:bottom w:val="nil"/>
            </w:tcBorders>
          </w:tcPr>
          <w:p w:rsidR="00443EC1" w:rsidRDefault="00443EC1">
            <w:pPr>
              <w:spacing w:before="0" w:line="320" w:lineRule="exact"/>
              <w:jc w:val="both"/>
              <w:rPr>
                <w:rFonts w:hint="cs"/>
                <w:szCs w:val="28"/>
              </w:rPr>
            </w:pPr>
            <w:r>
              <w:rPr>
                <w:rFonts w:hint="cs"/>
                <w:szCs w:val="28"/>
                <w:rtl/>
              </w:rPr>
              <w:t>هوهيهاوته</w:t>
            </w:r>
          </w:p>
        </w:tc>
        <w:tc>
          <w:tcPr>
            <w:tcW w:w="2600" w:type="dxa"/>
            <w:tcBorders>
              <w:top w:val="nil"/>
              <w:bottom w:val="nil"/>
            </w:tcBorders>
          </w:tcPr>
          <w:p w:rsidR="00443EC1" w:rsidRDefault="00443EC1">
            <w:pPr>
              <w:spacing w:before="0" w:line="320" w:lineRule="exact"/>
              <w:jc w:val="both"/>
              <w:rPr>
                <w:rFonts w:hint="cs"/>
                <w:szCs w:val="28"/>
              </w:rPr>
            </w:pPr>
            <w:r>
              <w:rPr>
                <w:rFonts w:hint="cs"/>
                <w:szCs w:val="28"/>
                <w:rtl/>
              </w:rPr>
              <w:t>مدينة هوهيهاوته/دائرة هويمين</w:t>
            </w:r>
          </w:p>
        </w:tc>
      </w:tr>
      <w:tr w:rsidR="00443EC1" w:rsidTr="00443EC1">
        <w:tblPrEx>
          <w:tblCellMar>
            <w:top w:w="0" w:type="dxa"/>
            <w:bottom w:w="0" w:type="dxa"/>
          </w:tblCellMar>
        </w:tblPrEx>
        <w:trPr>
          <w:jc w:val="center"/>
        </w:trPr>
        <w:tc>
          <w:tcPr>
            <w:tcW w:w="2043" w:type="dxa"/>
            <w:tcBorders>
              <w:top w:val="nil"/>
              <w:bottom w:val="nil"/>
            </w:tcBorders>
          </w:tcPr>
          <w:p w:rsidR="00443EC1" w:rsidRDefault="00443EC1">
            <w:pPr>
              <w:spacing w:before="0" w:line="320" w:lineRule="exact"/>
              <w:jc w:val="both"/>
              <w:rPr>
                <w:rFonts w:hint="cs"/>
                <w:szCs w:val="28"/>
              </w:rPr>
            </w:pPr>
            <w:r>
              <w:rPr>
                <w:rFonts w:hint="cs"/>
                <w:szCs w:val="28"/>
                <w:rtl/>
              </w:rPr>
              <w:t>وولوموتشي</w:t>
            </w:r>
          </w:p>
        </w:tc>
        <w:tc>
          <w:tcPr>
            <w:tcW w:w="2841" w:type="dxa"/>
            <w:tcBorders>
              <w:top w:val="nil"/>
              <w:bottom w:val="nil"/>
            </w:tcBorders>
          </w:tcPr>
          <w:p w:rsidR="00443EC1" w:rsidRDefault="00443EC1">
            <w:pPr>
              <w:spacing w:before="0" w:line="320" w:lineRule="exact"/>
              <w:jc w:val="both"/>
              <w:rPr>
                <w:rFonts w:hint="cs"/>
                <w:szCs w:val="28"/>
              </w:rPr>
            </w:pPr>
            <w:r>
              <w:rPr>
                <w:rFonts w:hint="cs"/>
                <w:szCs w:val="28"/>
                <w:rtl/>
              </w:rPr>
              <w:t>مدينة وولوموتشي/دائرة تيانشان</w:t>
            </w:r>
          </w:p>
        </w:tc>
        <w:tc>
          <w:tcPr>
            <w:tcW w:w="2086" w:type="dxa"/>
            <w:tcBorders>
              <w:top w:val="nil"/>
              <w:bottom w:val="nil"/>
            </w:tcBorders>
          </w:tcPr>
          <w:p w:rsidR="00443EC1" w:rsidRDefault="00443EC1">
            <w:pPr>
              <w:spacing w:before="0" w:line="320" w:lineRule="exact"/>
              <w:jc w:val="both"/>
              <w:rPr>
                <w:rFonts w:hint="cs"/>
                <w:szCs w:val="28"/>
              </w:rPr>
            </w:pPr>
            <w:r>
              <w:rPr>
                <w:rFonts w:hint="cs"/>
                <w:szCs w:val="28"/>
                <w:rtl/>
              </w:rPr>
              <w:t>هيفاي</w:t>
            </w:r>
          </w:p>
        </w:tc>
        <w:tc>
          <w:tcPr>
            <w:tcW w:w="2600" w:type="dxa"/>
            <w:tcBorders>
              <w:top w:val="nil"/>
              <w:bottom w:val="nil"/>
            </w:tcBorders>
          </w:tcPr>
          <w:p w:rsidR="00443EC1" w:rsidRDefault="00443EC1">
            <w:pPr>
              <w:spacing w:before="0" w:line="320" w:lineRule="exact"/>
              <w:jc w:val="both"/>
              <w:rPr>
                <w:rFonts w:hint="cs"/>
                <w:szCs w:val="28"/>
              </w:rPr>
            </w:pPr>
            <w:r>
              <w:rPr>
                <w:rFonts w:hint="cs"/>
                <w:szCs w:val="28"/>
                <w:rtl/>
              </w:rPr>
              <w:t>مدينة هيفاي/دائرة جونغشي</w:t>
            </w:r>
          </w:p>
        </w:tc>
      </w:tr>
      <w:tr w:rsidR="00443EC1" w:rsidTr="00443EC1">
        <w:tblPrEx>
          <w:tblCellMar>
            <w:top w:w="0" w:type="dxa"/>
            <w:bottom w:w="0" w:type="dxa"/>
          </w:tblCellMar>
        </w:tblPrEx>
        <w:trPr>
          <w:jc w:val="center"/>
        </w:trPr>
        <w:tc>
          <w:tcPr>
            <w:tcW w:w="2043" w:type="dxa"/>
            <w:tcBorders>
              <w:top w:val="nil"/>
              <w:bottom w:val="nil"/>
            </w:tcBorders>
          </w:tcPr>
          <w:p w:rsidR="00443EC1" w:rsidRDefault="00443EC1">
            <w:pPr>
              <w:spacing w:before="0" w:line="320" w:lineRule="exact"/>
              <w:jc w:val="both"/>
              <w:rPr>
                <w:rFonts w:hint="cs"/>
                <w:szCs w:val="28"/>
              </w:rPr>
            </w:pPr>
            <w:r>
              <w:rPr>
                <w:rFonts w:hint="cs"/>
                <w:szCs w:val="28"/>
                <w:rtl/>
              </w:rPr>
              <w:t>ووهان</w:t>
            </w:r>
          </w:p>
        </w:tc>
        <w:tc>
          <w:tcPr>
            <w:tcW w:w="2841" w:type="dxa"/>
            <w:tcBorders>
              <w:top w:val="nil"/>
              <w:bottom w:val="nil"/>
            </w:tcBorders>
          </w:tcPr>
          <w:p w:rsidR="00443EC1" w:rsidRDefault="00443EC1">
            <w:pPr>
              <w:spacing w:before="0" w:line="320" w:lineRule="exact"/>
              <w:jc w:val="both"/>
              <w:rPr>
                <w:rFonts w:hint="cs"/>
                <w:szCs w:val="28"/>
              </w:rPr>
            </w:pPr>
            <w:r>
              <w:rPr>
                <w:rFonts w:hint="cs"/>
                <w:szCs w:val="28"/>
                <w:rtl/>
              </w:rPr>
              <w:t>مدينة ووهان/دائرة جيانغ آن</w:t>
            </w:r>
          </w:p>
        </w:tc>
        <w:tc>
          <w:tcPr>
            <w:tcW w:w="2086" w:type="dxa"/>
            <w:tcBorders>
              <w:top w:val="nil"/>
              <w:bottom w:val="nil"/>
            </w:tcBorders>
          </w:tcPr>
          <w:p w:rsidR="00443EC1" w:rsidRDefault="00443EC1">
            <w:pPr>
              <w:spacing w:before="0" w:line="320" w:lineRule="exact"/>
              <w:jc w:val="both"/>
              <w:rPr>
                <w:rFonts w:hint="cs"/>
                <w:szCs w:val="28"/>
              </w:rPr>
            </w:pPr>
            <w:r>
              <w:rPr>
                <w:rFonts w:hint="cs"/>
                <w:szCs w:val="28"/>
                <w:rtl/>
              </w:rPr>
              <w:t>هانغجو</w:t>
            </w:r>
          </w:p>
        </w:tc>
        <w:tc>
          <w:tcPr>
            <w:tcW w:w="2600" w:type="dxa"/>
            <w:tcBorders>
              <w:top w:val="nil"/>
              <w:bottom w:val="nil"/>
            </w:tcBorders>
          </w:tcPr>
          <w:p w:rsidR="00443EC1" w:rsidRDefault="00443EC1">
            <w:pPr>
              <w:spacing w:before="0" w:line="320" w:lineRule="exact"/>
              <w:jc w:val="both"/>
              <w:rPr>
                <w:rFonts w:hint="cs"/>
                <w:szCs w:val="28"/>
              </w:rPr>
            </w:pPr>
            <w:r>
              <w:rPr>
                <w:rFonts w:hint="cs"/>
                <w:szCs w:val="28"/>
                <w:rtl/>
              </w:rPr>
              <w:t>مدينة هانغجو/دائرة شياشنغ</w:t>
            </w:r>
          </w:p>
        </w:tc>
      </w:tr>
      <w:tr w:rsidR="00443EC1" w:rsidTr="00443EC1">
        <w:tblPrEx>
          <w:tblCellMar>
            <w:top w:w="0" w:type="dxa"/>
            <w:bottom w:w="0" w:type="dxa"/>
          </w:tblCellMar>
        </w:tblPrEx>
        <w:trPr>
          <w:jc w:val="center"/>
        </w:trPr>
        <w:tc>
          <w:tcPr>
            <w:tcW w:w="2043" w:type="dxa"/>
            <w:tcBorders>
              <w:top w:val="nil"/>
              <w:bottom w:val="nil"/>
            </w:tcBorders>
          </w:tcPr>
          <w:p w:rsidR="00443EC1" w:rsidRDefault="00443EC1">
            <w:pPr>
              <w:spacing w:before="0" w:line="320" w:lineRule="exact"/>
              <w:jc w:val="both"/>
              <w:rPr>
                <w:rFonts w:hint="cs"/>
                <w:szCs w:val="28"/>
              </w:rPr>
            </w:pPr>
            <w:r>
              <w:rPr>
                <w:rFonts w:hint="cs"/>
                <w:szCs w:val="28"/>
                <w:rtl/>
              </w:rPr>
              <w:t>تيانجين</w:t>
            </w:r>
          </w:p>
        </w:tc>
        <w:tc>
          <w:tcPr>
            <w:tcW w:w="2841" w:type="dxa"/>
            <w:tcBorders>
              <w:top w:val="nil"/>
              <w:bottom w:val="nil"/>
            </w:tcBorders>
          </w:tcPr>
          <w:p w:rsidR="00443EC1" w:rsidRDefault="00443EC1">
            <w:pPr>
              <w:spacing w:before="0" w:line="320" w:lineRule="exact"/>
              <w:jc w:val="both"/>
              <w:rPr>
                <w:rFonts w:hint="cs"/>
                <w:szCs w:val="28"/>
              </w:rPr>
            </w:pPr>
            <w:r>
              <w:rPr>
                <w:rFonts w:hint="cs"/>
                <w:szCs w:val="28"/>
                <w:rtl/>
              </w:rPr>
              <w:t>دائرة هيبينغ</w:t>
            </w:r>
          </w:p>
        </w:tc>
        <w:tc>
          <w:tcPr>
            <w:tcW w:w="2086" w:type="dxa"/>
            <w:tcBorders>
              <w:top w:val="nil"/>
              <w:bottom w:val="nil"/>
            </w:tcBorders>
          </w:tcPr>
          <w:p w:rsidR="00443EC1" w:rsidRDefault="00443EC1">
            <w:pPr>
              <w:spacing w:before="0" w:line="320" w:lineRule="exact"/>
              <w:jc w:val="both"/>
              <w:rPr>
                <w:rFonts w:hint="cs"/>
                <w:szCs w:val="28"/>
              </w:rPr>
            </w:pPr>
            <w:r>
              <w:rPr>
                <w:rFonts w:hint="cs"/>
                <w:szCs w:val="28"/>
                <w:rtl/>
              </w:rPr>
              <w:t>هايكو</w:t>
            </w:r>
          </w:p>
        </w:tc>
        <w:tc>
          <w:tcPr>
            <w:tcW w:w="2600" w:type="dxa"/>
            <w:tcBorders>
              <w:top w:val="nil"/>
              <w:bottom w:val="nil"/>
            </w:tcBorders>
          </w:tcPr>
          <w:p w:rsidR="00443EC1" w:rsidRDefault="00443EC1">
            <w:pPr>
              <w:spacing w:before="0" w:line="320" w:lineRule="exact"/>
              <w:jc w:val="both"/>
              <w:rPr>
                <w:rFonts w:hint="cs"/>
                <w:szCs w:val="28"/>
              </w:rPr>
            </w:pPr>
            <w:r>
              <w:rPr>
                <w:rFonts w:hint="cs"/>
                <w:szCs w:val="28"/>
                <w:rtl/>
              </w:rPr>
              <w:t>مدينة هايكو/دائرة بو آي</w:t>
            </w:r>
          </w:p>
        </w:tc>
      </w:tr>
      <w:tr w:rsidR="00443EC1" w:rsidTr="00443EC1">
        <w:tblPrEx>
          <w:tblCellMar>
            <w:top w:w="0" w:type="dxa"/>
            <w:bottom w:w="0" w:type="dxa"/>
          </w:tblCellMar>
        </w:tblPrEx>
        <w:trPr>
          <w:jc w:val="center"/>
        </w:trPr>
        <w:tc>
          <w:tcPr>
            <w:tcW w:w="2043" w:type="dxa"/>
            <w:tcBorders>
              <w:top w:val="nil"/>
              <w:bottom w:val="nil"/>
            </w:tcBorders>
          </w:tcPr>
          <w:p w:rsidR="00443EC1" w:rsidRDefault="00443EC1">
            <w:pPr>
              <w:spacing w:before="0" w:line="320" w:lineRule="exact"/>
              <w:jc w:val="both"/>
              <w:rPr>
                <w:rFonts w:hint="cs"/>
                <w:szCs w:val="28"/>
              </w:rPr>
            </w:pPr>
            <w:r>
              <w:rPr>
                <w:rFonts w:hint="cs"/>
                <w:szCs w:val="28"/>
                <w:rtl/>
              </w:rPr>
              <w:t>تاييوان</w:t>
            </w:r>
          </w:p>
        </w:tc>
        <w:tc>
          <w:tcPr>
            <w:tcW w:w="2841" w:type="dxa"/>
            <w:tcBorders>
              <w:top w:val="nil"/>
              <w:bottom w:val="nil"/>
            </w:tcBorders>
          </w:tcPr>
          <w:p w:rsidR="00443EC1" w:rsidRDefault="00443EC1">
            <w:pPr>
              <w:spacing w:before="0" w:line="320" w:lineRule="exact"/>
              <w:jc w:val="both"/>
              <w:rPr>
                <w:rFonts w:hint="cs"/>
                <w:szCs w:val="28"/>
              </w:rPr>
            </w:pPr>
            <w:r>
              <w:rPr>
                <w:rFonts w:hint="cs"/>
                <w:szCs w:val="28"/>
                <w:rtl/>
              </w:rPr>
              <w:t>مدينة تاييوان/دائرة بيشينغ</w:t>
            </w:r>
          </w:p>
        </w:tc>
        <w:tc>
          <w:tcPr>
            <w:tcW w:w="2086" w:type="dxa"/>
            <w:tcBorders>
              <w:top w:val="nil"/>
              <w:bottom w:val="nil"/>
            </w:tcBorders>
          </w:tcPr>
          <w:p w:rsidR="00443EC1" w:rsidRDefault="00443EC1">
            <w:pPr>
              <w:spacing w:before="0" w:line="320" w:lineRule="exact"/>
              <w:jc w:val="both"/>
              <w:rPr>
                <w:rFonts w:hint="cs"/>
                <w:szCs w:val="28"/>
              </w:rPr>
            </w:pPr>
            <w:r>
              <w:rPr>
                <w:rFonts w:hint="cs"/>
                <w:szCs w:val="28"/>
                <w:rtl/>
              </w:rPr>
              <w:t>هاربين</w:t>
            </w:r>
          </w:p>
        </w:tc>
        <w:tc>
          <w:tcPr>
            <w:tcW w:w="2600" w:type="dxa"/>
            <w:tcBorders>
              <w:top w:val="nil"/>
              <w:bottom w:val="nil"/>
            </w:tcBorders>
          </w:tcPr>
          <w:p w:rsidR="00443EC1" w:rsidRDefault="00443EC1">
            <w:pPr>
              <w:spacing w:before="0" w:line="320" w:lineRule="exact"/>
              <w:jc w:val="both"/>
              <w:rPr>
                <w:rFonts w:hint="cs"/>
                <w:szCs w:val="28"/>
              </w:rPr>
            </w:pPr>
            <w:r>
              <w:rPr>
                <w:rFonts w:hint="cs"/>
                <w:szCs w:val="28"/>
                <w:rtl/>
              </w:rPr>
              <w:t>مدينة هاربين/دائرة نانغانغ</w:t>
            </w:r>
          </w:p>
        </w:tc>
      </w:tr>
      <w:tr w:rsidR="00443EC1" w:rsidTr="00443EC1">
        <w:tblPrEx>
          <w:tblCellMar>
            <w:top w:w="0" w:type="dxa"/>
            <w:bottom w:w="0" w:type="dxa"/>
          </w:tblCellMar>
        </w:tblPrEx>
        <w:trPr>
          <w:jc w:val="center"/>
        </w:trPr>
        <w:tc>
          <w:tcPr>
            <w:tcW w:w="2043" w:type="dxa"/>
            <w:tcBorders>
              <w:top w:val="nil"/>
              <w:bottom w:val="nil"/>
            </w:tcBorders>
          </w:tcPr>
          <w:p w:rsidR="00443EC1" w:rsidRDefault="00443EC1">
            <w:pPr>
              <w:spacing w:before="0" w:line="320" w:lineRule="exact"/>
              <w:jc w:val="both"/>
              <w:rPr>
                <w:rFonts w:hint="cs"/>
                <w:szCs w:val="28"/>
              </w:rPr>
            </w:pPr>
            <w:r>
              <w:rPr>
                <w:rFonts w:hint="cs"/>
                <w:szCs w:val="28"/>
                <w:rtl/>
              </w:rPr>
              <w:t>شيجياجوانغ</w:t>
            </w:r>
          </w:p>
        </w:tc>
        <w:tc>
          <w:tcPr>
            <w:tcW w:w="2841" w:type="dxa"/>
            <w:tcBorders>
              <w:top w:val="nil"/>
              <w:bottom w:val="nil"/>
            </w:tcBorders>
          </w:tcPr>
          <w:p w:rsidR="00443EC1" w:rsidRDefault="00443EC1">
            <w:pPr>
              <w:spacing w:before="0" w:line="320" w:lineRule="exact"/>
              <w:jc w:val="both"/>
              <w:rPr>
                <w:rFonts w:hint="cs"/>
                <w:szCs w:val="28"/>
              </w:rPr>
            </w:pPr>
            <w:r>
              <w:rPr>
                <w:rFonts w:hint="cs"/>
                <w:szCs w:val="28"/>
                <w:rtl/>
              </w:rPr>
              <w:t>مدينة شيجياجوانغ/دائرة شانغ آن</w:t>
            </w:r>
          </w:p>
        </w:tc>
        <w:tc>
          <w:tcPr>
            <w:tcW w:w="2086" w:type="dxa"/>
            <w:tcBorders>
              <w:top w:val="nil"/>
              <w:bottom w:val="nil"/>
            </w:tcBorders>
          </w:tcPr>
          <w:p w:rsidR="00443EC1" w:rsidRDefault="00443EC1">
            <w:pPr>
              <w:spacing w:before="0" w:line="320" w:lineRule="exact"/>
              <w:jc w:val="both"/>
              <w:rPr>
                <w:rFonts w:hint="cs"/>
                <w:szCs w:val="28"/>
              </w:rPr>
            </w:pPr>
            <w:r>
              <w:rPr>
                <w:rFonts w:hint="cs"/>
                <w:szCs w:val="28"/>
                <w:rtl/>
              </w:rPr>
              <w:t>غويانغ</w:t>
            </w:r>
          </w:p>
        </w:tc>
        <w:tc>
          <w:tcPr>
            <w:tcW w:w="2600" w:type="dxa"/>
            <w:tcBorders>
              <w:top w:val="nil"/>
              <w:bottom w:val="nil"/>
            </w:tcBorders>
          </w:tcPr>
          <w:p w:rsidR="00443EC1" w:rsidRDefault="00443EC1">
            <w:pPr>
              <w:spacing w:before="0" w:line="320" w:lineRule="exact"/>
              <w:jc w:val="both"/>
              <w:rPr>
                <w:rFonts w:hint="cs"/>
                <w:szCs w:val="28"/>
              </w:rPr>
            </w:pPr>
            <w:r>
              <w:rPr>
                <w:rFonts w:hint="cs"/>
                <w:szCs w:val="28"/>
                <w:rtl/>
              </w:rPr>
              <w:t>مدينة غويانغ/دائرة نانمينغ</w:t>
            </w:r>
          </w:p>
        </w:tc>
      </w:tr>
      <w:tr w:rsidR="00443EC1" w:rsidTr="00443EC1">
        <w:tblPrEx>
          <w:tblCellMar>
            <w:top w:w="0" w:type="dxa"/>
            <w:bottom w:w="0" w:type="dxa"/>
          </w:tblCellMar>
        </w:tblPrEx>
        <w:trPr>
          <w:jc w:val="center"/>
        </w:trPr>
        <w:tc>
          <w:tcPr>
            <w:tcW w:w="2043" w:type="dxa"/>
            <w:tcBorders>
              <w:top w:val="nil"/>
              <w:bottom w:val="nil"/>
            </w:tcBorders>
          </w:tcPr>
          <w:p w:rsidR="00443EC1" w:rsidRDefault="00443EC1">
            <w:pPr>
              <w:spacing w:before="0" w:line="320" w:lineRule="exact"/>
              <w:jc w:val="both"/>
              <w:rPr>
                <w:rFonts w:hint="cs"/>
                <w:szCs w:val="28"/>
              </w:rPr>
            </w:pPr>
            <w:r>
              <w:rPr>
                <w:rFonts w:hint="cs"/>
                <w:szCs w:val="28"/>
                <w:rtl/>
              </w:rPr>
              <w:t>شانغهاي</w:t>
            </w:r>
          </w:p>
        </w:tc>
        <w:tc>
          <w:tcPr>
            <w:tcW w:w="2841" w:type="dxa"/>
            <w:tcBorders>
              <w:top w:val="nil"/>
              <w:bottom w:val="nil"/>
            </w:tcBorders>
          </w:tcPr>
          <w:p w:rsidR="00443EC1" w:rsidRDefault="00443EC1">
            <w:pPr>
              <w:spacing w:before="0" w:line="320" w:lineRule="exact"/>
              <w:jc w:val="both"/>
              <w:rPr>
                <w:rFonts w:hint="cs"/>
                <w:szCs w:val="28"/>
              </w:rPr>
            </w:pPr>
            <w:r>
              <w:rPr>
                <w:rFonts w:hint="cs"/>
                <w:szCs w:val="28"/>
                <w:rtl/>
              </w:rPr>
              <w:t>دائرة لووان</w:t>
            </w:r>
          </w:p>
        </w:tc>
        <w:tc>
          <w:tcPr>
            <w:tcW w:w="2086" w:type="dxa"/>
            <w:tcBorders>
              <w:top w:val="nil"/>
              <w:bottom w:val="nil"/>
            </w:tcBorders>
          </w:tcPr>
          <w:p w:rsidR="00443EC1" w:rsidRDefault="00443EC1">
            <w:pPr>
              <w:spacing w:before="0" w:line="320" w:lineRule="exact"/>
              <w:jc w:val="both"/>
              <w:rPr>
                <w:rFonts w:hint="cs"/>
                <w:szCs w:val="28"/>
              </w:rPr>
            </w:pPr>
            <w:r>
              <w:rPr>
                <w:rFonts w:hint="cs"/>
                <w:szCs w:val="28"/>
                <w:rtl/>
              </w:rPr>
              <w:t>غوانغجو</w:t>
            </w:r>
          </w:p>
        </w:tc>
        <w:tc>
          <w:tcPr>
            <w:tcW w:w="2600" w:type="dxa"/>
            <w:tcBorders>
              <w:top w:val="nil"/>
              <w:bottom w:val="nil"/>
            </w:tcBorders>
          </w:tcPr>
          <w:p w:rsidR="00443EC1" w:rsidRDefault="00443EC1">
            <w:pPr>
              <w:spacing w:before="0" w:line="320" w:lineRule="exact"/>
              <w:jc w:val="both"/>
              <w:rPr>
                <w:rFonts w:hint="cs"/>
                <w:szCs w:val="28"/>
              </w:rPr>
            </w:pPr>
            <w:r>
              <w:rPr>
                <w:rFonts w:hint="cs"/>
                <w:szCs w:val="28"/>
                <w:rtl/>
              </w:rPr>
              <w:t>مدينة غوانغجو/دائرة يويشيو</w:t>
            </w:r>
          </w:p>
        </w:tc>
      </w:tr>
      <w:tr w:rsidR="00443EC1" w:rsidTr="00443EC1">
        <w:tblPrEx>
          <w:tblCellMar>
            <w:top w:w="0" w:type="dxa"/>
            <w:bottom w:w="0" w:type="dxa"/>
          </w:tblCellMar>
        </w:tblPrEx>
        <w:trPr>
          <w:jc w:val="center"/>
        </w:trPr>
        <w:tc>
          <w:tcPr>
            <w:tcW w:w="2043" w:type="dxa"/>
            <w:tcBorders>
              <w:top w:val="nil"/>
              <w:bottom w:val="nil"/>
            </w:tcBorders>
          </w:tcPr>
          <w:p w:rsidR="00443EC1" w:rsidRDefault="00443EC1">
            <w:pPr>
              <w:spacing w:before="0" w:line="320" w:lineRule="exact"/>
              <w:jc w:val="both"/>
              <w:rPr>
                <w:rFonts w:hint="cs"/>
                <w:szCs w:val="28"/>
              </w:rPr>
            </w:pPr>
            <w:r>
              <w:rPr>
                <w:rFonts w:hint="cs"/>
                <w:szCs w:val="28"/>
                <w:rtl/>
              </w:rPr>
              <w:t>نانينغ</w:t>
            </w:r>
          </w:p>
        </w:tc>
        <w:tc>
          <w:tcPr>
            <w:tcW w:w="2841" w:type="dxa"/>
            <w:tcBorders>
              <w:top w:val="nil"/>
              <w:bottom w:val="nil"/>
            </w:tcBorders>
          </w:tcPr>
          <w:p w:rsidR="00443EC1" w:rsidRDefault="00443EC1">
            <w:pPr>
              <w:spacing w:before="0" w:line="320" w:lineRule="exact"/>
              <w:jc w:val="both"/>
              <w:rPr>
                <w:rFonts w:hint="cs"/>
                <w:szCs w:val="28"/>
              </w:rPr>
            </w:pPr>
            <w:r>
              <w:rPr>
                <w:rFonts w:hint="cs"/>
                <w:szCs w:val="28"/>
                <w:rtl/>
              </w:rPr>
              <w:t>مدينة نانينغ</w:t>
            </w:r>
          </w:p>
        </w:tc>
        <w:tc>
          <w:tcPr>
            <w:tcW w:w="2086" w:type="dxa"/>
            <w:tcBorders>
              <w:top w:val="nil"/>
              <w:bottom w:val="nil"/>
            </w:tcBorders>
          </w:tcPr>
          <w:p w:rsidR="00443EC1" w:rsidRDefault="00443EC1">
            <w:pPr>
              <w:spacing w:before="0" w:line="320" w:lineRule="exact"/>
              <w:jc w:val="both"/>
              <w:rPr>
                <w:rFonts w:hint="cs"/>
                <w:szCs w:val="28"/>
              </w:rPr>
            </w:pPr>
            <w:r>
              <w:rPr>
                <w:rFonts w:hint="cs"/>
                <w:szCs w:val="28"/>
                <w:rtl/>
              </w:rPr>
              <w:t>فوجو</w:t>
            </w:r>
          </w:p>
        </w:tc>
        <w:tc>
          <w:tcPr>
            <w:tcW w:w="2600" w:type="dxa"/>
            <w:tcBorders>
              <w:top w:val="nil"/>
              <w:bottom w:val="nil"/>
            </w:tcBorders>
          </w:tcPr>
          <w:p w:rsidR="00443EC1" w:rsidRDefault="00443EC1">
            <w:pPr>
              <w:spacing w:before="0" w:line="320" w:lineRule="exact"/>
              <w:jc w:val="both"/>
              <w:rPr>
                <w:rFonts w:hint="cs"/>
                <w:szCs w:val="28"/>
              </w:rPr>
            </w:pPr>
            <w:r>
              <w:rPr>
                <w:rFonts w:hint="cs"/>
                <w:szCs w:val="28"/>
                <w:rtl/>
              </w:rPr>
              <w:t>مدينة فوجو/دائرة سانغشان</w:t>
            </w:r>
          </w:p>
        </w:tc>
      </w:tr>
      <w:tr w:rsidR="00443EC1" w:rsidTr="00443EC1">
        <w:tblPrEx>
          <w:tblCellMar>
            <w:top w:w="0" w:type="dxa"/>
            <w:bottom w:w="0" w:type="dxa"/>
          </w:tblCellMar>
        </w:tblPrEx>
        <w:trPr>
          <w:jc w:val="center"/>
        </w:trPr>
        <w:tc>
          <w:tcPr>
            <w:tcW w:w="2043" w:type="dxa"/>
            <w:tcBorders>
              <w:top w:val="nil"/>
              <w:bottom w:val="nil"/>
            </w:tcBorders>
          </w:tcPr>
          <w:p w:rsidR="00443EC1" w:rsidRDefault="00443EC1">
            <w:pPr>
              <w:spacing w:before="0" w:line="320" w:lineRule="exact"/>
              <w:jc w:val="both"/>
              <w:rPr>
                <w:rFonts w:hint="cs"/>
                <w:szCs w:val="28"/>
              </w:rPr>
            </w:pPr>
            <w:r>
              <w:rPr>
                <w:rFonts w:hint="cs"/>
                <w:szCs w:val="28"/>
                <w:rtl/>
              </w:rPr>
              <w:t>نانجينغ</w:t>
            </w:r>
          </w:p>
        </w:tc>
        <w:tc>
          <w:tcPr>
            <w:tcW w:w="2841" w:type="dxa"/>
            <w:tcBorders>
              <w:top w:val="nil"/>
              <w:bottom w:val="nil"/>
            </w:tcBorders>
          </w:tcPr>
          <w:p w:rsidR="00443EC1" w:rsidRDefault="00443EC1">
            <w:pPr>
              <w:spacing w:before="0" w:line="320" w:lineRule="exact"/>
              <w:jc w:val="both"/>
              <w:rPr>
                <w:rFonts w:hint="cs"/>
                <w:szCs w:val="28"/>
              </w:rPr>
            </w:pPr>
            <w:r>
              <w:rPr>
                <w:rFonts w:hint="cs"/>
                <w:szCs w:val="28"/>
                <w:rtl/>
              </w:rPr>
              <w:t>مدينة نانجينغ/دائرة شوانوو</w:t>
            </w:r>
          </w:p>
        </w:tc>
        <w:tc>
          <w:tcPr>
            <w:tcW w:w="2086" w:type="dxa"/>
            <w:tcBorders>
              <w:top w:val="nil"/>
              <w:bottom w:val="nil"/>
            </w:tcBorders>
          </w:tcPr>
          <w:p w:rsidR="00443EC1" w:rsidRDefault="00443EC1">
            <w:pPr>
              <w:spacing w:before="0" w:line="320" w:lineRule="exact"/>
              <w:jc w:val="both"/>
              <w:rPr>
                <w:rFonts w:hint="cs"/>
                <w:szCs w:val="28"/>
              </w:rPr>
            </w:pPr>
            <w:r>
              <w:rPr>
                <w:rFonts w:hint="cs"/>
                <w:szCs w:val="28"/>
                <w:rtl/>
              </w:rPr>
              <w:t>شينغدو</w:t>
            </w:r>
          </w:p>
        </w:tc>
        <w:tc>
          <w:tcPr>
            <w:tcW w:w="2600" w:type="dxa"/>
            <w:tcBorders>
              <w:top w:val="nil"/>
              <w:bottom w:val="nil"/>
            </w:tcBorders>
          </w:tcPr>
          <w:p w:rsidR="00443EC1" w:rsidRDefault="00443EC1">
            <w:pPr>
              <w:spacing w:before="0" w:line="320" w:lineRule="exact"/>
              <w:jc w:val="both"/>
              <w:rPr>
                <w:rFonts w:hint="cs"/>
                <w:szCs w:val="28"/>
              </w:rPr>
            </w:pPr>
            <w:r>
              <w:rPr>
                <w:rFonts w:hint="cs"/>
                <w:szCs w:val="28"/>
                <w:rtl/>
              </w:rPr>
              <w:t>مدينة شينغدو/دائرة تشينغيانغ</w:t>
            </w:r>
          </w:p>
        </w:tc>
      </w:tr>
      <w:tr w:rsidR="00443EC1" w:rsidTr="00443EC1">
        <w:tblPrEx>
          <w:tblCellMar>
            <w:top w:w="0" w:type="dxa"/>
            <w:bottom w:w="0" w:type="dxa"/>
          </w:tblCellMar>
        </w:tblPrEx>
        <w:trPr>
          <w:jc w:val="center"/>
        </w:trPr>
        <w:tc>
          <w:tcPr>
            <w:tcW w:w="2043" w:type="dxa"/>
            <w:tcBorders>
              <w:top w:val="nil"/>
              <w:bottom w:val="nil"/>
            </w:tcBorders>
          </w:tcPr>
          <w:p w:rsidR="00443EC1" w:rsidRDefault="00443EC1">
            <w:pPr>
              <w:spacing w:before="0" w:line="320" w:lineRule="exact"/>
              <w:jc w:val="both"/>
              <w:rPr>
                <w:rFonts w:hint="cs"/>
                <w:szCs w:val="28"/>
              </w:rPr>
            </w:pPr>
            <w:r>
              <w:rPr>
                <w:rFonts w:hint="cs"/>
                <w:szCs w:val="28"/>
                <w:rtl/>
              </w:rPr>
              <w:t>نانتشانغ</w:t>
            </w:r>
          </w:p>
        </w:tc>
        <w:tc>
          <w:tcPr>
            <w:tcW w:w="2841" w:type="dxa"/>
            <w:tcBorders>
              <w:top w:val="nil"/>
              <w:bottom w:val="nil"/>
            </w:tcBorders>
          </w:tcPr>
          <w:p w:rsidR="00443EC1" w:rsidRDefault="00443EC1">
            <w:pPr>
              <w:spacing w:before="0" w:line="320" w:lineRule="exact"/>
              <w:jc w:val="both"/>
              <w:rPr>
                <w:rFonts w:hint="cs"/>
                <w:szCs w:val="28"/>
              </w:rPr>
            </w:pPr>
            <w:r>
              <w:rPr>
                <w:rFonts w:hint="cs"/>
                <w:szCs w:val="28"/>
                <w:rtl/>
              </w:rPr>
              <w:t>مدينة نانتشانغ/دائرة دونغهو</w:t>
            </w:r>
          </w:p>
        </w:tc>
        <w:tc>
          <w:tcPr>
            <w:tcW w:w="2086" w:type="dxa"/>
            <w:tcBorders>
              <w:top w:val="nil"/>
              <w:bottom w:val="nil"/>
            </w:tcBorders>
          </w:tcPr>
          <w:p w:rsidR="00443EC1" w:rsidRDefault="00443EC1">
            <w:pPr>
              <w:spacing w:before="0" w:line="320" w:lineRule="exact"/>
              <w:jc w:val="both"/>
              <w:rPr>
                <w:rFonts w:hint="cs"/>
                <w:szCs w:val="28"/>
              </w:rPr>
            </w:pPr>
            <w:r>
              <w:rPr>
                <w:rFonts w:hint="cs"/>
                <w:szCs w:val="28"/>
                <w:rtl/>
              </w:rPr>
              <w:t>تشانغشا</w:t>
            </w:r>
          </w:p>
        </w:tc>
        <w:tc>
          <w:tcPr>
            <w:tcW w:w="2600" w:type="dxa"/>
            <w:tcBorders>
              <w:top w:val="nil"/>
              <w:bottom w:val="nil"/>
            </w:tcBorders>
          </w:tcPr>
          <w:p w:rsidR="00443EC1" w:rsidRDefault="00443EC1">
            <w:pPr>
              <w:spacing w:before="0" w:line="320" w:lineRule="exact"/>
              <w:jc w:val="both"/>
              <w:rPr>
                <w:rFonts w:hint="cs"/>
                <w:szCs w:val="28"/>
              </w:rPr>
            </w:pPr>
            <w:r>
              <w:rPr>
                <w:rFonts w:hint="cs"/>
                <w:szCs w:val="28"/>
                <w:rtl/>
              </w:rPr>
              <w:t>مدينة تشانغشا/الدائرة الشرقية</w:t>
            </w:r>
          </w:p>
        </w:tc>
      </w:tr>
      <w:tr w:rsidR="00443EC1" w:rsidTr="00443EC1">
        <w:tblPrEx>
          <w:tblCellMar>
            <w:top w:w="0" w:type="dxa"/>
            <w:bottom w:w="0" w:type="dxa"/>
          </w:tblCellMar>
        </w:tblPrEx>
        <w:trPr>
          <w:jc w:val="center"/>
        </w:trPr>
        <w:tc>
          <w:tcPr>
            <w:tcW w:w="2043" w:type="dxa"/>
            <w:tcBorders>
              <w:top w:val="nil"/>
            </w:tcBorders>
          </w:tcPr>
          <w:p w:rsidR="00443EC1" w:rsidRDefault="00443EC1">
            <w:pPr>
              <w:spacing w:before="0" w:line="320" w:lineRule="exact"/>
              <w:jc w:val="both"/>
              <w:rPr>
                <w:rFonts w:hint="cs"/>
                <w:szCs w:val="28"/>
              </w:rPr>
            </w:pPr>
            <w:r>
              <w:rPr>
                <w:rFonts w:hint="cs"/>
                <w:szCs w:val="28"/>
                <w:rtl/>
              </w:rPr>
              <w:t>بيجينغ</w:t>
            </w:r>
          </w:p>
        </w:tc>
        <w:tc>
          <w:tcPr>
            <w:tcW w:w="2841" w:type="dxa"/>
            <w:tcBorders>
              <w:top w:val="nil"/>
            </w:tcBorders>
          </w:tcPr>
          <w:p w:rsidR="00443EC1" w:rsidRDefault="00443EC1">
            <w:pPr>
              <w:spacing w:before="0" w:line="320" w:lineRule="exact"/>
              <w:jc w:val="both"/>
              <w:rPr>
                <w:rFonts w:hint="cs"/>
                <w:szCs w:val="28"/>
              </w:rPr>
            </w:pPr>
            <w:r>
              <w:rPr>
                <w:rFonts w:hint="cs"/>
                <w:szCs w:val="28"/>
                <w:rtl/>
              </w:rPr>
              <w:t>دائرة دونغشينغ</w:t>
            </w:r>
          </w:p>
        </w:tc>
        <w:tc>
          <w:tcPr>
            <w:tcW w:w="2086" w:type="dxa"/>
            <w:tcBorders>
              <w:top w:val="nil"/>
            </w:tcBorders>
          </w:tcPr>
          <w:p w:rsidR="00443EC1" w:rsidRDefault="00443EC1">
            <w:pPr>
              <w:spacing w:before="0" w:line="320" w:lineRule="exact"/>
              <w:jc w:val="both"/>
              <w:rPr>
                <w:rFonts w:hint="cs"/>
                <w:szCs w:val="28"/>
              </w:rPr>
            </w:pPr>
            <w:r>
              <w:rPr>
                <w:rFonts w:hint="cs"/>
                <w:szCs w:val="28"/>
                <w:rtl/>
              </w:rPr>
              <w:t>شانغشون</w:t>
            </w:r>
          </w:p>
        </w:tc>
        <w:tc>
          <w:tcPr>
            <w:tcW w:w="2600" w:type="dxa"/>
            <w:tcBorders>
              <w:top w:val="nil"/>
            </w:tcBorders>
          </w:tcPr>
          <w:p w:rsidR="00443EC1" w:rsidRDefault="00443EC1">
            <w:pPr>
              <w:spacing w:before="0" w:line="320" w:lineRule="exact"/>
              <w:jc w:val="both"/>
              <w:rPr>
                <w:rFonts w:hint="cs"/>
                <w:szCs w:val="28"/>
              </w:rPr>
            </w:pPr>
            <w:r>
              <w:rPr>
                <w:rFonts w:hint="cs"/>
                <w:szCs w:val="28"/>
                <w:rtl/>
              </w:rPr>
              <w:t>مدينة شانغشون/دائرة نانغوان</w:t>
            </w:r>
          </w:p>
        </w:tc>
      </w:tr>
    </w:tbl>
    <w:p w:rsidR="00000000" w:rsidRDefault="00443EC1">
      <w:pPr>
        <w:spacing w:before="120"/>
        <w:jc w:val="both"/>
        <w:rPr>
          <w:sz w:val="26"/>
          <w:szCs w:val="28"/>
          <w:rtl/>
        </w:rPr>
      </w:pPr>
      <w:r>
        <w:rPr>
          <w:rFonts w:hint="cs"/>
          <w:sz w:val="26"/>
          <w:szCs w:val="28"/>
          <w:rtl/>
        </w:rPr>
        <w:tab/>
      </w:r>
      <w:r>
        <w:rPr>
          <w:rFonts w:hint="cs"/>
          <w:i/>
          <w:iCs/>
          <w:sz w:val="26"/>
          <w:szCs w:val="28"/>
          <w:rtl/>
        </w:rPr>
        <w:t>المصدر</w:t>
      </w:r>
      <w:r>
        <w:rPr>
          <w:rFonts w:hint="cs"/>
          <w:sz w:val="26"/>
          <w:szCs w:val="28"/>
          <w:rtl/>
        </w:rPr>
        <w:t>:</w:t>
      </w:r>
      <w:r>
        <w:rPr>
          <w:rFonts w:hint="cs"/>
          <w:sz w:val="26"/>
          <w:szCs w:val="28"/>
          <w:rtl/>
        </w:rPr>
        <w:tab/>
        <w:t>و</w:t>
      </w:r>
      <w:r>
        <w:rPr>
          <w:rFonts w:hint="cs"/>
          <w:sz w:val="26"/>
          <w:szCs w:val="28"/>
          <w:rtl/>
        </w:rPr>
        <w:t>زارة الصحة.</w:t>
      </w:r>
    </w:p>
    <w:p w:rsidR="00000000" w:rsidRDefault="00443EC1">
      <w:pPr>
        <w:spacing w:before="120" w:after="120"/>
        <w:jc w:val="center"/>
        <w:rPr>
          <w:rFonts w:hint="cs"/>
          <w:b/>
          <w:bCs/>
          <w:sz w:val="24"/>
          <w:szCs w:val="32"/>
          <w:rtl/>
        </w:rPr>
      </w:pPr>
      <w:r>
        <w:rPr>
          <w:sz w:val="24"/>
          <w:szCs w:val="26"/>
        </w:rPr>
        <w:br w:type="page"/>
      </w:r>
      <w:r>
        <w:rPr>
          <w:rFonts w:hint="cs"/>
          <w:b/>
          <w:bCs/>
          <w:sz w:val="24"/>
          <w:szCs w:val="32"/>
          <w:rtl/>
        </w:rPr>
        <w:t>الرسوم البيانية</w:t>
      </w:r>
    </w:p>
    <w:p w:rsidR="00000000" w:rsidRDefault="00443EC1">
      <w:pPr>
        <w:spacing w:before="120" w:after="120"/>
        <w:jc w:val="both"/>
        <w:rPr>
          <w:rFonts w:hint="cs"/>
          <w:sz w:val="24"/>
          <w:szCs w:val="26"/>
          <w:rtl/>
        </w:rPr>
      </w:pPr>
      <w:r>
        <w:rPr>
          <w:sz w:val="24"/>
          <w:szCs w:val="26"/>
          <w:rtl/>
        </w:rPr>
        <w:fldChar w:fldCharType="begin"/>
      </w:r>
      <w:r>
        <w:rPr>
          <w:sz w:val="24"/>
          <w:szCs w:val="26"/>
          <w:rtl/>
        </w:rPr>
        <w:instrText xml:space="preserve"> </w:instrText>
      </w:r>
      <w:r>
        <w:rPr>
          <w:sz w:val="24"/>
          <w:szCs w:val="26"/>
        </w:rPr>
        <w:instrText>LINK Word.Document.8 "\\\\TPS_ACR\\ARA\\DATA\\COMMON\\EmailDocs\\0440654\\E1990.5.Add59(withoutHK).doc" "OLE_LINK3" \a \h</w:instrText>
      </w:r>
      <w:r>
        <w:rPr>
          <w:sz w:val="24"/>
          <w:szCs w:val="26"/>
          <w:rtl/>
        </w:rPr>
        <w:instrText xml:space="preserve"> </w:instrText>
      </w:r>
      <w:r>
        <w:rPr>
          <w:rFonts w:cs="Times New Roman"/>
          <w:spacing w:val="0"/>
          <w:kern w:val="0"/>
          <w:sz w:val="20"/>
          <w:szCs w:val="20"/>
          <w:lang w:val="ar-SA"/>
        </w:rPr>
        <w:fldChar w:fldCharType="separate"/>
      </w:r>
      <w:r>
        <w:object w:dxaOrig="8700" w:dyaOrig="34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5pt;height:173.25pt" o:ole="">
            <v:imagedata r:id="rId7" o:title=""/>
          </v:shape>
          <o:OLEObject Type="Embed" ProgID="MSGraph.Chart.8" ShapeID="_x0000_i1025" DrawAspect="Content" ObjectID="_1394880500" r:id="rId8"/>
        </w:object>
      </w:r>
      <w:r>
        <w:rPr>
          <w:sz w:val="24"/>
          <w:szCs w:val="26"/>
          <w:rtl/>
        </w:rPr>
        <w:fldChar w:fldCharType="end"/>
      </w:r>
    </w:p>
    <w:p w:rsidR="00000000" w:rsidRDefault="00443EC1">
      <w:pPr>
        <w:spacing w:before="120" w:after="120"/>
        <w:jc w:val="both"/>
        <w:rPr>
          <w:rFonts w:hint="cs"/>
          <w:sz w:val="32"/>
          <w:rtl/>
        </w:rPr>
      </w:pPr>
      <w:r>
        <w:rPr>
          <w:rFonts w:hint="cs"/>
          <w:sz w:val="32"/>
          <w:rtl/>
        </w:rPr>
        <w:t>الرسم البياني 1: المباني السكنية الجديدة في المدن والبلدات على الصعيد الو</w:t>
      </w:r>
      <w:r>
        <w:rPr>
          <w:rFonts w:hint="cs"/>
          <w:sz w:val="32"/>
          <w:rtl/>
        </w:rPr>
        <w:t>طني، 1990-2001. الأرقام المدرجة على يسار الرسم معبّر عنها بعشرات آلاف الأمتار المربعة. (× 000 10)</w:t>
      </w:r>
    </w:p>
    <w:p w:rsidR="00000000" w:rsidRDefault="00443EC1">
      <w:pPr>
        <w:spacing w:before="120" w:after="120"/>
        <w:jc w:val="both"/>
        <w:rPr>
          <w:rFonts w:hint="cs"/>
          <w:sz w:val="30"/>
          <w:szCs w:val="28"/>
          <w:rtl/>
        </w:rPr>
      </w:pPr>
    </w:p>
    <w:p w:rsidR="00000000" w:rsidRDefault="00443EC1">
      <w:pPr>
        <w:spacing w:before="120" w:after="120"/>
        <w:jc w:val="both"/>
        <w:rPr>
          <w:rFonts w:hint="cs"/>
          <w:sz w:val="24"/>
          <w:szCs w:val="26"/>
          <w:rtl/>
        </w:rPr>
      </w:pPr>
      <w:r>
        <w:rPr>
          <w:sz w:val="24"/>
          <w:szCs w:val="26"/>
        </w:rPr>
        <w:fldChar w:fldCharType="begin"/>
      </w:r>
      <w:r>
        <w:rPr>
          <w:sz w:val="24"/>
          <w:szCs w:val="26"/>
        </w:rPr>
        <w:instrText xml:space="preserve"> LINK Word.Document.8 "\\\\TPS_ACR\\ARA\\DATA\\COMMON\\EmailDocs\\0440654\\E1990.5.Add59(withoutHK).doc" "OLE_LINK4" \a \h </w:instrText>
      </w:r>
      <w:r>
        <w:rPr>
          <w:rFonts w:cs="Times New Roman"/>
          <w:spacing w:val="0"/>
          <w:kern w:val="0"/>
          <w:sz w:val="20"/>
          <w:szCs w:val="20"/>
          <w:lang w:val="ar-SA"/>
        </w:rPr>
        <w:fldChar w:fldCharType="separate"/>
      </w:r>
      <w:r>
        <w:object w:dxaOrig="8294" w:dyaOrig="3300">
          <v:shape id="_x0000_i1026" type="#_x0000_t75" style="width:414pt;height:165pt" o:ole="">
            <v:imagedata r:id="rId9" o:title=""/>
          </v:shape>
          <o:OLEObject Type="Embed" ProgID="MSGraph.Chart.8" ShapeID="_x0000_i1026" DrawAspect="Content" ObjectID="_1394880501" r:id="rId10"/>
        </w:object>
      </w:r>
      <w:r>
        <w:rPr>
          <w:sz w:val="24"/>
          <w:szCs w:val="26"/>
        </w:rPr>
        <w:fldChar w:fldCharType="end"/>
      </w:r>
    </w:p>
    <w:p w:rsidR="00000000" w:rsidRDefault="00443EC1">
      <w:pPr>
        <w:spacing w:before="0" w:after="120"/>
        <w:jc w:val="both"/>
        <w:rPr>
          <w:rFonts w:hint="cs"/>
          <w:sz w:val="32"/>
          <w:rtl/>
        </w:rPr>
      </w:pPr>
    </w:p>
    <w:p w:rsidR="00000000" w:rsidRDefault="00443EC1">
      <w:pPr>
        <w:spacing w:before="120" w:after="120"/>
        <w:jc w:val="both"/>
        <w:rPr>
          <w:rFonts w:hint="cs"/>
          <w:sz w:val="32"/>
          <w:rtl/>
        </w:rPr>
      </w:pPr>
      <w:r>
        <w:rPr>
          <w:rFonts w:hint="cs"/>
          <w:sz w:val="32"/>
          <w:rtl/>
        </w:rPr>
        <w:t>ال</w:t>
      </w:r>
      <w:r>
        <w:rPr>
          <w:rFonts w:hint="cs"/>
          <w:sz w:val="32"/>
          <w:rtl/>
        </w:rPr>
        <w:t>رسم البياني 2: المبالغ المستثمرة في المباني السكنية في المدن والبلدات على الصعيد الوطني، 1990-2001. الأرقام المدرجة على يسار الرسم معبّر عنها بمئات ملايين اليوان.</w:t>
      </w:r>
    </w:p>
    <w:p w:rsidR="00000000" w:rsidRDefault="00443EC1">
      <w:pPr>
        <w:spacing w:before="120" w:after="120"/>
        <w:jc w:val="both"/>
        <w:rPr>
          <w:rFonts w:hint="cs"/>
          <w:sz w:val="30"/>
          <w:szCs w:val="28"/>
          <w:rtl/>
        </w:rPr>
      </w:pPr>
      <w:r>
        <w:rPr>
          <w:sz w:val="30"/>
          <w:szCs w:val="28"/>
          <w:rtl/>
        </w:rPr>
        <w:br w:type="page"/>
      </w:r>
      <w:r>
        <w:rPr>
          <w:sz w:val="30"/>
          <w:szCs w:val="28"/>
          <w:rtl/>
        </w:rPr>
        <w:fldChar w:fldCharType="begin"/>
      </w:r>
      <w:r>
        <w:rPr>
          <w:sz w:val="30"/>
          <w:szCs w:val="28"/>
          <w:rtl/>
        </w:rPr>
        <w:instrText xml:space="preserve"> </w:instrText>
      </w:r>
      <w:r>
        <w:rPr>
          <w:sz w:val="30"/>
          <w:szCs w:val="28"/>
        </w:rPr>
        <w:instrText>LINK Word.Document.8 "\\\\TPS_ACR\\ARA\\DATA\\COMMON\\EmailDocs\\0440654\\E1990.5.Add59(wi</w:instrText>
      </w:r>
      <w:r>
        <w:rPr>
          <w:sz w:val="30"/>
          <w:szCs w:val="28"/>
        </w:rPr>
        <w:instrText>thoutHK).doc" "OLE_LINK5" \a \h</w:instrText>
      </w:r>
      <w:r>
        <w:rPr>
          <w:sz w:val="30"/>
          <w:szCs w:val="28"/>
          <w:rtl/>
        </w:rPr>
        <w:instrText xml:space="preserve"> </w:instrText>
      </w:r>
      <w:r>
        <w:rPr>
          <w:rFonts w:cs="Times New Roman"/>
          <w:spacing w:val="0"/>
          <w:kern w:val="0"/>
          <w:sz w:val="20"/>
          <w:szCs w:val="20"/>
          <w:lang w:val="ar-SA"/>
        </w:rPr>
        <w:fldChar w:fldCharType="separate"/>
      </w:r>
      <w:r>
        <w:object w:dxaOrig="8270" w:dyaOrig="4889">
          <v:shape id="_x0000_i1027" type="#_x0000_t75" style="width:414pt;height:244.5pt" o:ole="">
            <v:imagedata r:id="rId11" o:title=""/>
          </v:shape>
          <o:OLEObject Type="Embed" ProgID="MSGraph.Chart.8" ShapeID="_x0000_i1027" DrawAspect="Content" ObjectID="_1394880502" r:id="rId12"/>
        </w:object>
      </w:r>
      <w:r>
        <w:rPr>
          <w:sz w:val="30"/>
          <w:szCs w:val="28"/>
          <w:rtl/>
        </w:rPr>
        <w:fldChar w:fldCharType="end"/>
      </w:r>
    </w:p>
    <w:p w:rsidR="00000000" w:rsidRDefault="00443EC1">
      <w:pPr>
        <w:spacing w:before="120" w:after="960"/>
        <w:jc w:val="both"/>
        <w:rPr>
          <w:rFonts w:hint="cs"/>
          <w:sz w:val="32"/>
          <w:rtl/>
        </w:rPr>
      </w:pPr>
      <w:r>
        <w:rPr>
          <w:rFonts w:hint="cs"/>
          <w:sz w:val="32"/>
          <w:rtl/>
        </w:rPr>
        <w:t>الرسم البياني 3: متوسط المساحة الأرضية المخصصة للفرد الواحد من المقيمين في المدن، 1990-2001. الأرقام المُدرجة على يسار الرسم معبّر عنها بالأمتار المربعة.</w:t>
      </w:r>
    </w:p>
    <w:p w:rsidR="00000000" w:rsidRDefault="00443EC1">
      <w:pPr>
        <w:spacing w:before="120" w:after="120"/>
        <w:jc w:val="both"/>
        <w:rPr>
          <w:sz w:val="30"/>
          <w:szCs w:val="28"/>
          <w:rtl/>
        </w:rPr>
      </w:pPr>
      <w:r>
        <w:rPr>
          <w:noProof/>
          <w:sz w:val="20"/>
          <w:szCs w:val="28"/>
          <w:rtl/>
          <w:lang w:val="ar-SA"/>
        </w:rPr>
        <w:pict>
          <v:shape id="_x0000_s2051" type="#_x0000_t75" style="position:absolute;left:0;text-align:left;margin-left:79.2pt;margin-top:27.8pt;width:351.25pt;height:126.45pt;z-index:2;visibility:visible;mso-wrap-edited:f">
            <v:imagedata r:id="rId13" o:title=""/>
            <w10:wrap type="topAndBottom"/>
          </v:shape>
          <o:OLEObject Type="Embed" ProgID="Word.Picture.8" ShapeID="_x0000_s2051" DrawAspect="Content" ObjectID="_1394880503" r:id="rId14"/>
        </w:pict>
      </w:r>
    </w:p>
    <w:p w:rsidR="00000000" w:rsidRDefault="00443EC1">
      <w:pPr>
        <w:spacing w:before="120" w:after="120"/>
        <w:jc w:val="both"/>
        <w:rPr>
          <w:sz w:val="34"/>
          <w:szCs w:val="32"/>
          <w:rtl/>
        </w:rPr>
      </w:pPr>
      <w:r>
        <w:rPr>
          <w:rFonts w:hint="cs"/>
          <w:sz w:val="34"/>
          <w:szCs w:val="32"/>
          <w:rtl/>
        </w:rPr>
        <w:t>الرسم البياني 4: نمو الأموال المتراكمة</w:t>
      </w:r>
      <w:r>
        <w:rPr>
          <w:rFonts w:hint="cs"/>
          <w:sz w:val="34"/>
          <w:szCs w:val="32"/>
          <w:rtl/>
        </w:rPr>
        <w:t>، 1995-2001. الأرقام المدرجة على يسار الرسم معبّر عنها بمليارات اليوان.</w:t>
      </w:r>
    </w:p>
    <w:p w:rsidR="00000000" w:rsidRDefault="00443EC1">
      <w:pPr>
        <w:spacing w:before="120" w:after="120"/>
        <w:jc w:val="both"/>
        <w:rPr>
          <w:rFonts w:hint="cs"/>
          <w:sz w:val="30"/>
          <w:rtl/>
        </w:rPr>
      </w:pPr>
      <w:r>
        <w:rPr>
          <w:sz w:val="30"/>
          <w:rtl/>
        </w:rPr>
        <w:br w:type="page"/>
      </w:r>
      <w:r>
        <w:rPr>
          <w:noProof/>
          <w:sz w:val="20"/>
          <w:rtl/>
          <w:lang w:val="ar-SA"/>
        </w:rPr>
        <w:pict>
          <v:shape id="_x0000_s2052" type="#_x0000_t75" style="position:absolute;left:0;text-align:left;margin-left:18pt;margin-top:20.1pt;width:446.3pt;height:188.2pt;z-index:3">
            <v:imagedata r:id="rId15" o:title=""/>
            <w10:wrap type="topAndBottom"/>
          </v:shape>
          <o:OLEObject Type="Embed" ProgID="Excel.Sheet.8" ShapeID="_x0000_s2052" DrawAspect="Content" ObjectID="_1394880504" r:id="rId16"/>
        </w:pict>
      </w:r>
      <w:r>
        <w:rPr>
          <w:rFonts w:hint="cs"/>
          <w:sz w:val="30"/>
          <w:rtl/>
        </w:rPr>
        <w:t>الرسم البياني 5: إنتاج الحبوب في الصين. الأرقام المدرجة على يسار الرسم معبّر عنها بعشرات آلاف من الأطنان. (× 000 10)</w:t>
      </w:r>
    </w:p>
    <w:p w:rsidR="00000000" w:rsidRDefault="00443EC1">
      <w:pPr>
        <w:spacing w:before="120" w:after="120"/>
        <w:jc w:val="both"/>
        <w:rPr>
          <w:rFonts w:hint="cs"/>
          <w:sz w:val="30"/>
          <w:rtl/>
        </w:rPr>
      </w:pPr>
    </w:p>
    <w:p w:rsidR="00000000" w:rsidRDefault="00443EC1">
      <w:pPr>
        <w:spacing w:before="120" w:after="120"/>
        <w:jc w:val="both"/>
        <w:rPr>
          <w:rFonts w:hint="cs"/>
          <w:sz w:val="30"/>
          <w:rtl/>
        </w:rPr>
      </w:pPr>
    </w:p>
    <w:p w:rsidR="00000000" w:rsidRDefault="00443EC1">
      <w:pPr>
        <w:spacing w:before="120" w:after="120"/>
        <w:jc w:val="both"/>
        <w:rPr>
          <w:rFonts w:hint="cs"/>
          <w:sz w:val="30"/>
          <w:rtl/>
        </w:rPr>
      </w:pPr>
      <w:r>
        <w:rPr>
          <w:noProof/>
          <w:sz w:val="20"/>
          <w:rtl/>
          <w:lang w:val="ar-SA"/>
        </w:rPr>
        <w:pict>
          <v:shape id="_x0000_s2053" type="#_x0000_t75" style="position:absolute;left:0;text-align:left;margin-left:18pt;margin-top:6.3pt;width:429pt;height:171pt;z-index:4">
            <v:imagedata r:id="rId17" o:title=""/>
            <w10:wrap type="topAndBottom"/>
          </v:shape>
        </w:pict>
      </w:r>
      <w:r>
        <w:rPr>
          <w:rFonts w:hint="cs"/>
          <w:sz w:val="30"/>
          <w:rtl/>
        </w:rPr>
        <w:t>الرسم البياني 6: واردات الصين من الحبوب (مظلَّلة) وصادراتها (غ</w:t>
      </w:r>
      <w:r>
        <w:rPr>
          <w:rFonts w:hint="cs"/>
          <w:sz w:val="30"/>
          <w:rtl/>
        </w:rPr>
        <w:t>ير مظللة). يبيِّن الخط صافي الواردات. والأرقام العمودية معبّر عنها بعشرات آلاف الأطنان. (× 000 10)</w:t>
      </w:r>
    </w:p>
    <w:p w:rsidR="00000000" w:rsidRDefault="00443EC1">
      <w:pPr>
        <w:spacing w:before="120" w:after="120"/>
        <w:jc w:val="both"/>
        <w:rPr>
          <w:rFonts w:hint="cs"/>
          <w:sz w:val="30"/>
          <w:rtl/>
        </w:rPr>
      </w:pPr>
      <w:r>
        <w:rPr>
          <w:rFonts w:hint="cs"/>
          <w:sz w:val="30"/>
          <w:rtl/>
        </w:rPr>
        <w:tab/>
      </w:r>
      <w:r>
        <w:rPr>
          <w:rFonts w:hint="cs"/>
          <w:i/>
          <w:iCs/>
          <w:sz w:val="30"/>
          <w:rtl/>
        </w:rPr>
        <w:t>المصدر:</w:t>
      </w:r>
      <w:r>
        <w:rPr>
          <w:rFonts w:hint="cs"/>
          <w:sz w:val="30"/>
          <w:rtl/>
        </w:rPr>
        <w:t xml:space="preserve"> الرسوم البيانية من 1 إلى 4: وزارة التعمير؛ الرسمان البيانيان 5 و6: وزارة الزراعة.</w:t>
      </w:r>
    </w:p>
    <w:p w:rsidR="00000000" w:rsidRDefault="00443EC1">
      <w:pPr>
        <w:spacing w:before="120" w:after="120"/>
        <w:jc w:val="both"/>
        <w:rPr>
          <w:rStyle w:val="FootnoteReference"/>
          <w:rFonts w:hint="cs"/>
          <w:bCs w:val="0"/>
          <w:sz w:val="30"/>
          <w:vertAlign w:val="baseline"/>
          <w:rtl/>
        </w:rPr>
      </w:pPr>
    </w:p>
    <w:p w:rsidR="00000000" w:rsidRDefault="00443EC1">
      <w:pPr>
        <w:spacing w:line="380" w:lineRule="exact"/>
        <w:jc w:val="both"/>
        <w:rPr>
          <w:rStyle w:val="FootnoteReference"/>
          <w:rFonts w:hint="cs"/>
          <w:bCs w:val="0"/>
          <w:vertAlign w:val="baseline"/>
          <w:rtl/>
          <w:lang w:eastAsia="en-US"/>
        </w:rPr>
      </w:pPr>
    </w:p>
    <w:p w:rsidR="00000000" w:rsidRDefault="00443EC1">
      <w:pPr>
        <w:spacing w:line="380" w:lineRule="exact"/>
        <w:jc w:val="center"/>
        <w:rPr>
          <w:rFonts w:hint="cs"/>
          <w:b/>
          <w:bCs/>
          <w:rtl/>
        </w:rPr>
      </w:pPr>
      <w:r>
        <w:br w:type="page"/>
      </w:r>
      <w:r>
        <w:rPr>
          <w:rFonts w:hint="cs"/>
          <w:b/>
          <w:bCs/>
          <w:rtl/>
        </w:rPr>
        <w:t>الجزء الثاني</w:t>
      </w:r>
    </w:p>
    <w:p w:rsidR="00000000" w:rsidRDefault="00443EC1">
      <w:pPr>
        <w:spacing w:line="380" w:lineRule="exact"/>
        <w:jc w:val="center"/>
        <w:rPr>
          <w:rFonts w:hint="cs"/>
          <w:b/>
          <w:bCs/>
          <w:sz w:val="38"/>
          <w:szCs w:val="36"/>
          <w:rtl/>
        </w:rPr>
      </w:pPr>
      <w:r>
        <w:rPr>
          <w:rFonts w:hint="cs"/>
          <w:b/>
          <w:bCs/>
          <w:sz w:val="38"/>
          <w:szCs w:val="36"/>
          <w:rtl/>
        </w:rPr>
        <w:t>منطقة هونغ كونغ الإدارية الخاصة</w:t>
      </w:r>
    </w:p>
    <w:p w:rsidR="00000000" w:rsidRDefault="00443EC1">
      <w:pPr>
        <w:spacing w:line="380" w:lineRule="exact"/>
        <w:jc w:val="center"/>
        <w:rPr>
          <w:rFonts w:hint="cs"/>
          <w:b/>
          <w:bCs/>
          <w:rtl/>
        </w:rPr>
      </w:pPr>
      <w:r>
        <w:rPr>
          <w:rFonts w:hint="cs"/>
          <w:b/>
          <w:bCs/>
          <w:rtl/>
        </w:rPr>
        <w:t>مقدمة</w:t>
      </w:r>
    </w:p>
    <w:p w:rsidR="00000000" w:rsidRDefault="00443EC1">
      <w:pPr>
        <w:spacing w:line="380" w:lineRule="exact"/>
        <w:jc w:val="both"/>
        <w:rPr>
          <w:rFonts w:hint="cs"/>
          <w:rtl/>
        </w:rPr>
      </w:pPr>
      <w:r>
        <w:rPr>
          <w:rFonts w:hint="cs"/>
          <w:rtl/>
        </w:rPr>
        <w:t>284-</w:t>
      </w:r>
      <w:r>
        <w:rPr>
          <w:rFonts w:hint="cs"/>
          <w:rtl/>
        </w:rPr>
        <w:tab/>
        <w:t>طلبت لج</w:t>
      </w:r>
      <w:r>
        <w:rPr>
          <w:rFonts w:hint="cs"/>
          <w:rtl/>
        </w:rPr>
        <w:t>نة الحقوق الاقتصادية والاجتماعية والثقافية (ويشار إليها فيما يلي باللجنة) من منطقة هونغ كونغ الإدارية الخاصة، في الفقرة 48 من ملاحظاتها الختامية التي قدمتها في 21 أيار/مايو 2001 على التقرير الأولي لمنطقة هونغ كونغ الإدارية الخاصة المقدم بموجب العهد</w:t>
      </w:r>
      <w:r>
        <w:rPr>
          <w:rFonts w:hint="cs"/>
          <w:vertAlign w:val="superscript"/>
          <w:rtl/>
        </w:rPr>
        <w:t>(7)</w:t>
      </w:r>
      <w:r>
        <w:rPr>
          <w:rFonts w:hint="cs"/>
          <w:rtl/>
        </w:rPr>
        <w:t xml:space="preserve">، أن </w:t>
      </w:r>
      <w:r>
        <w:rPr>
          <w:rFonts w:hint="cs"/>
          <w:rtl/>
        </w:rPr>
        <w:t>تقدم بحلول 30 حزيران/يونيه 2003 معلومات عما أحرزته من تقدمٍ في تنفيذ توصية اللجنة الواردة في الفقرة 30 (التمييز العنصري) من الملاحظات الختامية. كما طلبت اللجنة من "المنطقة" أن تقدم تقريرها الدوري الثاني الكامل "وفقاً للتواريخ المحددة لتقديم التقارير".</w:t>
      </w:r>
    </w:p>
    <w:p w:rsidR="00000000" w:rsidRDefault="00443EC1">
      <w:pPr>
        <w:spacing w:line="380" w:lineRule="exact"/>
        <w:jc w:val="both"/>
        <w:rPr>
          <w:rFonts w:hint="cs"/>
          <w:rtl/>
        </w:rPr>
      </w:pPr>
      <w:r>
        <w:rPr>
          <w:rFonts w:hint="cs"/>
          <w:rtl/>
        </w:rPr>
        <w:t>285-</w:t>
      </w:r>
      <w:r>
        <w:rPr>
          <w:rFonts w:hint="cs"/>
          <w:rtl/>
        </w:rPr>
        <w:tab/>
        <w:t>لقد تجاوزت الأحداث بعض الشيء هذين الطلبين. فقد أودعت جمهورية الصين الشعبية صك تصديقها على العهد لدى الأمين العام للأمم المتحدة في 27 آذار/مارس 2001. وأصبح العهد نافذاً في الصين بعد ذلك بثلاثة أشهرٍ (27 حزيران/يونيه 2001). وعملاً بقرار المجلس الاقتصادي وال</w:t>
      </w:r>
      <w:r>
        <w:rPr>
          <w:rFonts w:hint="cs"/>
          <w:rtl/>
        </w:rPr>
        <w:t>اجتماعي 1984/88 (الذي عدل المادة 16 من العهد)، طُلب من الصين أن تقدم تقريرها الأولي بموجب العهد بعد سنتين من هذا التاريخ. ولهذا السبب، فإن التقرير الحالي لمنطقة هونغ كونغ الإدارية الخاصة يشكل جزءاً من التقرير الأولي للصين.</w:t>
      </w:r>
    </w:p>
    <w:p w:rsidR="00000000" w:rsidRDefault="00443EC1">
      <w:pPr>
        <w:spacing w:line="380" w:lineRule="exact"/>
        <w:jc w:val="both"/>
        <w:rPr>
          <w:rFonts w:hint="cs"/>
          <w:rtl/>
        </w:rPr>
      </w:pPr>
      <w:r>
        <w:rPr>
          <w:rFonts w:hint="cs"/>
          <w:rtl/>
        </w:rPr>
        <w:t>286-</w:t>
      </w:r>
      <w:r>
        <w:rPr>
          <w:rFonts w:hint="cs"/>
          <w:rtl/>
        </w:rPr>
        <w:tab/>
        <w:t>وقد تضمن التقرير الأولي معلو</w:t>
      </w:r>
      <w:r>
        <w:rPr>
          <w:rFonts w:hint="cs"/>
          <w:rtl/>
        </w:rPr>
        <w:t>مات مفصلة عن القوانين والسياسات والممارسات المطبقة ضماناً لامتثال هونغ كونغ لأحكام العهد. ويعد الكثير منها قديم العهد ويميل، بحكم طبيعته، إلى أن يبقى دون تغيير - أو إلى أن يتغير تغيراً طفيفاً - مع مرور الزمن. ولا نعتزم هنا تكرار وصف أو توضيح هذه المسائل في</w:t>
      </w:r>
      <w:r>
        <w:rPr>
          <w:rFonts w:hint="cs"/>
          <w:rtl/>
        </w:rPr>
        <w:t xml:space="preserve"> هذا التقرير وسنبيّن في مناسبات كثيرة أنه "لم تحدث تغييرات هامة [بشأن الموضوع قيد البحث] وأن الوضع لا يزال أساساً كما توضحه الفقرات [من خ إلى ذ] من التقرير الأولي". ولقد اتخذنا هذا النهج تحاشياً للتكرار والمبالغة في طول التقرير وتقيداً بالمبادئ التوجيهية ا</w:t>
      </w:r>
      <w:r>
        <w:rPr>
          <w:rFonts w:hint="cs"/>
          <w:rtl/>
        </w:rPr>
        <w:t>لواردة في دليل الأمم المتحدة الإرشادي لإعداد التقارير (الصفحة 67، الفقرة الأخيرة).</w:t>
      </w:r>
    </w:p>
    <w:p w:rsidR="00000000" w:rsidRDefault="00443EC1">
      <w:pPr>
        <w:spacing w:line="380" w:lineRule="exact"/>
        <w:jc w:val="both"/>
        <w:rPr>
          <w:rFonts w:hint="cs"/>
          <w:rtl/>
        </w:rPr>
      </w:pPr>
      <w:r>
        <w:rPr>
          <w:rFonts w:hint="cs"/>
          <w:rtl/>
        </w:rPr>
        <w:t>287-</w:t>
      </w:r>
      <w:r>
        <w:rPr>
          <w:rFonts w:hint="cs"/>
          <w:rtl/>
        </w:rPr>
        <w:tab/>
        <w:t>لهذه الأسباب، أُعد هذا التقرير الدوري الثاني ليكون أقصر من التقرير الأولي. وهو يركز على ما يلي:</w:t>
      </w:r>
    </w:p>
    <w:p w:rsidR="00000000" w:rsidRDefault="00443EC1">
      <w:pPr>
        <w:spacing w:line="380" w:lineRule="exact"/>
        <w:jc w:val="both"/>
        <w:rPr>
          <w:rFonts w:hint="cs"/>
          <w:rtl/>
        </w:rPr>
      </w:pPr>
      <w:r>
        <w:rPr>
          <w:rFonts w:hint="cs"/>
          <w:rtl/>
        </w:rPr>
        <w:tab/>
        <w:t>(أ)</w:t>
      </w:r>
      <w:r>
        <w:rPr>
          <w:rFonts w:hint="cs"/>
          <w:rtl/>
        </w:rPr>
        <w:tab/>
        <w:t xml:space="preserve">تقديم معلومات وتوضيحات بشأن التطورات الهامة التي حدثت منذ النظر في </w:t>
      </w:r>
      <w:r>
        <w:rPr>
          <w:rFonts w:hint="cs"/>
          <w:rtl/>
        </w:rPr>
        <w:t>التقرير الأولي؛</w:t>
      </w:r>
    </w:p>
    <w:p w:rsidR="00000000" w:rsidRDefault="00443EC1">
      <w:pPr>
        <w:spacing w:line="380" w:lineRule="exact"/>
        <w:jc w:val="both"/>
        <w:rPr>
          <w:rFonts w:hint="cs"/>
          <w:rtl/>
        </w:rPr>
      </w:pPr>
      <w:r>
        <w:rPr>
          <w:rFonts w:hint="cs"/>
          <w:rtl/>
        </w:rPr>
        <w:tab/>
        <w:t>(ب)</w:t>
      </w:r>
      <w:r>
        <w:rPr>
          <w:rFonts w:hint="cs"/>
          <w:rtl/>
        </w:rPr>
        <w:tab/>
        <w:t>تحديث المعلومات الواردة عن أي تطورات كانت تجري وقت النظر في التقرير الأولي الذي قدم في عام 2001، وهي تطورات تعهدنا بصددها بأن نبلغ اللجنة بما سنحرزه من تقدم أو ما سنخلص إليه من استنتاجات في المستقبل؛</w:t>
      </w:r>
    </w:p>
    <w:p w:rsidR="00000000" w:rsidRDefault="00443EC1">
      <w:pPr>
        <w:spacing w:line="380" w:lineRule="exact"/>
        <w:jc w:val="both"/>
        <w:rPr>
          <w:rFonts w:hint="cs"/>
          <w:rtl/>
        </w:rPr>
      </w:pPr>
      <w:r>
        <w:rPr>
          <w:rFonts w:hint="cs"/>
          <w:rtl/>
        </w:rPr>
        <w:tab/>
        <w:t>(ج)</w:t>
      </w:r>
      <w:r>
        <w:rPr>
          <w:rFonts w:hint="cs"/>
          <w:rtl/>
        </w:rPr>
        <w:tab/>
        <w:t>تقديم ردودٍ على الشواغل والتوص</w:t>
      </w:r>
      <w:r>
        <w:rPr>
          <w:rFonts w:hint="cs"/>
          <w:rtl/>
        </w:rPr>
        <w:t xml:space="preserve">يات التي أبدتها اللجنة في ملاحظاتها الختامية. </w:t>
      </w:r>
    </w:p>
    <w:p w:rsidR="00000000" w:rsidRDefault="00443EC1">
      <w:pPr>
        <w:jc w:val="center"/>
        <w:rPr>
          <w:rFonts w:hint="cs"/>
          <w:b/>
          <w:bCs/>
          <w:sz w:val="38"/>
          <w:szCs w:val="36"/>
          <w:rtl/>
        </w:rPr>
      </w:pPr>
      <w:r>
        <w:rPr>
          <w:b/>
          <w:bCs/>
          <w:sz w:val="38"/>
          <w:szCs w:val="36"/>
          <w:rtl/>
        </w:rPr>
        <w:br w:type="page"/>
      </w:r>
      <w:r>
        <w:rPr>
          <w:rFonts w:hint="cs"/>
          <w:b/>
          <w:bCs/>
          <w:sz w:val="38"/>
          <w:szCs w:val="36"/>
          <w:rtl/>
        </w:rPr>
        <w:t>أولاً - الأرض والسكان</w:t>
      </w:r>
    </w:p>
    <w:p w:rsidR="00000000" w:rsidRDefault="00443EC1">
      <w:pPr>
        <w:spacing w:before="120" w:after="120"/>
        <w:jc w:val="both"/>
        <w:rPr>
          <w:rFonts w:hint="cs"/>
          <w:rtl/>
        </w:rPr>
      </w:pPr>
      <w:r>
        <w:rPr>
          <w:rFonts w:hint="cs"/>
          <w:rtl/>
        </w:rPr>
        <w:t>288-</w:t>
      </w:r>
      <w:r>
        <w:rPr>
          <w:rFonts w:hint="cs"/>
          <w:rtl/>
        </w:rPr>
        <w:tab/>
        <w:t>ترد أدناه بيانات إحصائية عن سكان منطقة هونغ كونغ الإدارية الخاصة فضلاً عن مؤشرات اجتماعية واقتصادية منتقاة.</w:t>
      </w:r>
    </w:p>
    <w:p w:rsidR="00000000" w:rsidRDefault="00443EC1">
      <w:pPr>
        <w:jc w:val="both"/>
        <w:rPr>
          <w:rFonts w:hint="cs"/>
          <w:rtl/>
        </w:rPr>
      </w:pPr>
      <w:r>
        <w:rPr>
          <w:rFonts w:hint="cs"/>
          <w:b/>
          <w:bCs/>
          <w:rtl/>
        </w:rPr>
        <w:t>السكان بحسب الجنس</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5"/>
        <w:gridCol w:w="957"/>
        <w:gridCol w:w="957"/>
        <w:gridCol w:w="957"/>
        <w:gridCol w:w="957"/>
        <w:gridCol w:w="957"/>
        <w:gridCol w:w="957"/>
        <w:gridCol w:w="957"/>
        <w:gridCol w:w="957"/>
        <w:gridCol w:w="868"/>
      </w:tblGrid>
      <w:tr w:rsidR="00443EC1" w:rsidTr="00443EC1">
        <w:tblPrEx>
          <w:tblCellMar>
            <w:top w:w="0" w:type="dxa"/>
            <w:bottom w:w="0" w:type="dxa"/>
          </w:tblCellMar>
        </w:tblPrEx>
        <w:trPr>
          <w:trHeight w:val="1000"/>
          <w:jc w:val="center"/>
        </w:trPr>
        <w:tc>
          <w:tcPr>
            <w:tcW w:w="855" w:type="dxa"/>
            <w:tcBorders>
              <w:bottom w:val="single" w:sz="4" w:space="0" w:color="auto"/>
            </w:tcBorders>
          </w:tcPr>
          <w:p w:rsidR="00443EC1" w:rsidRDefault="00443EC1">
            <w:pPr>
              <w:spacing w:before="0" w:after="0" w:line="280" w:lineRule="exact"/>
              <w:jc w:val="left"/>
              <w:rPr>
                <w:rStyle w:val="FootnoteReference"/>
                <w:rFonts w:hint="cs"/>
                <w:bCs w:val="0"/>
                <w:sz w:val="24"/>
                <w:szCs w:val="24"/>
                <w:vertAlign w:val="baseline"/>
              </w:rPr>
            </w:pPr>
            <w:r>
              <w:rPr>
                <w:sz w:val="24"/>
                <w:szCs w:val="24"/>
                <w:rtl/>
              </w:rPr>
              <w:br/>
            </w:r>
            <w:r>
              <w:rPr>
                <w:sz w:val="24"/>
                <w:szCs w:val="24"/>
                <w:rtl/>
              </w:rPr>
              <w:br/>
            </w:r>
            <w:r>
              <w:rPr>
                <w:rFonts w:hint="cs"/>
                <w:sz w:val="24"/>
                <w:szCs w:val="24"/>
                <w:rtl/>
              </w:rPr>
              <w:t>الجنس</w:t>
            </w:r>
          </w:p>
        </w:tc>
        <w:tc>
          <w:tcPr>
            <w:tcW w:w="957" w:type="dxa"/>
            <w:tcBorders>
              <w:bottom w:val="single" w:sz="4" w:space="0" w:color="auto"/>
            </w:tcBorders>
          </w:tcPr>
          <w:p w:rsidR="00443EC1" w:rsidRDefault="00443EC1">
            <w:pPr>
              <w:spacing w:before="0" w:after="0" w:line="280" w:lineRule="exact"/>
              <w:jc w:val="center"/>
              <w:rPr>
                <w:rStyle w:val="FootnoteReference"/>
                <w:rFonts w:hint="cs"/>
                <w:bCs w:val="0"/>
                <w:sz w:val="24"/>
                <w:szCs w:val="24"/>
                <w:vertAlign w:val="baseline"/>
              </w:rPr>
            </w:pPr>
            <w:r>
              <w:rPr>
                <w:rFonts w:hint="cs"/>
                <w:sz w:val="24"/>
                <w:szCs w:val="24"/>
                <w:rtl/>
              </w:rPr>
              <w:t>منتصف1987 (بالملايين)</w:t>
            </w:r>
          </w:p>
        </w:tc>
        <w:tc>
          <w:tcPr>
            <w:tcW w:w="957" w:type="dxa"/>
            <w:tcBorders>
              <w:bottom w:val="single" w:sz="4" w:space="0" w:color="auto"/>
            </w:tcBorders>
          </w:tcPr>
          <w:p w:rsidR="00443EC1" w:rsidRDefault="00443EC1">
            <w:pPr>
              <w:spacing w:before="0" w:after="0" w:line="280" w:lineRule="exact"/>
              <w:jc w:val="center"/>
              <w:rPr>
                <w:rStyle w:val="FootnoteReference"/>
                <w:rFonts w:hint="cs"/>
                <w:bCs w:val="0"/>
                <w:sz w:val="24"/>
                <w:szCs w:val="24"/>
                <w:vertAlign w:val="baseline"/>
              </w:rPr>
            </w:pPr>
            <w:r>
              <w:rPr>
                <w:rFonts w:hint="cs"/>
                <w:sz w:val="24"/>
                <w:szCs w:val="24"/>
                <w:rtl/>
              </w:rPr>
              <w:t>منتصف1992 (بالملايين)</w:t>
            </w:r>
          </w:p>
        </w:tc>
        <w:tc>
          <w:tcPr>
            <w:tcW w:w="957" w:type="dxa"/>
            <w:tcBorders>
              <w:bottom w:val="single" w:sz="4" w:space="0" w:color="auto"/>
            </w:tcBorders>
          </w:tcPr>
          <w:p w:rsidR="00443EC1" w:rsidRDefault="00443EC1">
            <w:pPr>
              <w:spacing w:before="0" w:after="0" w:line="280" w:lineRule="exact"/>
              <w:jc w:val="center"/>
              <w:rPr>
                <w:rStyle w:val="FootnoteReference"/>
                <w:rFonts w:hint="cs"/>
                <w:bCs w:val="0"/>
                <w:sz w:val="24"/>
                <w:szCs w:val="24"/>
                <w:vertAlign w:val="baseline"/>
              </w:rPr>
            </w:pPr>
            <w:r>
              <w:rPr>
                <w:rFonts w:hint="cs"/>
                <w:sz w:val="24"/>
                <w:szCs w:val="24"/>
                <w:rtl/>
              </w:rPr>
              <w:t>منتصف1999 (بالملايين)</w:t>
            </w:r>
          </w:p>
        </w:tc>
        <w:tc>
          <w:tcPr>
            <w:tcW w:w="957" w:type="dxa"/>
            <w:tcBorders>
              <w:bottom w:val="single" w:sz="4" w:space="0" w:color="auto"/>
            </w:tcBorders>
          </w:tcPr>
          <w:p w:rsidR="00443EC1" w:rsidRDefault="00443EC1">
            <w:pPr>
              <w:spacing w:before="0" w:after="0" w:line="280" w:lineRule="exact"/>
              <w:jc w:val="center"/>
              <w:rPr>
                <w:rStyle w:val="FootnoteReference"/>
                <w:rFonts w:hint="cs"/>
                <w:bCs w:val="0"/>
                <w:sz w:val="24"/>
                <w:szCs w:val="24"/>
                <w:vertAlign w:val="baseline"/>
              </w:rPr>
            </w:pPr>
            <w:r>
              <w:rPr>
                <w:rFonts w:hint="cs"/>
                <w:sz w:val="24"/>
                <w:szCs w:val="24"/>
                <w:rtl/>
              </w:rPr>
              <w:t>منتصف2000 (بالملايين)</w:t>
            </w:r>
          </w:p>
        </w:tc>
        <w:tc>
          <w:tcPr>
            <w:tcW w:w="957" w:type="dxa"/>
            <w:tcBorders>
              <w:bottom w:val="single" w:sz="4" w:space="0" w:color="auto"/>
            </w:tcBorders>
          </w:tcPr>
          <w:p w:rsidR="00443EC1" w:rsidRDefault="00443EC1">
            <w:pPr>
              <w:spacing w:before="0" w:after="0" w:line="280" w:lineRule="exact"/>
              <w:jc w:val="center"/>
              <w:rPr>
                <w:rStyle w:val="FootnoteReference"/>
                <w:rFonts w:hint="cs"/>
                <w:bCs w:val="0"/>
                <w:sz w:val="24"/>
                <w:szCs w:val="24"/>
                <w:vertAlign w:val="baseline"/>
              </w:rPr>
            </w:pPr>
            <w:r>
              <w:rPr>
                <w:rFonts w:hint="cs"/>
                <w:sz w:val="24"/>
                <w:szCs w:val="24"/>
                <w:rtl/>
              </w:rPr>
              <w:t>نهاية 2000 (بالملايين)</w:t>
            </w:r>
          </w:p>
        </w:tc>
        <w:tc>
          <w:tcPr>
            <w:tcW w:w="957" w:type="dxa"/>
            <w:tcBorders>
              <w:bottom w:val="single" w:sz="4" w:space="0" w:color="auto"/>
            </w:tcBorders>
          </w:tcPr>
          <w:p w:rsidR="00443EC1" w:rsidRDefault="00443EC1">
            <w:pPr>
              <w:spacing w:before="0" w:after="0" w:line="280" w:lineRule="exact"/>
              <w:jc w:val="center"/>
              <w:rPr>
                <w:rStyle w:val="FootnoteReference"/>
                <w:rFonts w:hint="cs"/>
                <w:bCs w:val="0"/>
                <w:sz w:val="24"/>
                <w:szCs w:val="24"/>
                <w:vertAlign w:val="baseline"/>
              </w:rPr>
            </w:pPr>
            <w:r>
              <w:rPr>
                <w:rFonts w:hint="cs"/>
                <w:sz w:val="24"/>
                <w:szCs w:val="24"/>
                <w:rtl/>
              </w:rPr>
              <w:t>منتصف 2001 (بالملايين)</w:t>
            </w:r>
          </w:p>
        </w:tc>
        <w:tc>
          <w:tcPr>
            <w:tcW w:w="957" w:type="dxa"/>
            <w:tcBorders>
              <w:bottom w:val="single" w:sz="4" w:space="0" w:color="auto"/>
            </w:tcBorders>
          </w:tcPr>
          <w:p w:rsidR="00443EC1" w:rsidRDefault="00443EC1">
            <w:pPr>
              <w:spacing w:before="0" w:after="0" w:line="280" w:lineRule="exact"/>
              <w:jc w:val="center"/>
              <w:rPr>
                <w:rStyle w:val="FootnoteReference"/>
                <w:rFonts w:hint="cs"/>
                <w:bCs w:val="0"/>
                <w:sz w:val="24"/>
                <w:szCs w:val="24"/>
                <w:vertAlign w:val="baseline"/>
              </w:rPr>
            </w:pPr>
            <w:r>
              <w:rPr>
                <w:rFonts w:hint="cs"/>
                <w:sz w:val="24"/>
                <w:szCs w:val="24"/>
                <w:rtl/>
              </w:rPr>
              <w:t>نهاية 2001 (بالملايين)</w:t>
            </w:r>
          </w:p>
        </w:tc>
        <w:tc>
          <w:tcPr>
            <w:tcW w:w="957" w:type="dxa"/>
            <w:tcBorders>
              <w:bottom w:val="single" w:sz="4" w:space="0" w:color="auto"/>
            </w:tcBorders>
          </w:tcPr>
          <w:p w:rsidR="00443EC1" w:rsidRDefault="00443EC1">
            <w:pPr>
              <w:spacing w:before="0" w:after="0" w:line="280" w:lineRule="exact"/>
              <w:jc w:val="center"/>
              <w:rPr>
                <w:rStyle w:val="FootnoteReference"/>
                <w:rFonts w:hint="cs"/>
                <w:bCs w:val="0"/>
                <w:sz w:val="24"/>
                <w:szCs w:val="24"/>
                <w:vertAlign w:val="baseline"/>
              </w:rPr>
            </w:pPr>
            <w:r>
              <w:rPr>
                <w:rFonts w:hint="cs"/>
                <w:sz w:val="24"/>
                <w:szCs w:val="24"/>
                <w:rtl/>
              </w:rPr>
              <w:t>منتصف2002 (بالملايين)</w:t>
            </w:r>
          </w:p>
        </w:tc>
        <w:tc>
          <w:tcPr>
            <w:tcW w:w="849" w:type="dxa"/>
            <w:tcBorders>
              <w:bottom w:val="single" w:sz="4" w:space="0" w:color="auto"/>
            </w:tcBorders>
          </w:tcPr>
          <w:p w:rsidR="00443EC1" w:rsidRDefault="00443EC1">
            <w:pPr>
              <w:spacing w:before="0" w:after="0" w:line="280" w:lineRule="exact"/>
              <w:jc w:val="center"/>
              <w:rPr>
                <w:rFonts w:hint="cs"/>
                <w:sz w:val="24"/>
                <w:szCs w:val="24"/>
                <w:rtl/>
              </w:rPr>
            </w:pPr>
            <w:r>
              <w:rPr>
                <w:rFonts w:hint="cs"/>
                <w:sz w:val="24"/>
                <w:szCs w:val="24"/>
                <w:rtl/>
              </w:rPr>
              <w:t>نهاية 2002*</w:t>
            </w:r>
          </w:p>
          <w:p w:rsidR="00443EC1" w:rsidRDefault="00443EC1">
            <w:pPr>
              <w:spacing w:before="0" w:after="0" w:line="280" w:lineRule="exact"/>
              <w:jc w:val="center"/>
              <w:rPr>
                <w:rStyle w:val="FootnoteReference"/>
                <w:rFonts w:hint="cs"/>
                <w:bCs w:val="0"/>
                <w:sz w:val="24"/>
                <w:szCs w:val="24"/>
                <w:vertAlign w:val="baseline"/>
              </w:rPr>
            </w:pPr>
            <w:r>
              <w:rPr>
                <w:rFonts w:hint="cs"/>
                <w:sz w:val="24"/>
                <w:szCs w:val="24"/>
                <w:rtl/>
              </w:rPr>
              <w:t>(بالملايين)</w:t>
            </w:r>
          </w:p>
        </w:tc>
      </w:tr>
      <w:tr w:rsidR="00443EC1" w:rsidTr="00443EC1">
        <w:tblPrEx>
          <w:tblCellMar>
            <w:top w:w="0" w:type="dxa"/>
            <w:bottom w:w="0" w:type="dxa"/>
          </w:tblCellMar>
        </w:tblPrEx>
        <w:trPr>
          <w:jc w:val="center"/>
        </w:trPr>
        <w:tc>
          <w:tcPr>
            <w:tcW w:w="855" w:type="dxa"/>
            <w:tcBorders>
              <w:bottom w:val="nil"/>
            </w:tcBorders>
          </w:tcPr>
          <w:p w:rsidR="00443EC1" w:rsidRDefault="00443EC1">
            <w:pPr>
              <w:spacing w:before="0" w:after="0" w:line="280" w:lineRule="exact"/>
              <w:jc w:val="left"/>
              <w:rPr>
                <w:rFonts w:hint="cs"/>
                <w:sz w:val="24"/>
                <w:szCs w:val="24"/>
                <w:rtl/>
              </w:rPr>
            </w:pPr>
            <w:r>
              <w:rPr>
                <w:rFonts w:hint="cs"/>
                <w:sz w:val="24"/>
                <w:szCs w:val="24"/>
                <w:rtl/>
              </w:rPr>
              <w:t>الذكور</w:t>
            </w:r>
          </w:p>
        </w:tc>
        <w:tc>
          <w:tcPr>
            <w:tcW w:w="957" w:type="dxa"/>
            <w:tcBorders>
              <w:bottom w:val="nil"/>
            </w:tcBorders>
          </w:tcPr>
          <w:p w:rsidR="00443EC1" w:rsidRDefault="00443EC1">
            <w:pPr>
              <w:spacing w:before="0" w:after="0" w:line="280" w:lineRule="exact"/>
              <w:jc w:val="center"/>
              <w:rPr>
                <w:rFonts w:hint="cs"/>
                <w:sz w:val="24"/>
                <w:szCs w:val="24"/>
                <w:rtl/>
              </w:rPr>
            </w:pPr>
            <w:r>
              <w:rPr>
                <w:rFonts w:hint="cs"/>
                <w:sz w:val="24"/>
                <w:szCs w:val="24"/>
                <w:rtl/>
              </w:rPr>
              <w:t>2.9</w:t>
            </w:r>
          </w:p>
        </w:tc>
        <w:tc>
          <w:tcPr>
            <w:tcW w:w="957" w:type="dxa"/>
            <w:tcBorders>
              <w:bottom w:val="nil"/>
            </w:tcBorders>
          </w:tcPr>
          <w:p w:rsidR="00443EC1" w:rsidRDefault="00443EC1">
            <w:pPr>
              <w:spacing w:before="0" w:after="0" w:line="280" w:lineRule="exact"/>
              <w:jc w:val="center"/>
              <w:rPr>
                <w:rFonts w:hint="cs"/>
                <w:sz w:val="24"/>
                <w:szCs w:val="24"/>
                <w:rtl/>
              </w:rPr>
            </w:pPr>
            <w:r>
              <w:rPr>
                <w:rFonts w:hint="cs"/>
                <w:sz w:val="24"/>
                <w:szCs w:val="24"/>
                <w:rtl/>
              </w:rPr>
              <w:t>2.9</w:t>
            </w:r>
          </w:p>
        </w:tc>
        <w:tc>
          <w:tcPr>
            <w:tcW w:w="957" w:type="dxa"/>
            <w:tcBorders>
              <w:bottom w:val="nil"/>
            </w:tcBorders>
          </w:tcPr>
          <w:p w:rsidR="00443EC1" w:rsidRDefault="00443EC1">
            <w:pPr>
              <w:spacing w:before="0" w:after="0" w:line="280" w:lineRule="exact"/>
              <w:jc w:val="center"/>
              <w:rPr>
                <w:rFonts w:hint="cs"/>
                <w:sz w:val="24"/>
                <w:szCs w:val="24"/>
                <w:rtl/>
              </w:rPr>
            </w:pPr>
            <w:r>
              <w:rPr>
                <w:rFonts w:hint="cs"/>
                <w:sz w:val="24"/>
                <w:szCs w:val="24"/>
                <w:rtl/>
              </w:rPr>
              <w:t>3.3</w:t>
            </w:r>
          </w:p>
        </w:tc>
        <w:tc>
          <w:tcPr>
            <w:tcW w:w="957" w:type="dxa"/>
            <w:tcBorders>
              <w:bottom w:val="nil"/>
            </w:tcBorders>
          </w:tcPr>
          <w:p w:rsidR="00443EC1" w:rsidRDefault="00443EC1">
            <w:pPr>
              <w:spacing w:before="0" w:after="0" w:line="280" w:lineRule="exact"/>
              <w:jc w:val="center"/>
              <w:rPr>
                <w:rFonts w:hint="cs"/>
                <w:sz w:val="24"/>
                <w:szCs w:val="24"/>
                <w:rtl/>
              </w:rPr>
            </w:pPr>
            <w:r>
              <w:rPr>
                <w:rFonts w:hint="cs"/>
                <w:sz w:val="24"/>
                <w:szCs w:val="24"/>
                <w:rtl/>
              </w:rPr>
              <w:t>3.3</w:t>
            </w:r>
          </w:p>
        </w:tc>
        <w:tc>
          <w:tcPr>
            <w:tcW w:w="957" w:type="dxa"/>
            <w:tcBorders>
              <w:bottom w:val="nil"/>
            </w:tcBorders>
          </w:tcPr>
          <w:p w:rsidR="00443EC1" w:rsidRDefault="00443EC1">
            <w:pPr>
              <w:spacing w:before="0" w:after="0" w:line="280" w:lineRule="exact"/>
              <w:jc w:val="center"/>
              <w:rPr>
                <w:rFonts w:hint="cs"/>
                <w:sz w:val="24"/>
                <w:szCs w:val="24"/>
                <w:rtl/>
              </w:rPr>
            </w:pPr>
            <w:r>
              <w:rPr>
                <w:rFonts w:hint="cs"/>
                <w:sz w:val="24"/>
                <w:szCs w:val="24"/>
                <w:rtl/>
              </w:rPr>
              <w:t>3.3</w:t>
            </w:r>
          </w:p>
        </w:tc>
        <w:tc>
          <w:tcPr>
            <w:tcW w:w="957" w:type="dxa"/>
            <w:tcBorders>
              <w:bottom w:val="nil"/>
            </w:tcBorders>
          </w:tcPr>
          <w:p w:rsidR="00443EC1" w:rsidRDefault="00443EC1">
            <w:pPr>
              <w:spacing w:before="0" w:after="0" w:line="280" w:lineRule="exact"/>
              <w:jc w:val="center"/>
              <w:rPr>
                <w:rFonts w:hint="cs"/>
                <w:sz w:val="24"/>
                <w:szCs w:val="24"/>
                <w:rtl/>
              </w:rPr>
            </w:pPr>
            <w:r>
              <w:rPr>
                <w:rFonts w:hint="cs"/>
                <w:sz w:val="24"/>
                <w:szCs w:val="24"/>
                <w:rtl/>
              </w:rPr>
              <w:t>3.3</w:t>
            </w:r>
          </w:p>
        </w:tc>
        <w:tc>
          <w:tcPr>
            <w:tcW w:w="957" w:type="dxa"/>
            <w:tcBorders>
              <w:bottom w:val="nil"/>
            </w:tcBorders>
          </w:tcPr>
          <w:p w:rsidR="00443EC1" w:rsidRDefault="00443EC1">
            <w:pPr>
              <w:spacing w:before="0" w:after="0" w:line="280" w:lineRule="exact"/>
              <w:jc w:val="center"/>
              <w:rPr>
                <w:rFonts w:hint="cs"/>
                <w:sz w:val="24"/>
                <w:szCs w:val="24"/>
                <w:rtl/>
              </w:rPr>
            </w:pPr>
            <w:r>
              <w:rPr>
                <w:rFonts w:hint="cs"/>
                <w:sz w:val="24"/>
                <w:szCs w:val="24"/>
                <w:rtl/>
              </w:rPr>
              <w:t>3.3</w:t>
            </w:r>
          </w:p>
        </w:tc>
        <w:tc>
          <w:tcPr>
            <w:tcW w:w="957" w:type="dxa"/>
            <w:tcBorders>
              <w:bottom w:val="nil"/>
            </w:tcBorders>
          </w:tcPr>
          <w:p w:rsidR="00443EC1" w:rsidRDefault="00443EC1">
            <w:pPr>
              <w:spacing w:before="0" w:after="0" w:line="280" w:lineRule="exact"/>
              <w:jc w:val="center"/>
              <w:rPr>
                <w:rFonts w:hint="cs"/>
                <w:sz w:val="24"/>
                <w:szCs w:val="24"/>
                <w:rtl/>
              </w:rPr>
            </w:pPr>
            <w:r>
              <w:rPr>
                <w:rFonts w:hint="cs"/>
                <w:sz w:val="24"/>
                <w:szCs w:val="24"/>
                <w:rtl/>
              </w:rPr>
              <w:t>3.3</w:t>
            </w:r>
          </w:p>
        </w:tc>
        <w:tc>
          <w:tcPr>
            <w:tcW w:w="849" w:type="dxa"/>
            <w:tcBorders>
              <w:bottom w:val="nil"/>
            </w:tcBorders>
          </w:tcPr>
          <w:p w:rsidR="00443EC1" w:rsidRDefault="00443EC1">
            <w:pPr>
              <w:spacing w:before="0" w:after="0" w:line="280" w:lineRule="exact"/>
              <w:jc w:val="center"/>
              <w:rPr>
                <w:rFonts w:hint="cs"/>
                <w:sz w:val="24"/>
                <w:szCs w:val="24"/>
                <w:rtl/>
              </w:rPr>
            </w:pPr>
            <w:r>
              <w:rPr>
                <w:rFonts w:hint="cs"/>
                <w:sz w:val="24"/>
                <w:szCs w:val="24"/>
                <w:rtl/>
              </w:rPr>
              <w:t>3.3</w:t>
            </w:r>
          </w:p>
        </w:tc>
      </w:tr>
      <w:tr w:rsidR="00443EC1" w:rsidTr="00443EC1">
        <w:tblPrEx>
          <w:tblCellMar>
            <w:top w:w="0" w:type="dxa"/>
            <w:bottom w:w="0" w:type="dxa"/>
          </w:tblCellMar>
        </w:tblPrEx>
        <w:trPr>
          <w:jc w:val="center"/>
        </w:trPr>
        <w:tc>
          <w:tcPr>
            <w:tcW w:w="855" w:type="dxa"/>
            <w:tcBorders>
              <w:top w:val="nil"/>
            </w:tcBorders>
          </w:tcPr>
          <w:p w:rsidR="00443EC1" w:rsidRDefault="00443EC1">
            <w:pPr>
              <w:spacing w:before="0" w:after="0" w:line="280" w:lineRule="exact"/>
              <w:jc w:val="left"/>
              <w:rPr>
                <w:rFonts w:hint="cs"/>
                <w:sz w:val="24"/>
                <w:szCs w:val="24"/>
                <w:rtl/>
              </w:rPr>
            </w:pPr>
            <w:r>
              <w:rPr>
                <w:rFonts w:hint="cs"/>
                <w:sz w:val="24"/>
                <w:szCs w:val="24"/>
                <w:rtl/>
              </w:rPr>
              <w:t>الإناث</w:t>
            </w:r>
          </w:p>
        </w:tc>
        <w:tc>
          <w:tcPr>
            <w:tcW w:w="957" w:type="dxa"/>
            <w:tcBorders>
              <w:top w:val="nil"/>
            </w:tcBorders>
          </w:tcPr>
          <w:p w:rsidR="00443EC1" w:rsidRDefault="00443EC1">
            <w:pPr>
              <w:spacing w:before="0" w:after="0" w:line="280" w:lineRule="exact"/>
              <w:jc w:val="center"/>
              <w:rPr>
                <w:rFonts w:hint="cs"/>
                <w:sz w:val="24"/>
                <w:szCs w:val="24"/>
                <w:rtl/>
              </w:rPr>
            </w:pPr>
            <w:r>
              <w:rPr>
                <w:rFonts w:hint="cs"/>
                <w:sz w:val="24"/>
                <w:szCs w:val="24"/>
                <w:rtl/>
              </w:rPr>
              <w:t>2.7</w:t>
            </w:r>
          </w:p>
        </w:tc>
        <w:tc>
          <w:tcPr>
            <w:tcW w:w="957" w:type="dxa"/>
            <w:tcBorders>
              <w:top w:val="nil"/>
            </w:tcBorders>
          </w:tcPr>
          <w:p w:rsidR="00443EC1" w:rsidRDefault="00443EC1">
            <w:pPr>
              <w:spacing w:before="0" w:after="0" w:line="280" w:lineRule="exact"/>
              <w:jc w:val="center"/>
              <w:rPr>
                <w:rFonts w:hint="cs"/>
                <w:sz w:val="24"/>
                <w:szCs w:val="24"/>
                <w:rtl/>
              </w:rPr>
            </w:pPr>
            <w:r>
              <w:rPr>
                <w:rFonts w:hint="cs"/>
                <w:sz w:val="24"/>
                <w:szCs w:val="24"/>
                <w:rtl/>
              </w:rPr>
              <w:t>2.9</w:t>
            </w:r>
          </w:p>
        </w:tc>
        <w:tc>
          <w:tcPr>
            <w:tcW w:w="957" w:type="dxa"/>
            <w:tcBorders>
              <w:top w:val="nil"/>
            </w:tcBorders>
          </w:tcPr>
          <w:p w:rsidR="00443EC1" w:rsidRDefault="00443EC1">
            <w:pPr>
              <w:spacing w:before="0" w:after="0" w:line="280" w:lineRule="exact"/>
              <w:jc w:val="center"/>
              <w:rPr>
                <w:rFonts w:hint="cs"/>
                <w:sz w:val="24"/>
                <w:szCs w:val="24"/>
                <w:rtl/>
              </w:rPr>
            </w:pPr>
            <w:r>
              <w:rPr>
                <w:rFonts w:hint="cs"/>
                <w:sz w:val="24"/>
                <w:szCs w:val="24"/>
                <w:rtl/>
              </w:rPr>
              <w:t>3.3</w:t>
            </w:r>
          </w:p>
        </w:tc>
        <w:tc>
          <w:tcPr>
            <w:tcW w:w="957" w:type="dxa"/>
            <w:tcBorders>
              <w:top w:val="nil"/>
            </w:tcBorders>
          </w:tcPr>
          <w:p w:rsidR="00443EC1" w:rsidRDefault="00443EC1">
            <w:pPr>
              <w:spacing w:before="0" w:after="0" w:line="280" w:lineRule="exact"/>
              <w:jc w:val="center"/>
              <w:rPr>
                <w:rFonts w:hint="cs"/>
                <w:sz w:val="24"/>
                <w:szCs w:val="24"/>
                <w:rtl/>
              </w:rPr>
            </w:pPr>
            <w:r>
              <w:rPr>
                <w:rFonts w:hint="cs"/>
                <w:sz w:val="24"/>
                <w:szCs w:val="24"/>
                <w:rtl/>
              </w:rPr>
              <w:t>3.4</w:t>
            </w:r>
          </w:p>
        </w:tc>
        <w:tc>
          <w:tcPr>
            <w:tcW w:w="957" w:type="dxa"/>
            <w:tcBorders>
              <w:top w:val="nil"/>
            </w:tcBorders>
          </w:tcPr>
          <w:p w:rsidR="00443EC1" w:rsidRDefault="00443EC1">
            <w:pPr>
              <w:spacing w:before="0" w:after="0" w:line="280" w:lineRule="exact"/>
              <w:jc w:val="center"/>
              <w:rPr>
                <w:rFonts w:hint="cs"/>
                <w:sz w:val="24"/>
                <w:szCs w:val="24"/>
                <w:rtl/>
              </w:rPr>
            </w:pPr>
            <w:r>
              <w:rPr>
                <w:rFonts w:hint="cs"/>
                <w:sz w:val="24"/>
                <w:szCs w:val="24"/>
                <w:rtl/>
              </w:rPr>
              <w:t>3.4</w:t>
            </w:r>
          </w:p>
        </w:tc>
        <w:tc>
          <w:tcPr>
            <w:tcW w:w="957" w:type="dxa"/>
            <w:tcBorders>
              <w:top w:val="nil"/>
            </w:tcBorders>
          </w:tcPr>
          <w:p w:rsidR="00443EC1" w:rsidRDefault="00443EC1">
            <w:pPr>
              <w:spacing w:before="0" w:after="0" w:line="280" w:lineRule="exact"/>
              <w:jc w:val="center"/>
              <w:rPr>
                <w:rFonts w:hint="cs"/>
                <w:sz w:val="24"/>
                <w:szCs w:val="24"/>
                <w:rtl/>
              </w:rPr>
            </w:pPr>
            <w:r>
              <w:rPr>
                <w:rFonts w:hint="cs"/>
                <w:sz w:val="24"/>
                <w:szCs w:val="24"/>
                <w:rtl/>
              </w:rPr>
              <w:t>3.4</w:t>
            </w:r>
          </w:p>
        </w:tc>
        <w:tc>
          <w:tcPr>
            <w:tcW w:w="957" w:type="dxa"/>
            <w:tcBorders>
              <w:top w:val="nil"/>
            </w:tcBorders>
          </w:tcPr>
          <w:p w:rsidR="00443EC1" w:rsidRDefault="00443EC1">
            <w:pPr>
              <w:spacing w:before="0" w:after="0" w:line="280" w:lineRule="exact"/>
              <w:jc w:val="center"/>
              <w:rPr>
                <w:rFonts w:hint="cs"/>
                <w:sz w:val="24"/>
                <w:szCs w:val="24"/>
                <w:rtl/>
              </w:rPr>
            </w:pPr>
            <w:r>
              <w:rPr>
                <w:rFonts w:hint="cs"/>
                <w:sz w:val="24"/>
                <w:szCs w:val="24"/>
                <w:rtl/>
              </w:rPr>
              <w:t>3.5</w:t>
            </w:r>
          </w:p>
        </w:tc>
        <w:tc>
          <w:tcPr>
            <w:tcW w:w="957" w:type="dxa"/>
            <w:tcBorders>
              <w:top w:val="nil"/>
            </w:tcBorders>
          </w:tcPr>
          <w:p w:rsidR="00443EC1" w:rsidRDefault="00443EC1">
            <w:pPr>
              <w:spacing w:before="0" w:after="0" w:line="280" w:lineRule="exact"/>
              <w:jc w:val="center"/>
              <w:rPr>
                <w:rFonts w:hint="cs"/>
                <w:sz w:val="24"/>
                <w:szCs w:val="24"/>
                <w:rtl/>
              </w:rPr>
            </w:pPr>
            <w:r>
              <w:rPr>
                <w:rFonts w:hint="cs"/>
                <w:sz w:val="24"/>
                <w:szCs w:val="24"/>
                <w:rtl/>
              </w:rPr>
              <w:t>3.5</w:t>
            </w:r>
          </w:p>
        </w:tc>
        <w:tc>
          <w:tcPr>
            <w:tcW w:w="849" w:type="dxa"/>
            <w:tcBorders>
              <w:top w:val="nil"/>
            </w:tcBorders>
          </w:tcPr>
          <w:p w:rsidR="00443EC1" w:rsidRDefault="00443EC1">
            <w:pPr>
              <w:spacing w:before="0" w:after="0" w:line="280" w:lineRule="exact"/>
              <w:jc w:val="center"/>
              <w:rPr>
                <w:rFonts w:hint="cs"/>
                <w:sz w:val="24"/>
                <w:szCs w:val="24"/>
                <w:rtl/>
              </w:rPr>
            </w:pPr>
            <w:r>
              <w:rPr>
                <w:rFonts w:hint="cs"/>
                <w:sz w:val="24"/>
                <w:szCs w:val="24"/>
                <w:rtl/>
              </w:rPr>
              <w:t>3.5</w:t>
            </w:r>
          </w:p>
        </w:tc>
      </w:tr>
      <w:tr w:rsidR="00443EC1" w:rsidTr="00443EC1">
        <w:tblPrEx>
          <w:tblCellMar>
            <w:top w:w="0" w:type="dxa"/>
            <w:bottom w:w="0" w:type="dxa"/>
          </w:tblCellMar>
        </w:tblPrEx>
        <w:trPr>
          <w:trHeight w:val="440"/>
          <w:jc w:val="center"/>
        </w:trPr>
        <w:tc>
          <w:tcPr>
            <w:tcW w:w="855" w:type="dxa"/>
          </w:tcPr>
          <w:p w:rsidR="00443EC1" w:rsidRDefault="00443EC1">
            <w:pPr>
              <w:spacing w:before="0" w:after="0" w:line="280" w:lineRule="exact"/>
              <w:jc w:val="left"/>
              <w:rPr>
                <w:rFonts w:hint="cs"/>
                <w:sz w:val="24"/>
                <w:szCs w:val="24"/>
                <w:rtl/>
              </w:rPr>
            </w:pPr>
            <w:r>
              <w:rPr>
                <w:rFonts w:hint="cs"/>
                <w:sz w:val="24"/>
                <w:szCs w:val="24"/>
                <w:rtl/>
              </w:rPr>
              <w:t>المجموع</w:t>
            </w:r>
          </w:p>
        </w:tc>
        <w:tc>
          <w:tcPr>
            <w:tcW w:w="957" w:type="dxa"/>
          </w:tcPr>
          <w:p w:rsidR="00443EC1" w:rsidRDefault="00443EC1">
            <w:pPr>
              <w:spacing w:before="0" w:after="0" w:line="280" w:lineRule="exact"/>
              <w:jc w:val="center"/>
              <w:rPr>
                <w:rFonts w:hint="cs"/>
                <w:sz w:val="24"/>
                <w:szCs w:val="24"/>
                <w:rtl/>
              </w:rPr>
            </w:pPr>
            <w:r>
              <w:rPr>
                <w:rFonts w:hint="cs"/>
                <w:sz w:val="24"/>
                <w:szCs w:val="24"/>
                <w:rtl/>
              </w:rPr>
              <w:t>5.6</w:t>
            </w:r>
          </w:p>
        </w:tc>
        <w:tc>
          <w:tcPr>
            <w:tcW w:w="957" w:type="dxa"/>
          </w:tcPr>
          <w:p w:rsidR="00443EC1" w:rsidRDefault="00443EC1">
            <w:pPr>
              <w:spacing w:before="0" w:after="0" w:line="280" w:lineRule="exact"/>
              <w:jc w:val="center"/>
              <w:rPr>
                <w:rFonts w:hint="cs"/>
                <w:sz w:val="24"/>
                <w:szCs w:val="24"/>
                <w:rtl/>
              </w:rPr>
            </w:pPr>
            <w:r>
              <w:rPr>
                <w:rFonts w:hint="cs"/>
                <w:sz w:val="24"/>
                <w:szCs w:val="24"/>
                <w:rtl/>
              </w:rPr>
              <w:t>5.8</w:t>
            </w:r>
          </w:p>
        </w:tc>
        <w:tc>
          <w:tcPr>
            <w:tcW w:w="957" w:type="dxa"/>
          </w:tcPr>
          <w:p w:rsidR="00443EC1" w:rsidRDefault="00443EC1">
            <w:pPr>
              <w:spacing w:before="0" w:after="0" w:line="280" w:lineRule="exact"/>
              <w:jc w:val="center"/>
              <w:rPr>
                <w:rFonts w:hint="cs"/>
                <w:sz w:val="24"/>
                <w:szCs w:val="24"/>
                <w:rtl/>
              </w:rPr>
            </w:pPr>
            <w:r>
              <w:rPr>
                <w:rFonts w:hint="cs"/>
                <w:sz w:val="24"/>
                <w:szCs w:val="24"/>
                <w:rtl/>
              </w:rPr>
              <w:t>6.6</w:t>
            </w:r>
          </w:p>
        </w:tc>
        <w:tc>
          <w:tcPr>
            <w:tcW w:w="957" w:type="dxa"/>
          </w:tcPr>
          <w:p w:rsidR="00443EC1" w:rsidRDefault="00443EC1">
            <w:pPr>
              <w:spacing w:before="0" w:after="0" w:line="280" w:lineRule="exact"/>
              <w:jc w:val="center"/>
              <w:rPr>
                <w:rFonts w:hint="cs"/>
                <w:sz w:val="24"/>
                <w:szCs w:val="24"/>
                <w:rtl/>
              </w:rPr>
            </w:pPr>
            <w:r>
              <w:rPr>
                <w:rFonts w:hint="cs"/>
                <w:sz w:val="24"/>
                <w:szCs w:val="24"/>
                <w:rtl/>
              </w:rPr>
              <w:t>6.7</w:t>
            </w:r>
          </w:p>
        </w:tc>
        <w:tc>
          <w:tcPr>
            <w:tcW w:w="957" w:type="dxa"/>
          </w:tcPr>
          <w:p w:rsidR="00443EC1" w:rsidRDefault="00443EC1">
            <w:pPr>
              <w:spacing w:before="0" w:after="0" w:line="280" w:lineRule="exact"/>
              <w:jc w:val="center"/>
              <w:rPr>
                <w:rFonts w:hint="cs"/>
                <w:sz w:val="24"/>
                <w:szCs w:val="24"/>
                <w:rtl/>
              </w:rPr>
            </w:pPr>
            <w:r>
              <w:rPr>
                <w:rFonts w:hint="cs"/>
                <w:sz w:val="24"/>
                <w:szCs w:val="24"/>
                <w:rtl/>
              </w:rPr>
              <w:t>6.7</w:t>
            </w:r>
          </w:p>
        </w:tc>
        <w:tc>
          <w:tcPr>
            <w:tcW w:w="957" w:type="dxa"/>
          </w:tcPr>
          <w:p w:rsidR="00443EC1" w:rsidRDefault="00443EC1">
            <w:pPr>
              <w:spacing w:before="0" w:after="0" w:line="280" w:lineRule="exact"/>
              <w:jc w:val="center"/>
              <w:rPr>
                <w:rFonts w:hint="cs"/>
                <w:sz w:val="24"/>
                <w:szCs w:val="24"/>
                <w:rtl/>
              </w:rPr>
            </w:pPr>
            <w:r>
              <w:rPr>
                <w:rFonts w:hint="cs"/>
                <w:sz w:val="24"/>
                <w:szCs w:val="24"/>
                <w:rtl/>
              </w:rPr>
              <w:t>6.7</w:t>
            </w:r>
          </w:p>
        </w:tc>
        <w:tc>
          <w:tcPr>
            <w:tcW w:w="957" w:type="dxa"/>
          </w:tcPr>
          <w:p w:rsidR="00443EC1" w:rsidRDefault="00443EC1">
            <w:pPr>
              <w:spacing w:before="0" w:after="0" w:line="280" w:lineRule="exact"/>
              <w:jc w:val="center"/>
              <w:rPr>
                <w:rFonts w:hint="cs"/>
                <w:sz w:val="24"/>
                <w:szCs w:val="24"/>
                <w:rtl/>
              </w:rPr>
            </w:pPr>
            <w:r>
              <w:rPr>
                <w:rFonts w:hint="cs"/>
                <w:sz w:val="24"/>
                <w:szCs w:val="24"/>
                <w:rtl/>
              </w:rPr>
              <w:t>6.8</w:t>
            </w:r>
          </w:p>
        </w:tc>
        <w:tc>
          <w:tcPr>
            <w:tcW w:w="957" w:type="dxa"/>
          </w:tcPr>
          <w:p w:rsidR="00443EC1" w:rsidRDefault="00443EC1">
            <w:pPr>
              <w:spacing w:before="0" w:after="0" w:line="280" w:lineRule="exact"/>
              <w:jc w:val="center"/>
              <w:rPr>
                <w:rFonts w:hint="cs"/>
                <w:sz w:val="24"/>
                <w:szCs w:val="24"/>
                <w:rtl/>
              </w:rPr>
            </w:pPr>
            <w:r>
              <w:rPr>
                <w:rFonts w:hint="cs"/>
                <w:sz w:val="24"/>
                <w:szCs w:val="24"/>
                <w:rtl/>
              </w:rPr>
              <w:t>6.8</w:t>
            </w:r>
          </w:p>
        </w:tc>
        <w:tc>
          <w:tcPr>
            <w:tcW w:w="849" w:type="dxa"/>
          </w:tcPr>
          <w:p w:rsidR="00443EC1" w:rsidRDefault="00443EC1">
            <w:pPr>
              <w:spacing w:before="0" w:after="0" w:line="280" w:lineRule="exact"/>
              <w:jc w:val="center"/>
              <w:rPr>
                <w:rFonts w:hint="cs"/>
                <w:sz w:val="24"/>
                <w:szCs w:val="24"/>
                <w:rtl/>
              </w:rPr>
            </w:pPr>
            <w:r>
              <w:rPr>
                <w:rFonts w:hint="cs"/>
                <w:sz w:val="24"/>
                <w:szCs w:val="24"/>
                <w:rtl/>
              </w:rPr>
              <w:t>6.8</w:t>
            </w:r>
          </w:p>
        </w:tc>
      </w:tr>
    </w:tbl>
    <w:p w:rsidR="00000000" w:rsidRDefault="00443EC1">
      <w:pPr>
        <w:spacing w:before="0" w:after="0"/>
        <w:jc w:val="both"/>
        <w:rPr>
          <w:rFonts w:hint="cs"/>
          <w:sz w:val="24"/>
          <w:szCs w:val="24"/>
          <w:rtl/>
        </w:rPr>
      </w:pPr>
      <w:r>
        <w:rPr>
          <w:rFonts w:hint="cs"/>
          <w:sz w:val="24"/>
          <w:szCs w:val="24"/>
          <w:rtl/>
        </w:rPr>
        <w:tab/>
        <w:t>*</w:t>
      </w:r>
      <w:r>
        <w:rPr>
          <w:rFonts w:hint="cs"/>
          <w:sz w:val="24"/>
          <w:szCs w:val="24"/>
          <w:rtl/>
        </w:rPr>
        <w:tab/>
        <w:t>أرقام أولية.</w:t>
      </w:r>
    </w:p>
    <w:p w:rsidR="00000000" w:rsidRDefault="00443EC1">
      <w:pPr>
        <w:jc w:val="both"/>
        <w:rPr>
          <w:rFonts w:hint="cs"/>
          <w:b/>
          <w:bCs/>
          <w:rtl/>
        </w:rPr>
      </w:pPr>
      <w:r>
        <w:rPr>
          <w:rFonts w:hint="cs"/>
          <w:b/>
          <w:bCs/>
          <w:rtl/>
        </w:rPr>
        <w:t>السكان بحسب الفئة العمرية والجنس</w:t>
      </w:r>
    </w:p>
    <w:tbl>
      <w:tblPr>
        <w:bidiVisual/>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050"/>
        <w:gridCol w:w="588"/>
        <w:gridCol w:w="720"/>
        <w:gridCol w:w="882"/>
        <w:gridCol w:w="900"/>
        <w:gridCol w:w="900"/>
        <w:gridCol w:w="900"/>
        <w:gridCol w:w="720"/>
        <w:gridCol w:w="900"/>
        <w:gridCol w:w="720"/>
        <w:gridCol w:w="900"/>
      </w:tblGrid>
      <w:tr w:rsidR="00443EC1" w:rsidTr="00443EC1">
        <w:tblPrEx>
          <w:tblCellMar>
            <w:top w:w="0" w:type="dxa"/>
            <w:bottom w:w="0" w:type="dxa"/>
          </w:tblCellMar>
        </w:tblPrEx>
        <w:trPr>
          <w:cantSplit/>
          <w:trHeight w:val="381"/>
          <w:jc w:val="center"/>
        </w:trPr>
        <w:tc>
          <w:tcPr>
            <w:tcW w:w="1050" w:type="dxa"/>
            <w:tcBorders>
              <w:bottom w:val="nil"/>
            </w:tcBorders>
          </w:tcPr>
          <w:p w:rsidR="00443EC1" w:rsidRDefault="00443EC1">
            <w:pPr>
              <w:spacing w:before="0" w:after="0" w:line="280" w:lineRule="exact"/>
              <w:jc w:val="both"/>
              <w:rPr>
                <w:szCs w:val="22"/>
              </w:rPr>
            </w:pPr>
            <w:r>
              <w:rPr>
                <w:rFonts w:hint="cs"/>
                <w:szCs w:val="22"/>
                <w:rtl/>
              </w:rPr>
              <w:t>العمر</w:t>
            </w:r>
          </w:p>
        </w:tc>
        <w:tc>
          <w:tcPr>
            <w:tcW w:w="588" w:type="dxa"/>
            <w:tcBorders>
              <w:bottom w:val="nil"/>
            </w:tcBorders>
          </w:tcPr>
          <w:p w:rsidR="00443EC1" w:rsidRDefault="00443EC1">
            <w:pPr>
              <w:spacing w:before="0" w:after="0" w:line="280" w:lineRule="exact"/>
              <w:jc w:val="both"/>
              <w:rPr>
                <w:szCs w:val="22"/>
              </w:rPr>
            </w:pPr>
            <w:r>
              <w:rPr>
                <w:rFonts w:hint="cs"/>
                <w:szCs w:val="22"/>
                <w:rtl/>
              </w:rPr>
              <w:t>الجنس</w:t>
            </w:r>
          </w:p>
        </w:tc>
        <w:tc>
          <w:tcPr>
            <w:tcW w:w="7542" w:type="dxa"/>
            <w:gridSpan w:val="9"/>
            <w:tcBorders>
              <w:top w:val="single" w:sz="4" w:space="0" w:color="auto"/>
              <w:bottom w:val="single" w:sz="4" w:space="0" w:color="auto"/>
            </w:tcBorders>
          </w:tcPr>
          <w:p w:rsidR="00443EC1" w:rsidRDefault="00443EC1">
            <w:pPr>
              <w:spacing w:before="0" w:after="0" w:line="280" w:lineRule="exact"/>
              <w:jc w:val="center"/>
              <w:rPr>
                <w:rFonts w:hint="cs"/>
                <w:szCs w:val="22"/>
              </w:rPr>
            </w:pPr>
            <w:r>
              <w:rPr>
                <w:rFonts w:hint="cs"/>
                <w:szCs w:val="22"/>
                <w:rtl/>
              </w:rPr>
              <w:t>النسبة المئوية من مجموع عدد السكان</w:t>
            </w:r>
          </w:p>
        </w:tc>
      </w:tr>
      <w:tr w:rsidR="00443EC1" w:rsidTr="00443EC1">
        <w:tblPrEx>
          <w:tblCellMar>
            <w:top w:w="0" w:type="dxa"/>
            <w:bottom w:w="0" w:type="dxa"/>
          </w:tblCellMar>
        </w:tblPrEx>
        <w:trPr>
          <w:trHeight w:val="529"/>
          <w:jc w:val="center"/>
        </w:trPr>
        <w:tc>
          <w:tcPr>
            <w:tcW w:w="1050" w:type="dxa"/>
            <w:tcBorders>
              <w:top w:val="nil"/>
              <w:bottom w:val="single" w:sz="4" w:space="0" w:color="auto"/>
            </w:tcBorders>
          </w:tcPr>
          <w:p w:rsidR="00443EC1" w:rsidRDefault="00443EC1">
            <w:pPr>
              <w:spacing w:before="0" w:after="0" w:line="280" w:lineRule="exact"/>
              <w:jc w:val="both"/>
              <w:rPr>
                <w:rFonts w:hint="cs"/>
                <w:szCs w:val="22"/>
              </w:rPr>
            </w:pPr>
          </w:p>
        </w:tc>
        <w:tc>
          <w:tcPr>
            <w:tcW w:w="588" w:type="dxa"/>
            <w:tcBorders>
              <w:top w:val="nil"/>
              <w:bottom w:val="single" w:sz="4" w:space="0" w:color="auto"/>
            </w:tcBorders>
          </w:tcPr>
          <w:p w:rsidR="00443EC1" w:rsidRDefault="00443EC1">
            <w:pPr>
              <w:spacing w:before="0" w:after="0" w:line="280" w:lineRule="exact"/>
              <w:jc w:val="both"/>
              <w:rPr>
                <w:rFonts w:hint="cs"/>
                <w:szCs w:val="22"/>
              </w:rPr>
            </w:pPr>
          </w:p>
        </w:tc>
        <w:tc>
          <w:tcPr>
            <w:tcW w:w="720" w:type="dxa"/>
            <w:tcBorders>
              <w:top w:val="single" w:sz="4" w:space="0" w:color="auto"/>
              <w:bottom w:val="single" w:sz="4" w:space="0" w:color="auto"/>
            </w:tcBorders>
          </w:tcPr>
          <w:p w:rsidR="00443EC1" w:rsidRDefault="00443EC1">
            <w:pPr>
              <w:spacing w:before="0" w:after="0" w:line="280" w:lineRule="exact"/>
              <w:jc w:val="center"/>
              <w:rPr>
                <w:rFonts w:hint="cs"/>
                <w:szCs w:val="22"/>
              </w:rPr>
            </w:pPr>
            <w:r>
              <w:rPr>
                <w:rFonts w:hint="cs"/>
                <w:szCs w:val="22"/>
                <w:rtl/>
              </w:rPr>
              <w:t>منتصف 1987</w:t>
            </w:r>
          </w:p>
        </w:tc>
        <w:tc>
          <w:tcPr>
            <w:tcW w:w="882" w:type="dxa"/>
            <w:tcBorders>
              <w:top w:val="single" w:sz="4" w:space="0" w:color="auto"/>
              <w:bottom w:val="single" w:sz="4" w:space="0" w:color="auto"/>
            </w:tcBorders>
          </w:tcPr>
          <w:p w:rsidR="00443EC1" w:rsidRDefault="00443EC1">
            <w:pPr>
              <w:spacing w:before="0" w:after="0" w:line="280" w:lineRule="exact"/>
              <w:jc w:val="center"/>
              <w:rPr>
                <w:rFonts w:hint="cs"/>
                <w:szCs w:val="22"/>
              </w:rPr>
            </w:pPr>
            <w:r>
              <w:rPr>
                <w:rFonts w:hint="cs"/>
                <w:szCs w:val="22"/>
                <w:rtl/>
              </w:rPr>
              <w:t>منتصف 1992</w:t>
            </w:r>
          </w:p>
        </w:tc>
        <w:tc>
          <w:tcPr>
            <w:tcW w:w="900" w:type="dxa"/>
            <w:tcBorders>
              <w:top w:val="single" w:sz="4" w:space="0" w:color="auto"/>
              <w:bottom w:val="single" w:sz="4" w:space="0" w:color="auto"/>
            </w:tcBorders>
          </w:tcPr>
          <w:p w:rsidR="00443EC1" w:rsidRDefault="00443EC1">
            <w:pPr>
              <w:spacing w:before="0" w:after="0" w:line="280" w:lineRule="exact"/>
              <w:jc w:val="center"/>
              <w:rPr>
                <w:rFonts w:hint="cs"/>
                <w:szCs w:val="22"/>
              </w:rPr>
            </w:pPr>
            <w:r>
              <w:rPr>
                <w:rFonts w:hint="cs"/>
                <w:szCs w:val="22"/>
                <w:rtl/>
              </w:rPr>
              <w:t>منتصف 1999</w:t>
            </w:r>
          </w:p>
        </w:tc>
        <w:tc>
          <w:tcPr>
            <w:tcW w:w="900" w:type="dxa"/>
            <w:tcBorders>
              <w:top w:val="single" w:sz="4" w:space="0" w:color="auto"/>
              <w:bottom w:val="single" w:sz="4" w:space="0" w:color="auto"/>
            </w:tcBorders>
          </w:tcPr>
          <w:p w:rsidR="00443EC1" w:rsidRDefault="00443EC1">
            <w:pPr>
              <w:spacing w:before="0" w:after="0" w:line="280" w:lineRule="exact"/>
              <w:jc w:val="center"/>
              <w:rPr>
                <w:rFonts w:hint="cs"/>
                <w:szCs w:val="22"/>
              </w:rPr>
            </w:pPr>
            <w:r>
              <w:rPr>
                <w:rFonts w:hint="cs"/>
                <w:szCs w:val="22"/>
                <w:rtl/>
              </w:rPr>
              <w:t>منتصف 2000</w:t>
            </w:r>
          </w:p>
        </w:tc>
        <w:tc>
          <w:tcPr>
            <w:tcW w:w="900" w:type="dxa"/>
            <w:tcBorders>
              <w:top w:val="single" w:sz="4" w:space="0" w:color="auto"/>
              <w:bottom w:val="single" w:sz="4" w:space="0" w:color="auto"/>
            </w:tcBorders>
          </w:tcPr>
          <w:p w:rsidR="00443EC1" w:rsidRDefault="00443EC1">
            <w:pPr>
              <w:spacing w:before="0" w:after="0" w:line="280" w:lineRule="exact"/>
              <w:jc w:val="center"/>
              <w:rPr>
                <w:rFonts w:hint="cs"/>
                <w:szCs w:val="22"/>
              </w:rPr>
            </w:pPr>
            <w:r>
              <w:rPr>
                <w:rFonts w:hint="cs"/>
                <w:szCs w:val="22"/>
                <w:rtl/>
              </w:rPr>
              <w:t>نهاية 2000</w:t>
            </w:r>
          </w:p>
        </w:tc>
        <w:tc>
          <w:tcPr>
            <w:tcW w:w="720" w:type="dxa"/>
            <w:tcBorders>
              <w:top w:val="single" w:sz="4" w:space="0" w:color="auto"/>
              <w:bottom w:val="single" w:sz="4" w:space="0" w:color="auto"/>
            </w:tcBorders>
          </w:tcPr>
          <w:p w:rsidR="00443EC1" w:rsidRDefault="00443EC1">
            <w:pPr>
              <w:spacing w:before="0" w:after="0" w:line="280" w:lineRule="exact"/>
              <w:jc w:val="center"/>
              <w:rPr>
                <w:rFonts w:hint="cs"/>
                <w:szCs w:val="22"/>
              </w:rPr>
            </w:pPr>
            <w:r>
              <w:rPr>
                <w:rFonts w:hint="cs"/>
                <w:szCs w:val="22"/>
                <w:rtl/>
              </w:rPr>
              <w:t>منتصف 2001</w:t>
            </w:r>
          </w:p>
        </w:tc>
        <w:tc>
          <w:tcPr>
            <w:tcW w:w="900" w:type="dxa"/>
            <w:tcBorders>
              <w:top w:val="single" w:sz="4" w:space="0" w:color="auto"/>
              <w:bottom w:val="single" w:sz="4" w:space="0" w:color="auto"/>
            </w:tcBorders>
          </w:tcPr>
          <w:p w:rsidR="00443EC1" w:rsidRDefault="00443EC1">
            <w:pPr>
              <w:spacing w:before="0" w:after="0" w:line="280" w:lineRule="exact"/>
              <w:jc w:val="center"/>
              <w:rPr>
                <w:rFonts w:hint="cs"/>
                <w:szCs w:val="22"/>
              </w:rPr>
            </w:pPr>
            <w:r>
              <w:rPr>
                <w:rFonts w:hint="cs"/>
                <w:szCs w:val="22"/>
                <w:rtl/>
              </w:rPr>
              <w:t>نهاية</w:t>
            </w:r>
            <w:r>
              <w:rPr>
                <w:szCs w:val="22"/>
                <w:rtl/>
              </w:rPr>
              <w:br/>
            </w:r>
            <w:r>
              <w:rPr>
                <w:rFonts w:hint="cs"/>
                <w:szCs w:val="22"/>
                <w:rtl/>
              </w:rPr>
              <w:t>2001</w:t>
            </w:r>
          </w:p>
        </w:tc>
        <w:tc>
          <w:tcPr>
            <w:tcW w:w="720" w:type="dxa"/>
            <w:tcBorders>
              <w:top w:val="single" w:sz="4" w:space="0" w:color="auto"/>
              <w:bottom w:val="single" w:sz="4" w:space="0" w:color="auto"/>
            </w:tcBorders>
          </w:tcPr>
          <w:p w:rsidR="00443EC1" w:rsidRDefault="00443EC1">
            <w:pPr>
              <w:spacing w:before="0" w:after="0" w:line="280" w:lineRule="exact"/>
              <w:jc w:val="center"/>
              <w:rPr>
                <w:rFonts w:hint="cs"/>
                <w:szCs w:val="22"/>
              </w:rPr>
            </w:pPr>
            <w:r>
              <w:rPr>
                <w:rFonts w:hint="cs"/>
                <w:szCs w:val="22"/>
                <w:rtl/>
              </w:rPr>
              <w:t>منتصف 2002</w:t>
            </w:r>
          </w:p>
        </w:tc>
        <w:tc>
          <w:tcPr>
            <w:tcW w:w="900" w:type="dxa"/>
            <w:tcBorders>
              <w:top w:val="single" w:sz="4" w:space="0" w:color="auto"/>
              <w:bottom w:val="single" w:sz="4" w:space="0" w:color="auto"/>
            </w:tcBorders>
          </w:tcPr>
          <w:p w:rsidR="00443EC1" w:rsidRDefault="00443EC1">
            <w:pPr>
              <w:spacing w:before="0" w:after="0" w:line="280" w:lineRule="exact"/>
              <w:jc w:val="center"/>
              <w:rPr>
                <w:rFonts w:hint="cs"/>
                <w:szCs w:val="22"/>
              </w:rPr>
            </w:pPr>
            <w:r>
              <w:rPr>
                <w:rFonts w:hint="cs"/>
                <w:szCs w:val="22"/>
                <w:rtl/>
              </w:rPr>
              <w:t>نهاية 2002*</w:t>
            </w:r>
          </w:p>
        </w:tc>
      </w:tr>
      <w:tr w:rsidR="00443EC1" w:rsidTr="00443EC1">
        <w:tblPrEx>
          <w:tblCellMar>
            <w:top w:w="0" w:type="dxa"/>
            <w:bottom w:w="0" w:type="dxa"/>
          </w:tblCellMar>
        </w:tblPrEx>
        <w:trPr>
          <w:jc w:val="center"/>
        </w:trPr>
        <w:tc>
          <w:tcPr>
            <w:tcW w:w="1050" w:type="dxa"/>
            <w:tcBorders>
              <w:top w:val="single" w:sz="4" w:space="0" w:color="auto"/>
            </w:tcBorders>
          </w:tcPr>
          <w:p w:rsidR="00443EC1" w:rsidRDefault="00443EC1">
            <w:pPr>
              <w:spacing w:before="0" w:after="0" w:line="280" w:lineRule="exact"/>
              <w:jc w:val="both"/>
              <w:rPr>
                <w:rFonts w:hint="cs"/>
                <w:szCs w:val="22"/>
              </w:rPr>
            </w:pPr>
            <w:r>
              <w:rPr>
                <w:rFonts w:hint="cs"/>
                <w:szCs w:val="22"/>
                <w:rtl/>
              </w:rPr>
              <w:t>دون ال‍ 15</w:t>
            </w:r>
          </w:p>
        </w:tc>
        <w:tc>
          <w:tcPr>
            <w:tcW w:w="588" w:type="dxa"/>
            <w:tcBorders>
              <w:top w:val="single" w:sz="4" w:space="0" w:color="auto"/>
            </w:tcBorders>
          </w:tcPr>
          <w:p w:rsidR="00443EC1" w:rsidRDefault="00443EC1">
            <w:pPr>
              <w:spacing w:before="0" w:after="0" w:line="280" w:lineRule="exact"/>
              <w:jc w:val="both"/>
              <w:rPr>
                <w:rFonts w:hint="cs"/>
                <w:szCs w:val="22"/>
              </w:rPr>
            </w:pPr>
            <w:r>
              <w:rPr>
                <w:rFonts w:hint="cs"/>
                <w:szCs w:val="22"/>
                <w:rtl/>
              </w:rPr>
              <w:t>ذكور</w:t>
            </w:r>
          </w:p>
        </w:tc>
        <w:tc>
          <w:tcPr>
            <w:tcW w:w="720" w:type="dxa"/>
            <w:tcBorders>
              <w:top w:val="single" w:sz="4" w:space="0" w:color="auto"/>
            </w:tcBorders>
          </w:tcPr>
          <w:p w:rsidR="00443EC1" w:rsidRDefault="00443EC1">
            <w:pPr>
              <w:spacing w:before="0" w:after="0" w:line="280" w:lineRule="exact"/>
              <w:ind w:left="57" w:right="57"/>
              <w:jc w:val="both"/>
              <w:rPr>
                <w:rFonts w:hint="cs"/>
                <w:szCs w:val="22"/>
              </w:rPr>
            </w:pPr>
            <w:r>
              <w:rPr>
                <w:rFonts w:hint="cs"/>
                <w:szCs w:val="22"/>
                <w:rtl/>
              </w:rPr>
              <w:t>11.7</w:t>
            </w:r>
          </w:p>
        </w:tc>
        <w:tc>
          <w:tcPr>
            <w:tcW w:w="882" w:type="dxa"/>
            <w:tcBorders>
              <w:top w:val="single" w:sz="4" w:space="0" w:color="auto"/>
            </w:tcBorders>
          </w:tcPr>
          <w:p w:rsidR="00443EC1" w:rsidRDefault="00443EC1">
            <w:pPr>
              <w:spacing w:before="0" w:after="0" w:line="280" w:lineRule="exact"/>
              <w:ind w:left="57" w:right="57"/>
              <w:jc w:val="both"/>
              <w:rPr>
                <w:rFonts w:hint="cs"/>
                <w:szCs w:val="22"/>
              </w:rPr>
            </w:pPr>
            <w:r>
              <w:rPr>
                <w:rFonts w:hint="cs"/>
                <w:szCs w:val="22"/>
                <w:rtl/>
              </w:rPr>
              <w:t>10.6</w:t>
            </w:r>
          </w:p>
        </w:tc>
        <w:tc>
          <w:tcPr>
            <w:tcW w:w="900" w:type="dxa"/>
            <w:tcBorders>
              <w:top w:val="single" w:sz="4" w:space="0" w:color="auto"/>
            </w:tcBorders>
          </w:tcPr>
          <w:p w:rsidR="00443EC1" w:rsidRDefault="00443EC1">
            <w:pPr>
              <w:spacing w:before="0" w:after="0" w:line="280" w:lineRule="exact"/>
              <w:ind w:left="57" w:right="57"/>
              <w:jc w:val="both"/>
              <w:rPr>
                <w:rFonts w:hint="cs"/>
                <w:szCs w:val="22"/>
              </w:rPr>
            </w:pPr>
            <w:r>
              <w:rPr>
                <w:rFonts w:hint="cs"/>
                <w:szCs w:val="22"/>
                <w:rtl/>
              </w:rPr>
              <w:t>9.1</w:t>
            </w:r>
          </w:p>
        </w:tc>
        <w:tc>
          <w:tcPr>
            <w:tcW w:w="900" w:type="dxa"/>
            <w:tcBorders>
              <w:top w:val="single" w:sz="4" w:space="0" w:color="auto"/>
            </w:tcBorders>
          </w:tcPr>
          <w:p w:rsidR="00443EC1" w:rsidRDefault="00443EC1">
            <w:pPr>
              <w:spacing w:before="0" w:after="0" w:line="280" w:lineRule="exact"/>
              <w:ind w:left="57" w:right="57"/>
              <w:jc w:val="both"/>
              <w:rPr>
                <w:rFonts w:hint="cs"/>
                <w:szCs w:val="22"/>
              </w:rPr>
            </w:pPr>
            <w:r>
              <w:rPr>
                <w:rFonts w:hint="cs"/>
                <w:szCs w:val="22"/>
                <w:rtl/>
              </w:rPr>
              <w:t>8.8</w:t>
            </w:r>
          </w:p>
        </w:tc>
        <w:tc>
          <w:tcPr>
            <w:tcW w:w="900" w:type="dxa"/>
            <w:tcBorders>
              <w:top w:val="single" w:sz="4" w:space="0" w:color="auto"/>
            </w:tcBorders>
          </w:tcPr>
          <w:p w:rsidR="00443EC1" w:rsidRDefault="00443EC1">
            <w:pPr>
              <w:spacing w:before="0" w:after="0" w:line="280" w:lineRule="exact"/>
              <w:ind w:left="57" w:right="57"/>
              <w:jc w:val="both"/>
              <w:rPr>
                <w:rFonts w:hint="cs"/>
                <w:szCs w:val="22"/>
              </w:rPr>
            </w:pPr>
            <w:r>
              <w:rPr>
                <w:rFonts w:hint="cs"/>
                <w:szCs w:val="22"/>
                <w:rtl/>
              </w:rPr>
              <w:t>8.6</w:t>
            </w:r>
          </w:p>
        </w:tc>
        <w:tc>
          <w:tcPr>
            <w:tcW w:w="720" w:type="dxa"/>
            <w:tcBorders>
              <w:top w:val="single" w:sz="4" w:space="0" w:color="auto"/>
            </w:tcBorders>
          </w:tcPr>
          <w:p w:rsidR="00443EC1" w:rsidRDefault="00443EC1">
            <w:pPr>
              <w:spacing w:before="0" w:after="0" w:line="280" w:lineRule="exact"/>
              <w:ind w:left="57" w:right="57"/>
              <w:jc w:val="both"/>
              <w:rPr>
                <w:rFonts w:hint="cs"/>
                <w:szCs w:val="22"/>
              </w:rPr>
            </w:pPr>
            <w:r>
              <w:rPr>
                <w:rFonts w:hint="cs"/>
                <w:szCs w:val="22"/>
                <w:rtl/>
              </w:rPr>
              <w:t>8.5</w:t>
            </w:r>
          </w:p>
        </w:tc>
        <w:tc>
          <w:tcPr>
            <w:tcW w:w="900" w:type="dxa"/>
            <w:tcBorders>
              <w:top w:val="single" w:sz="4" w:space="0" w:color="auto"/>
            </w:tcBorders>
          </w:tcPr>
          <w:p w:rsidR="00443EC1" w:rsidRDefault="00443EC1">
            <w:pPr>
              <w:spacing w:before="0" w:after="0" w:line="280" w:lineRule="exact"/>
              <w:ind w:left="57" w:right="57"/>
              <w:jc w:val="both"/>
              <w:rPr>
                <w:rFonts w:hint="cs"/>
                <w:szCs w:val="22"/>
              </w:rPr>
            </w:pPr>
            <w:r>
              <w:rPr>
                <w:rFonts w:hint="cs"/>
                <w:szCs w:val="22"/>
                <w:rtl/>
              </w:rPr>
              <w:t>8.4</w:t>
            </w:r>
          </w:p>
        </w:tc>
        <w:tc>
          <w:tcPr>
            <w:tcW w:w="720" w:type="dxa"/>
            <w:tcBorders>
              <w:top w:val="single" w:sz="4" w:space="0" w:color="auto"/>
            </w:tcBorders>
          </w:tcPr>
          <w:p w:rsidR="00443EC1" w:rsidRDefault="00443EC1">
            <w:pPr>
              <w:spacing w:before="0" w:after="0" w:line="280" w:lineRule="exact"/>
              <w:ind w:left="57" w:right="57"/>
              <w:jc w:val="both"/>
              <w:rPr>
                <w:rFonts w:hint="cs"/>
                <w:szCs w:val="22"/>
              </w:rPr>
            </w:pPr>
            <w:r>
              <w:rPr>
                <w:rFonts w:hint="cs"/>
                <w:szCs w:val="22"/>
                <w:rtl/>
              </w:rPr>
              <w:t>8.3</w:t>
            </w:r>
          </w:p>
        </w:tc>
        <w:tc>
          <w:tcPr>
            <w:tcW w:w="900" w:type="dxa"/>
            <w:tcBorders>
              <w:top w:val="single" w:sz="4" w:space="0" w:color="auto"/>
            </w:tcBorders>
          </w:tcPr>
          <w:p w:rsidR="00443EC1" w:rsidRDefault="00443EC1">
            <w:pPr>
              <w:spacing w:before="0" w:after="0" w:line="280" w:lineRule="exact"/>
              <w:ind w:left="57" w:right="57"/>
              <w:jc w:val="both"/>
              <w:rPr>
                <w:rFonts w:hint="cs"/>
                <w:szCs w:val="22"/>
              </w:rPr>
            </w:pPr>
            <w:r>
              <w:rPr>
                <w:rFonts w:hint="cs"/>
                <w:szCs w:val="22"/>
                <w:rtl/>
              </w:rPr>
              <w:t>8.2</w:t>
            </w:r>
          </w:p>
        </w:tc>
      </w:tr>
      <w:tr w:rsidR="00443EC1" w:rsidTr="00443EC1">
        <w:tblPrEx>
          <w:tblCellMar>
            <w:top w:w="0" w:type="dxa"/>
            <w:bottom w:w="0" w:type="dxa"/>
          </w:tblCellMar>
        </w:tblPrEx>
        <w:trPr>
          <w:jc w:val="center"/>
        </w:trPr>
        <w:tc>
          <w:tcPr>
            <w:tcW w:w="1050" w:type="dxa"/>
          </w:tcPr>
          <w:p w:rsidR="00443EC1" w:rsidRDefault="00443EC1">
            <w:pPr>
              <w:spacing w:before="0" w:after="0" w:line="280" w:lineRule="exact"/>
              <w:jc w:val="both"/>
              <w:rPr>
                <w:rFonts w:hint="cs"/>
                <w:szCs w:val="22"/>
              </w:rPr>
            </w:pPr>
          </w:p>
        </w:tc>
        <w:tc>
          <w:tcPr>
            <w:tcW w:w="588" w:type="dxa"/>
          </w:tcPr>
          <w:p w:rsidR="00443EC1" w:rsidRDefault="00443EC1">
            <w:pPr>
              <w:spacing w:before="0" w:after="0" w:line="280" w:lineRule="exact"/>
              <w:jc w:val="both"/>
              <w:rPr>
                <w:rFonts w:hint="cs"/>
                <w:szCs w:val="22"/>
              </w:rPr>
            </w:pPr>
            <w:r>
              <w:rPr>
                <w:rFonts w:hint="cs"/>
                <w:szCs w:val="22"/>
                <w:rtl/>
              </w:rPr>
              <w:t>إناث</w:t>
            </w:r>
          </w:p>
        </w:tc>
        <w:tc>
          <w:tcPr>
            <w:tcW w:w="720" w:type="dxa"/>
          </w:tcPr>
          <w:p w:rsidR="00443EC1" w:rsidRDefault="00443EC1">
            <w:pPr>
              <w:spacing w:before="0" w:after="0" w:line="280" w:lineRule="exact"/>
              <w:ind w:left="57" w:right="57"/>
              <w:jc w:val="both"/>
              <w:rPr>
                <w:rFonts w:hint="cs"/>
                <w:szCs w:val="22"/>
              </w:rPr>
            </w:pPr>
            <w:r>
              <w:rPr>
                <w:rFonts w:hint="cs"/>
                <w:szCs w:val="22"/>
                <w:rtl/>
              </w:rPr>
              <w:t>10.8</w:t>
            </w:r>
          </w:p>
        </w:tc>
        <w:tc>
          <w:tcPr>
            <w:tcW w:w="882" w:type="dxa"/>
          </w:tcPr>
          <w:p w:rsidR="00443EC1" w:rsidRDefault="00443EC1">
            <w:pPr>
              <w:spacing w:before="0" w:after="0" w:line="280" w:lineRule="exact"/>
              <w:ind w:left="57" w:right="57"/>
              <w:jc w:val="both"/>
              <w:rPr>
                <w:rFonts w:hint="cs"/>
                <w:szCs w:val="22"/>
              </w:rPr>
            </w:pPr>
            <w:r>
              <w:rPr>
                <w:rFonts w:hint="cs"/>
                <w:szCs w:val="22"/>
                <w:rtl/>
              </w:rPr>
              <w:t>9.9</w:t>
            </w:r>
          </w:p>
        </w:tc>
        <w:tc>
          <w:tcPr>
            <w:tcW w:w="900" w:type="dxa"/>
          </w:tcPr>
          <w:p w:rsidR="00443EC1" w:rsidRDefault="00443EC1">
            <w:pPr>
              <w:spacing w:before="0" w:after="0" w:line="280" w:lineRule="exact"/>
              <w:ind w:left="57" w:right="57"/>
              <w:jc w:val="both"/>
              <w:rPr>
                <w:rFonts w:hint="cs"/>
                <w:szCs w:val="22"/>
              </w:rPr>
            </w:pPr>
            <w:r>
              <w:rPr>
                <w:rFonts w:hint="cs"/>
                <w:szCs w:val="22"/>
                <w:rtl/>
              </w:rPr>
              <w:t>8.4</w:t>
            </w:r>
          </w:p>
        </w:tc>
        <w:tc>
          <w:tcPr>
            <w:tcW w:w="900" w:type="dxa"/>
          </w:tcPr>
          <w:p w:rsidR="00443EC1" w:rsidRDefault="00443EC1">
            <w:pPr>
              <w:spacing w:before="0" w:after="0" w:line="280" w:lineRule="exact"/>
              <w:ind w:left="57" w:right="57"/>
              <w:jc w:val="both"/>
              <w:rPr>
                <w:rFonts w:hint="cs"/>
                <w:szCs w:val="22"/>
              </w:rPr>
            </w:pPr>
            <w:r>
              <w:rPr>
                <w:rFonts w:hint="cs"/>
                <w:szCs w:val="22"/>
                <w:rtl/>
              </w:rPr>
              <w:t>8.2</w:t>
            </w:r>
          </w:p>
        </w:tc>
        <w:tc>
          <w:tcPr>
            <w:tcW w:w="900" w:type="dxa"/>
          </w:tcPr>
          <w:p w:rsidR="00443EC1" w:rsidRDefault="00443EC1">
            <w:pPr>
              <w:spacing w:before="0" w:after="0" w:line="280" w:lineRule="exact"/>
              <w:ind w:left="57" w:right="57"/>
              <w:jc w:val="both"/>
              <w:rPr>
                <w:rFonts w:hint="cs"/>
                <w:szCs w:val="22"/>
              </w:rPr>
            </w:pPr>
            <w:r>
              <w:rPr>
                <w:rFonts w:hint="cs"/>
                <w:szCs w:val="22"/>
                <w:rtl/>
              </w:rPr>
              <w:t>8.0</w:t>
            </w:r>
          </w:p>
        </w:tc>
        <w:tc>
          <w:tcPr>
            <w:tcW w:w="720" w:type="dxa"/>
          </w:tcPr>
          <w:p w:rsidR="00443EC1" w:rsidRDefault="00443EC1">
            <w:pPr>
              <w:spacing w:before="0" w:after="0" w:line="280" w:lineRule="exact"/>
              <w:ind w:left="57" w:right="57"/>
              <w:jc w:val="both"/>
              <w:rPr>
                <w:rFonts w:hint="cs"/>
                <w:szCs w:val="22"/>
              </w:rPr>
            </w:pPr>
            <w:r>
              <w:rPr>
                <w:rFonts w:hint="cs"/>
                <w:szCs w:val="22"/>
                <w:rtl/>
              </w:rPr>
              <w:t>7.9</w:t>
            </w:r>
          </w:p>
        </w:tc>
        <w:tc>
          <w:tcPr>
            <w:tcW w:w="900" w:type="dxa"/>
          </w:tcPr>
          <w:p w:rsidR="00443EC1" w:rsidRDefault="00443EC1">
            <w:pPr>
              <w:spacing w:before="0" w:after="0" w:line="280" w:lineRule="exact"/>
              <w:ind w:left="57" w:right="57"/>
              <w:jc w:val="both"/>
              <w:rPr>
                <w:rFonts w:hint="cs"/>
                <w:szCs w:val="22"/>
              </w:rPr>
            </w:pPr>
            <w:r>
              <w:rPr>
                <w:rFonts w:hint="cs"/>
                <w:szCs w:val="22"/>
                <w:rtl/>
              </w:rPr>
              <w:t>7.9</w:t>
            </w:r>
          </w:p>
        </w:tc>
        <w:tc>
          <w:tcPr>
            <w:tcW w:w="720" w:type="dxa"/>
          </w:tcPr>
          <w:p w:rsidR="00443EC1" w:rsidRDefault="00443EC1">
            <w:pPr>
              <w:spacing w:before="0" w:after="0" w:line="280" w:lineRule="exact"/>
              <w:ind w:left="57" w:right="57"/>
              <w:jc w:val="both"/>
              <w:rPr>
                <w:rFonts w:hint="cs"/>
                <w:szCs w:val="22"/>
              </w:rPr>
            </w:pPr>
            <w:r>
              <w:rPr>
                <w:rFonts w:hint="cs"/>
                <w:szCs w:val="22"/>
                <w:rtl/>
              </w:rPr>
              <w:t>7.8</w:t>
            </w:r>
          </w:p>
        </w:tc>
        <w:tc>
          <w:tcPr>
            <w:tcW w:w="900" w:type="dxa"/>
          </w:tcPr>
          <w:p w:rsidR="00443EC1" w:rsidRDefault="00443EC1">
            <w:pPr>
              <w:spacing w:before="0" w:after="0" w:line="280" w:lineRule="exact"/>
              <w:ind w:left="57" w:right="57"/>
              <w:jc w:val="both"/>
              <w:rPr>
                <w:rFonts w:hint="cs"/>
                <w:szCs w:val="22"/>
              </w:rPr>
            </w:pPr>
            <w:r>
              <w:rPr>
                <w:rFonts w:hint="cs"/>
                <w:szCs w:val="22"/>
                <w:rtl/>
              </w:rPr>
              <w:t>7.7</w:t>
            </w:r>
          </w:p>
        </w:tc>
      </w:tr>
      <w:tr w:rsidR="00443EC1" w:rsidTr="00443EC1">
        <w:tblPrEx>
          <w:tblCellMar>
            <w:top w:w="0" w:type="dxa"/>
            <w:bottom w:w="0" w:type="dxa"/>
          </w:tblCellMar>
        </w:tblPrEx>
        <w:trPr>
          <w:jc w:val="center"/>
        </w:trPr>
        <w:tc>
          <w:tcPr>
            <w:tcW w:w="1050" w:type="dxa"/>
          </w:tcPr>
          <w:p w:rsidR="00443EC1" w:rsidRDefault="00443EC1">
            <w:pPr>
              <w:spacing w:before="0" w:after="0" w:line="280" w:lineRule="exact"/>
              <w:jc w:val="both"/>
              <w:rPr>
                <w:rFonts w:hint="cs"/>
                <w:szCs w:val="22"/>
              </w:rPr>
            </w:pPr>
            <w:r>
              <w:rPr>
                <w:rFonts w:hint="cs"/>
                <w:szCs w:val="22"/>
                <w:rtl/>
              </w:rPr>
              <w:t>15-18</w:t>
            </w:r>
          </w:p>
        </w:tc>
        <w:tc>
          <w:tcPr>
            <w:tcW w:w="588" w:type="dxa"/>
          </w:tcPr>
          <w:p w:rsidR="00443EC1" w:rsidRDefault="00443EC1">
            <w:pPr>
              <w:spacing w:before="0" w:after="0" w:line="280" w:lineRule="exact"/>
              <w:jc w:val="both"/>
              <w:rPr>
                <w:rFonts w:hint="cs"/>
                <w:szCs w:val="22"/>
              </w:rPr>
            </w:pPr>
            <w:r>
              <w:rPr>
                <w:rFonts w:hint="cs"/>
                <w:szCs w:val="22"/>
                <w:rtl/>
              </w:rPr>
              <w:t>ذكور</w:t>
            </w:r>
          </w:p>
        </w:tc>
        <w:tc>
          <w:tcPr>
            <w:tcW w:w="720" w:type="dxa"/>
          </w:tcPr>
          <w:p w:rsidR="00443EC1" w:rsidRDefault="00443EC1">
            <w:pPr>
              <w:spacing w:before="0" w:after="0" w:line="280" w:lineRule="exact"/>
              <w:ind w:left="57" w:right="57"/>
              <w:jc w:val="both"/>
              <w:rPr>
                <w:rFonts w:hint="cs"/>
                <w:szCs w:val="22"/>
              </w:rPr>
            </w:pPr>
            <w:r>
              <w:rPr>
                <w:rFonts w:hint="cs"/>
                <w:szCs w:val="22"/>
                <w:rtl/>
              </w:rPr>
              <w:t>3.3</w:t>
            </w:r>
          </w:p>
        </w:tc>
        <w:tc>
          <w:tcPr>
            <w:tcW w:w="882" w:type="dxa"/>
          </w:tcPr>
          <w:p w:rsidR="00443EC1" w:rsidRDefault="00443EC1">
            <w:pPr>
              <w:spacing w:before="0" w:after="0" w:line="280" w:lineRule="exact"/>
              <w:ind w:left="57" w:right="57"/>
              <w:jc w:val="both"/>
              <w:rPr>
                <w:rFonts w:hint="cs"/>
                <w:szCs w:val="22"/>
              </w:rPr>
            </w:pPr>
            <w:r>
              <w:rPr>
                <w:rFonts w:hint="cs"/>
                <w:szCs w:val="22"/>
                <w:rtl/>
              </w:rPr>
              <w:t>2.9</w:t>
            </w:r>
          </w:p>
        </w:tc>
        <w:tc>
          <w:tcPr>
            <w:tcW w:w="900" w:type="dxa"/>
          </w:tcPr>
          <w:p w:rsidR="00443EC1" w:rsidRDefault="00443EC1">
            <w:pPr>
              <w:spacing w:before="0" w:after="0" w:line="280" w:lineRule="exact"/>
              <w:ind w:left="57" w:right="57"/>
              <w:jc w:val="both"/>
              <w:rPr>
                <w:rFonts w:hint="cs"/>
                <w:szCs w:val="22"/>
              </w:rPr>
            </w:pPr>
            <w:r>
              <w:rPr>
                <w:rFonts w:hint="cs"/>
                <w:szCs w:val="22"/>
                <w:rtl/>
              </w:rPr>
              <w:t>2.9</w:t>
            </w:r>
          </w:p>
        </w:tc>
        <w:tc>
          <w:tcPr>
            <w:tcW w:w="900" w:type="dxa"/>
          </w:tcPr>
          <w:p w:rsidR="00443EC1" w:rsidRDefault="00443EC1">
            <w:pPr>
              <w:spacing w:before="0" w:after="0" w:line="280" w:lineRule="exact"/>
              <w:ind w:left="57" w:right="57"/>
              <w:jc w:val="both"/>
              <w:rPr>
                <w:rFonts w:hint="cs"/>
                <w:szCs w:val="22"/>
              </w:rPr>
            </w:pPr>
            <w:r>
              <w:rPr>
                <w:rFonts w:hint="cs"/>
                <w:szCs w:val="22"/>
                <w:rtl/>
              </w:rPr>
              <w:t>2.9</w:t>
            </w:r>
          </w:p>
        </w:tc>
        <w:tc>
          <w:tcPr>
            <w:tcW w:w="900" w:type="dxa"/>
          </w:tcPr>
          <w:p w:rsidR="00443EC1" w:rsidRDefault="00443EC1">
            <w:pPr>
              <w:spacing w:before="0" w:after="0" w:line="280" w:lineRule="exact"/>
              <w:ind w:left="57" w:right="57"/>
              <w:jc w:val="both"/>
              <w:rPr>
                <w:rFonts w:hint="cs"/>
                <w:szCs w:val="22"/>
              </w:rPr>
            </w:pPr>
            <w:r>
              <w:rPr>
                <w:rFonts w:hint="cs"/>
                <w:szCs w:val="22"/>
                <w:rtl/>
              </w:rPr>
              <w:t>2.8</w:t>
            </w:r>
          </w:p>
        </w:tc>
        <w:tc>
          <w:tcPr>
            <w:tcW w:w="720" w:type="dxa"/>
          </w:tcPr>
          <w:p w:rsidR="00443EC1" w:rsidRDefault="00443EC1">
            <w:pPr>
              <w:spacing w:before="0" w:after="0" w:line="280" w:lineRule="exact"/>
              <w:ind w:left="57" w:right="57"/>
              <w:jc w:val="both"/>
              <w:rPr>
                <w:rFonts w:hint="cs"/>
                <w:szCs w:val="22"/>
              </w:rPr>
            </w:pPr>
            <w:r>
              <w:rPr>
                <w:rFonts w:hint="cs"/>
                <w:szCs w:val="22"/>
                <w:rtl/>
              </w:rPr>
              <w:t>2.7</w:t>
            </w:r>
          </w:p>
        </w:tc>
        <w:tc>
          <w:tcPr>
            <w:tcW w:w="900" w:type="dxa"/>
          </w:tcPr>
          <w:p w:rsidR="00443EC1" w:rsidRDefault="00443EC1">
            <w:pPr>
              <w:spacing w:before="0" w:after="0" w:line="280" w:lineRule="exact"/>
              <w:ind w:left="57" w:right="57"/>
              <w:jc w:val="both"/>
              <w:rPr>
                <w:rFonts w:hint="cs"/>
                <w:szCs w:val="22"/>
              </w:rPr>
            </w:pPr>
            <w:r>
              <w:rPr>
                <w:rFonts w:hint="cs"/>
                <w:szCs w:val="22"/>
                <w:rtl/>
              </w:rPr>
              <w:t>2.7</w:t>
            </w:r>
          </w:p>
        </w:tc>
        <w:tc>
          <w:tcPr>
            <w:tcW w:w="720" w:type="dxa"/>
          </w:tcPr>
          <w:p w:rsidR="00443EC1" w:rsidRDefault="00443EC1">
            <w:pPr>
              <w:spacing w:before="0" w:after="0" w:line="280" w:lineRule="exact"/>
              <w:ind w:left="57" w:right="57"/>
              <w:jc w:val="both"/>
              <w:rPr>
                <w:rFonts w:hint="cs"/>
                <w:szCs w:val="22"/>
              </w:rPr>
            </w:pPr>
            <w:r>
              <w:rPr>
                <w:rFonts w:hint="cs"/>
                <w:szCs w:val="22"/>
                <w:rtl/>
              </w:rPr>
              <w:t>2.6</w:t>
            </w:r>
          </w:p>
        </w:tc>
        <w:tc>
          <w:tcPr>
            <w:tcW w:w="900" w:type="dxa"/>
          </w:tcPr>
          <w:p w:rsidR="00443EC1" w:rsidRDefault="00443EC1">
            <w:pPr>
              <w:spacing w:before="0" w:after="0" w:line="280" w:lineRule="exact"/>
              <w:ind w:left="57" w:right="57"/>
              <w:jc w:val="both"/>
              <w:rPr>
                <w:rFonts w:hint="cs"/>
                <w:szCs w:val="22"/>
              </w:rPr>
            </w:pPr>
            <w:r>
              <w:rPr>
                <w:rFonts w:hint="cs"/>
                <w:szCs w:val="22"/>
                <w:rtl/>
              </w:rPr>
              <w:t>2.6</w:t>
            </w:r>
          </w:p>
        </w:tc>
      </w:tr>
      <w:tr w:rsidR="00443EC1" w:rsidTr="00443EC1">
        <w:tblPrEx>
          <w:tblCellMar>
            <w:top w:w="0" w:type="dxa"/>
            <w:bottom w:w="0" w:type="dxa"/>
          </w:tblCellMar>
        </w:tblPrEx>
        <w:trPr>
          <w:jc w:val="center"/>
        </w:trPr>
        <w:tc>
          <w:tcPr>
            <w:tcW w:w="1050" w:type="dxa"/>
          </w:tcPr>
          <w:p w:rsidR="00443EC1" w:rsidRDefault="00443EC1">
            <w:pPr>
              <w:spacing w:before="0" w:after="0" w:line="280" w:lineRule="exact"/>
              <w:jc w:val="both"/>
              <w:rPr>
                <w:rFonts w:hint="cs"/>
                <w:szCs w:val="22"/>
              </w:rPr>
            </w:pPr>
          </w:p>
        </w:tc>
        <w:tc>
          <w:tcPr>
            <w:tcW w:w="588" w:type="dxa"/>
          </w:tcPr>
          <w:p w:rsidR="00443EC1" w:rsidRDefault="00443EC1">
            <w:pPr>
              <w:spacing w:before="0" w:after="0" w:line="280" w:lineRule="exact"/>
              <w:jc w:val="both"/>
              <w:rPr>
                <w:rFonts w:hint="cs"/>
                <w:szCs w:val="22"/>
              </w:rPr>
            </w:pPr>
            <w:r>
              <w:rPr>
                <w:rFonts w:hint="cs"/>
                <w:szCs w:val="22"/>
                <w:rtl/>
              </w:rPr>
              <w:t>إناث</w:t>
            </w:r>
          </w:p>
        </w:tc>
        <w:tc>
          <w:tcPr>
            <w:tcW w:w="720" w:type="dxa"/>
          </w:tcPr>
          <w:p w:rsidR="00443EC1" w:rsidRDefault="00443EC1">
            <w:pPr>
              <w:spacing w:before="0" w:after="0" w:line="280" w:lineRule="exact"/>
              <w:ind w:left="57" w:right="57"/>
              <w:jc w:val="both"/>
              <w:rPr>
                <w:rFonts w:hint="cs"/>
                <w:szCs w:val="22"/>
              </w:rPr>
            </w:pPr>
            <w:r>
              <w:rPr>
                <w:rFonts w:hint="cs"/>
                <w:szCs w:val="22"/>
                <w:rtl/>
              </w:rPr>
              <w:t>3.0</w:t>
            </w:r>
          </w:p>
        </w:tc>
        <w:tc>
          <w:tcPr>
            <w:tcW w:w="882" w:type="dxa"/>
          </w:tcPr>
          <w:p w:rsidR="00443EC1" w:rsidRDefault="00443EC1">
            <w:pPr>
              <w:spacing w:before="0" w:after="0" w:line="280" w:lineRule="exact"/>
              <w:ind w:left="57" w:right="57"/>
              <w:jc w:val="both"/>
              <w:rPr>
                <w:rFonts w:hint="cs"/>
                <w:szCs w:val="22"/>
              </w:rPr>
            </w:pPr>
            <w:r>
              <w:rPr>
                <w:rFonts w:hint="cs"/>
                <w:szCs w:val="22"/>
                <w:rtl/>
              </w:rPr>
              <w:t>2.7</w:t>
            </w:r>
          </w:p>
        </w:tc>
        <w:tc>
          <w:tcPr>
            <w:tcW w:w="900" w:type="dxa"/>
          </w:tcPr>
          <w:p w:rsidR="00443EC1" w:rsidRDefault="00443EC1">
            <w:pPr>
              <w:spacing w:before="0" w:after="0" w:line="280" w:lineRule="exact"/>
              <w:ind w:left="57" w:right="57"/>
              <w:jc w:val="both"/>
              <w:rPr>
                <w:rFonts w:hint="cs"/>
                <w:szCs w:val="22"/>
              </w:rPr>
            </w:pPr>
            <w:r>
              <w:rPr>
                <w:rFonts w:hint="cs"/>
                <w:szCs w:val="22"/>
                <w:rtl/>
              </w:rPr>
              <w:t>2.7</w:t>
            </w:r>
          </w:p>
        </w:tc>
        <w:tc>
          <w:tcPr>
            <w:tcW w:w="900" w:type="dxa"/>
          </w:tcPr>
          <w:p w:rsidR="00443EC1" w:rsidRDefault="00443EC1">
            <w:pPr>
              <w:spacing w:before="0" w:after="0" w:line="280" w:lineRule="exact"/>
              <w:ind w:left="57" w:right="57"/>
              <w:jc w:val="both"/>
              <w:rPr>
                <w:rFonts w:hint="cs"/>
                <w:szCs w:val="22"/>
              </w:rPr>
            </w:pPr>
            <w:r>
              <w:rPr>
                <w:rFonts w:hint="cs"/>
                <w:szCs w:val="22"/>
                <w:rtl/>
              </w:rPr>
              <w:t>2.7</w:t>
            </w:r>
          </w:p>
        </w:tc>
        <w:tc>
          <w:tcPr>
            <w:tcW w:w="900" w:type="dxa"/>
          </w:tcPr>
          <w:p w:rsidR="00443EC1" w:rsidRDefault="00443EC1">
            <w:pPr>
              <w:spacing w:before="0" w:after="0" w:line="280" w:lineRule="exact"/>
              <w:ind w:left="57" w:right="57"/>
              <w:jc w:val="both"/>
              <w:rPr>
                <w:rFonts w:hint="cs"/>
                <w:szCs w:val="22"/>
              </w:rPr>
            </w:pPr>
            <w:r>
              <w:rPr>
                <w:rFonts w:hint="cs"/>
                <w:szCs w:val="22"/>
                <w:rtl/>
              </w:rPr>
              <w:t>2.6</w:t>
            </w:r>
          </w:p>
        </w:tc>
        <w:tc>
          <w:tcPr>
            <w:tcW w:w="720" w:type="dxa"/>
          </w:tcPr>
          <w:p w:rsidR="00443EC1" w:rsidRDefault="00443EC1">
            <w:pPr>
              <w:spacing w:before="0" w:after="0" w:line="280" w:lineRule="exact"/>
              <w:ind w:left="57" w:right="57"/>
              <w:jc w:val="both"/>
              <w:rPr>
                <w:rFonts w:hint="cs"/>
                <w:szCs w:val="22"/>
              </w:rPr>
            </w:pPr>
            <w:r>
              <w:rPr>
                <w:rFonts w:hint="cs"/>
                <w:szCs w:val="22"/>
                <w:rtl/>
              </w:rPr>
              <w:t>2.6</w:t>
            </w:r>
          </w:p>
        </w:tc>
        <w:tc>
          <w:tcPr>
            <w:tcW w:w="900" w:type="dxa"/>
          </w:tcPr>
          <w:p w:rsidR="00443EC1" w:rsidRDefault="00443EC1">
            <w:pPr>
              <w:spacing w:before="0" w:after="0" w:line="280" w:lineRule="exact"/>
              <w:ind w:left="57" w:right="57"/>
              <w:jc w:val="both"/>
              <w:rPr>
                <w:rFonts w:hint="cs"/>
                <w:szCs w:val="22"/>
              </w:rPr>
            </w:pPr>
            <w:r>
              <w:rPr>
                <w:rFonts w:hint="cs"/>
                <w:szCs w:val="22"/>
                <w:rtl/>
              </w:rPr>
              <w:t>2.5</w:t>
            </w:r>
          </w:p>
        </w:tc>
        <w:tc>
          <w:tcPr>
            <w:tcW w:w="720" w:type="dxa"/>
          </w:tcPr>
          <w:p w:rsidR="00443EC1" w:rsidRDefault="00443EC1">
            <w:pPr>
              <w:spacing w:before="0" w:after="0" w:line="280" w:lineRule="exact"/>
              <w:ind w:left="57" w:right="57"/>
              <w:jc w:val="both"/>
              <w:rPr>
                <w:rFonts w:hint="cs"/>
                <w:szCs w:val="22"/>
              </w:rPr>
            </w:pPr>
            <w:r>
              <w:rPr>
                <w:rFonts w:hint="cs"/>
                <w:szCs w:val="22"/>
                <w:rtl/>
              </w:rPr>
              <w:t>2.5</w:t>
            </w:r>
          </w:p>
        </w:tc>
        <w:tc>
          <w:tcPr>
            <w:tcW w:w="900" w:type="dxa"/>
          </w:tcPr>
          <w:p w:rsidR="00443EC1" w:rsidRDefault="00443EC1">
            <w:pPr>
              <w:spacing w:before="0" w:after="0" w:line="280" w:lineRule="exact"/>
              <w:ind w:left="57" w:right="57"/>
              <w:jc w:val="both"/>
              <w:rPr>
                <w:rFonts w:hint="cs"/>
                <w:szCs w:val="22"/>
              </w:rPr>
            </w:pPr>
            <w:r>
              <w:rPr>
                <w:rFonts w:hint="cs"/>
                <w:szCs w:val="22"/>
                <w:rtl/>
              </w:rPr>
              <w:t>2.5</w:t>
            </w:r>
          </w:p>
        </w:tc>
      </w:tr>
      <w:tr w:rsidR="00443EC1" w:rsidTr="00443EC1">
        <w:tblPrEx>
          <w:tblCellMar>
            <w:top w:w="0" w:type="dxa"/>
            <w:bottom w:w="0" w:type="dxa"/>
          </w:tblCellMar>
        </w:tblPrEx>
        <w:trPr>
          <w:jc w:val="center"/>
        </w:trPr>
        <w:tc>
          <w:tcPr>
            <w:tcW w:w="1050" w:type="dxa"/>
          </w:tcPr>
          <w:p w:rsidR="00443EC1" w:rsidRDefault="00443EC1">
            <w:pPr>
              <w:spacing w:before="0" w:after="0" w:line="280" w:lineRule="exact"/>
              <w:jc w:val="both"/>
              <w:rPr>
                <w:rFonts w:hint="cs"/>
                <w:szCs w:val="22"/>
              </w:rPr>
            </w:pPr>
            <w:r>
              <w:rPr>
                <w:rFonts w:hint="cs"/>
                <w:szCs w:val="22"/>
                <w:rtl/>
              </w:rPr>
              <w:t>(صفر-18)</w:t>
            </w:r>
          </w:p>
        </w:tc>
        <w:tc>
          <w:tcPr>
            <w:tcW w:w="588" w:type="dxa"/>
          </w:tcPr>
          <w:p w:rsidR="00443EC1" w:rsidRDefault="00443EC1">
            <w:pPr>
              <w:spacing w:before="0" w:after="0" w:line="280" w:lineRule="exact"/>
              <w:jc w:val="both"/>
              <w:rPr>
                <w:rFonts w:hint="cs"/>
                <w:szCs w:val="22"/>
              </w:rPr>
            </w:pPr>
            <w:r>
              <w:rPr>
                <w:rFonts w:hint="cs"/>
                <w:szCs w:val="22"/>
                <w:rtl/>
              </w:rPr>
              <w:t>ذكور</w:t>
            </w:r>
          </w:p>
        </w:tc>
        <w:tc>
          <w:tcPr>
            <w:tcW w:w="720" w:type="dxa"/>
          </w:tcPr>
          <w:p w:rsidR="00443EC1" w:rsidRDefault="00443EC1">
            <w:pPr>
              <w:spacing w:before="0" w:after="0" w:line="280" w:lineRule="exact"/>
              <w:ind w:left="57" w:right="57"/>
              <w:jc w:val="both"/>
              <w:rPr>
                <w:rFonts w:hint="cs"/>
                <w:szCs w:val="22"/>
              </w:rPr>
            </w:pPr>
            <w:r>
              <w:rPr>
                <w:rFonts w:hint="cs"/>
                <w:szCs w:val="22"/>
                <w:rtl/>
              </w:rPr>
              <w:t>15.0</w:t>
            </w:r>
          </w:p>
        </w:tc>
        <w:tc>
          <w:tcPr>
            <w:tcW w:w="882" w:type="dxa"/>
          </w:tcPr>
          <w:p w:rsidR="00443EC1" w:rsidRDefault="00443EC1">
            <w:pPr>
              <w:spacing w:before="0" w:after="0" w:line="280" w:lineRule="exact"/>
              <w:ind w:left="57" w:right="57"/>
              <w:jc w:val="both"/>
              <w:rPr>
                <w:rFonts w:hint="cs"/>
                <w:szCs w:val="22"/>
              </w:rPr>
            </w:pPr>
            <w:r>
              <w:rPr>
                <w:rFonts w:hint="cs"/>
                <w:szCs w:val="22"/>
                <w:rtl/>
              </w:rPr>
              <w:t>13.5</w:t>
            </w:r>
          </w:p>
        </w:tc>
        <w:tc>
          <w:tcPr>
            <w:tcW w:w="900" w:type="dxa"/>
          </w:tcPr>
          <w:p w:rsidR="00443EC1" w:rsidRDefault="00443EC1">
            <w:pPr>
              <w:spacing w:before="0" w:after="0" w:line="280" w:lineRule="exact"/>
              <w:ind w:left="57" w:right="57"/>
              <w:jc w:val="both"/>
              <w:rPr>
                <w:rFonts w:hint="cs"/>
                <w:szCs w:val="22"/>
              </w:rPr>
            </w:pPr>
            <w:r>
              <w:rPr>
                <w:rFonts w:hint="cs"/>
                <w:szCs w:val="22"/>
                <w:rtl/>
              </w:rPr>
              <w:t>11.9</w:t>
            </w:r>
          </w:p>
        </w:tc>
        <w:tc>
          <w:tcPr>
            <w:tcW w:w="900" w:type="dxa"/>
          </w:tcPr>
          <w:p w:rsidR="00443EC1" w:rsidRDefault="00443EC1">
            <w:pPr>
              <w:spacing w:before="0" w:after="0" w:line="280" w:lineRule="exact"/>
              <w:ind w:left="57" w:right="57"/>
              <w:jc w:val="both"/>
              <w:rPr>
                <w:rFonts w:hint="cs"/>
                <w:szCs w:val="22"/>
              </w:rPr>
            </w:pPr>
            <w:r>
              <w:rPr>
                <w:rFonts w:hint="cs"/>
                <w:szCs w:val="22"/>
                <w:rtl/>
              </w:rPr>
              <w:t>11.6</w:t>
            </w:r>
          </w:p>
        </w:tc>
        <w:tc>
          <w:tcPr>
            <w:tcW w:w="900" w:type="dxa"/>
          </w:tcPr>
          <w:p w:rsidR="00443EC1" w:rsidRDefault="00443EC1">
            <w:pPr>
              <w:spacing w:before="0" w:after="0" w:line="280" w:lineRule="exact"/>
              <w:ind w:left="57" w:right="57"/>
              <w:jc w:val="both"/>
              <w:rPr>
                <w:rFonts w:hint="cs"/>
                <w:szCs w:val="22"/>
              </w:rPr>
            </w:pPr>
            <w:r>
              <w:rPr>
                <w:rFonts w:hint="cs"/>
                <w:szCs w:val="22"/>
                <w:rtl/>
              </w:rPr>
              <w:t>11.4</w:t>
            </w:r>
          </w:p>
        </w:tc>
        <w:tc>
          <w:tcPr>
            <w:tcW w:w="720" w:type="dxa"/>
          </w:tcPr>
          <w:p w:rsidR="00443EC1" w:rsidRDefault="00443EC1">
            <w:pPr>
              <w:spacing w:before="0" w:after="0" w:line="280" w:lineRule="exact"/>
              <w:ind w:left="57" w:right="57"/>
              <w:jc w:val="both"/>
              <w:rPr>
                <w:rFonts w:hint="cs"/>
                <w:szCs w:val="22"/>
              </w:rPr>
            </w:pPr>
            <w:r>
              <w:rPr>
                <w:rFonts w:hint="cs"/>
                <w:szCs w:val="22"/>
                <w:rtl/>
              </w:rPr>
              <w:t>11.2</w:t>
            </w:r>
          </w:p>
        </w:tc>
        <w:tc>
          <w:tcPr>
            <w:tcW w:w="900" w:type="dxa"/>
          </w:tcPr>
          <w:p w:rsidR="00443EC1" w:rsidRDefault="00443EC1">
            <w:pPr>
              <w:spacing w:before="0" w:after="0" w:line="280" w:lineRule="exact"/>
              <w:ind w:left="57" w:right="57"/>
              <w:jc w:val="both"/>
              <w:rPr>
                <w:rFonts w:hint="cs"/>
                <w:szCs w:val="22"/>
              </w:rPr>
            </w:pPr>
            <w:r>
              <w:rPr>
                <w:rFonts w:hint="cs"/>
                <w:szCs w:val="22"/>
                <w:rtl/>
              </w:rPr>
              <w:t>11.1</w:t>
            </w:r>
          </w:p>
        </w:tc>
        <w:tc>
          <w:tcPr>
            <w:tcW w:w="720" w:type="dxa"/>
          </w:tcPr>
          <w:p w:rsidR="00443EC1" w:rsidRDefault="00443EC1">
            <w:pPr>
              <w:spacing w:before="0" w:after="0" w:line="280" w:lineRule="exact"/>
              <w:ind w:left="57" w:right="57"/>
              <w:jc w:val="both"/>
              <w:rPr>
                <w:rFonts w:hint="cs"/>
                <w:szCs w:val="22"/>
              </w:rPr>
            </w:pPr>
            <w:r>
              <w:rPr>
                <w:rFonts w:hint="cs"/>
                <w:szCs w:val="22"/>
                <w:rtl/>
              </w:rPr>
              <w:t>11.0</w:t>
            </w:r>
          </w:p>
        </w:tc>
        <w:tc>
          <w:tcPr>
            <w:tcW w:w="900" w:type="dxa"/>
          </w:tcPr>
          <w:p w:rsidR="00443EC1" w:rsidRDefault="00443EC1">
            <w:pPr>
              <w:spacing w:before="0" w:after="0" w:line="280" w:lineRule="exact"/>
              <w:ind w:left="57" w:right="57"/>
              <w:jc w:val="both"/>
              <w:rPr>
                <w:rFonts w:hint="cs"/>
                <w:szCs w:val="22"/>
              </w:rPr>
            </w:pPr>
            <w:r>
              <w:rPr>
                <w:rFonts w:hint="cs"/>
                <w:szCs w:val="22"/>
                <w:rtl/>
              </w:rPr>
              <w:t>10.8</w:t>
            </w:r>
          </w:p>
        </w:tc>
      </w:tr>
      <w:tr w:rsidR="00443EC1" w:rsidTr="00443EC1">
        <w:tblPrEx>
          <w:tblCellMar>
            <w:top w:w="0" w:type="dxa"/>
            <w:bottom w:w="0" w:type="dxa"/>
          </w:tblCellMar>
        </w:tblPrEx>
        <w:trPr>
          <w:jc w:val="center"/>
        </w:trPr>
        <w:tc>
          <w:tcPr>
            <w:tcW w:w="1050" w:type="dxa"/>
          </w:tcPr>
          <w:p w:rsidR="00443EC1" w:rsidRDefault="00443EC1">
            <w:pPr>
              <w:spacing w:before="0" w:after="0" w:line="280" w:lineRule="exact"/>
              <w:jc w:val="both"/>
              <w:rPr>
                <w:rFonts w:hint="cs"/>
                <w:szCs w:val="22"/>
              </w:rPr>
            </w:pPr>
          </w:p>
        </w:tc>
        <w:tc>
          <w:tcPr>
            <w:tcW w:w="588" w:type="dxa"/>
          </w:tcPr>
          <w:p w:rsidR="00443EC1" w:rsidRDefault="00443EC1">
            <w:pPr>
              <w:spacing w:before="0" w:after="0" w:line="280" w:lineRule="exact"/>
              <w:jc w:val="both"/>
              <w:rPr>
                <w:rFonts w:hint="cs"/>
                <w:szCs w:val="22"/>
              </w:rPr>
            </w:pPr>
            <w:r>
              <w:rPr>
                <w:rFonts w:hint="cs"/>
                <w:szCs w:val="22"/>
                <w:rtl/>
              </w:rPr>
              <w:t>إناث</w:t>
            </w:r>
          </w:p>
        </w:tc>
        <w:tc>
          <w:tcPr>
            <w:tcW w:w="720" w:type="dxa"/>
          </w:tcPr>
          <w:p w:rsidR="00443EC1" w:rsidRDefault="00443EC1">
            <w:pPr>
              <w:spacing w:before="0" w:after="0" w:line="280" w:lineRule="exact"/>
              <w:ind w:left="57" w:right="57"/>
              <w:jc w:val="both"/>
              <w:rPr>
                <w:rFonts w:hint="cs"/>
                <w:szCs w:val="22"/>
              </w:rPr>
            </w:pPr>
            <w:r>
              <w:rPr>
                <w:rFonts w:hint="cs"/>
                <w:szCs w:val="22"/>
                <w:rtl/>
              </w:rPr>
              <w:t>13.8</w:t>
            </w:r>
          </w:p>
        </w:tc>
        <w:tc>
          <w:tcPr>
            <w:tcW w:w="882" w:type="dxa"/>
          </w:tcPr>
          <w:p w:rsidR="00443EC1" w:rsidRDefault="00443EC1">
            <w:pPr>
              <w:spacing w:before="0" w:after="0" w:line="280" w:lineRule="exact"/>
              <w:ind w:left="57" w:right="57"/>
              <w:jc w:val="both"/>
              <w:rPr>
                <w:rFonts w:hint="cs"/>
                <w:szCs w:val="22"/>
              </w:rPr>
            </w:pPr>
            <w:r>
              <w:rPr>
                <w:rFonts w:hint="cs"/>
                <w:szCs w:val="22"/>
                <w:rtl/>
              </w:rPr>
              <w:t>12.6</w:t>
            </w:r>
          </w:p>
        </w:tc>
        <w:tc>
          <w:tcPr>
            <w:tcW w:w="900" w:type="dxa"/>
          </w:tcPr>
          <w:p w:rsidR="00443EC1" w:rsidRDefault="00443EC1">
            <w:pPr>
              <w:spacing w:before="0" w:after="0" w:line="280" w:lineRule="exact"/>
              <w:ind w:left="57" w:right="57"/>
              <w:jc w:val="both"/>
              <w:rPr>
                <w:rFonts w:hint="cs"/>
                <w:szCs w:val="22"/>
              </w:rPr>
            </w:pPr>
            <w:r>
              <w:rPr>
                <w:rFonts w:hint="cs"/>
                <w:szCs w:val="22"/>
                <w:rtl/>
              </w:rPr>
              <w:t>11.1</w:t>
            </w:r>
          </w:p>
        </w:tc>
        <w:tc>
          <w:tcPr>
            <w:tcW w:w="900" w:type="dxa"/>
          </w:tcPr>
          <w:p w:rsidR="00443EC1" w:rsidRDefault="00443EC1">
            <w:pPr>
              <w:spacing w:before="0" w:after="0" w:line="280" w:lineRule="exact"/>
              <w:ind w:left="57" w:right="57"/>
              <w:jc w:val="both"/>
              <w:rPr>
                <w:rFonts w:hint="cs"/>
                <w:szCs w:val="22"/>
              </w:rPr>
            </w:pPr>
            <w:r>
              <w:rPr>
                <w:rFonts w:hint="cs"/>
                <w:szCs w:val="22"/>
                <w:rtl/>
              </w:rPr>
              <w:t>10.8</w:t>
            </w:r>
          </w:p>
        </w:tc>
        <w:tc>
          <w:tcPr>
            <w:tcW w:w="900" w:type="dxa"/>
          </w:tcPr>
          <w:p w:rsidR="00443EC1" w:rsidRDefault="00443EC1">
            <w:pPr>
              <w:spacing w:before="0" w:after="0" w:line="280" w:lineRule="exact"/>
              <w:ind w:left="57" w:right="57"/>
              <w:jc w:val="both"/>
              <w:rPr>
                <w:rFonts w:hint="cs"/>
                <w:szCs w:val="22"/>
              </w:rPr>
            </w:pPr>
            <w:r>
              <w:rPr>
                <w:rFonts w:hint="cs"/>
                <w:szCs w:val="22"/>
                <w:rtl/>
              </w:rPr>
              <w:t>10.6</w:t>
            </w:r>
          </w:p>
        </w:tc>
        <w:tc>
          <w:tcPr>
            <w:tcW w:w="720" w:type="dxa"/>
          </w:tcPr>
          <w:p w:rsidR="00443EC1" w:rsidRDefault="00443EC1">
            <w:pPr>
              <w:spacing w:before="0" w:after="0" w:line="280" w:lineRule="exact"/>
              <w:ind w:left="57" w:right="57"/>
              <w:jc w:val="both"/>
              <w:rPr>
                <w:rFonts w:hint="cs"/>
                <w:szCs w:val="22"/>
              </w:rPr>
            </w:pPr>
            <w:r>
              <w:rPr>
                <w:rFonts w:hint="cs"/>
                <w:szCs w:val="22"/>
                <w:rtl/>
              </w:rPr>
              <w:t>10.5</w:t>
            </w:r>
          </w:p>
        </w:tc>
        <w:tc>
          <w:tcPr>
            <w:tcW w:w="900" w:type="dxa"/>
          </w:tcPr>
          <w:p w:rsidR="00443EC1" w:rsidRDefault="00443EC1">
            <w:pPr>
              <w:spacing w:before="0" w:after="0" w:line="280" w:lineRule="exact"/>
              <w:ind w:left="57" w:right="57"/>
              <w:jc w:val="both"/>
              <w:rPr>
                <w:rFonts w:hint="cs"/>
                <w:szCs w:val="22"/>
              </w:rPr>
            </w:pPr>
            <w:r>
              <w:rPr>
                <w:rFonts w:hint="cs"/>
                <w:szCs w:val="22"/>
                <w:rtl/>
              </w:rPr>
              <w:t>10.4</w:t>
            </w:r>
          </w:p>
        </w:tc>
        <w:tc>
          <w:tcPr>
            <w:tcW w:w="720" w:type="dxa"/>
          </w:tcPr>
          <w:p w:rsidR="00443EC1" w:rsidRDefault="00443EC1">
            <w:pPr>
              <w:spacing w:before="0" w:after="0" w:line="280" w:lineRule="exact"/>
              <w:ind w:left="57" w:right="57"/>
              <w:jc w:val="both"/>
              <w:rPr>
                <w:rFonts w:hint="cs"/>
                <w:szCs w:val="22"/>
              </w:rPr>
            </w:pPr>
            <w:r>
              <w:rPr>
                <w:rFonts w:hint="cs"/>
                <w:szCs w:val="22"/>
                <w:rtl/>
              </w:rPr>
              <w:t>10.3</w:t>
            </w:r>
          </w:p>
        </w:tc>
        <w:tc>
          <w:tcPr>
            <w:tcW w:w="900" w:type="dxa"/>
          </w:tcPr>
          <w:p w:rsidR="00443EC1" w:rsidRDefault="00443EC1">
            <w:pPr>
              <w:spacing w:before="0" w:after="0" w:line="280" w:lineRule="exact"/>
              <w:ind w:left="57" w:right="57"/>
              <w:jc w:val="both"/>
              <w:rPr>
                <w:rFonts w:hint="cs"/>
                <w:szCs w:val="22"/>
              </w:rPr>
            </w:pPr>
            <w:r>
              <w:rPr>
                <w:rFonts w:hint="cs"/>
                <w:szCs w:val="22"/>
                <w:rtl/>
              </w:rPr>
              <w:t>10.2</w:t>
            </w:r>
          </w:p>
        </w:tc>
      </w:tr>
      <w:tr w:rsidR="00443EC1" w:rsidTr="00443EC1">
        <w:tblPrEx>
          <w:tblCellMar>
            <w:top w:w="0" w:type="dxa"/>
            <w:bottom w:w="0" w:type="dxa"/>
          </w:tblCellMar>
        </w:tblPrEx>
        <w:trPr>
          <w:jc w:val="center"/>
        </w:trPr>
        <w:tc>
          <w:tcPr>
            <w:tcW w:w="1050" w:type="dxa"/>
          </w:tcPr>
          <w:p w:rsidR="00443EC1" w:rsidRDefault="00443EC1">
            <w:pPr>
              <w:spacing w:before="0" w:after="0" w:line="280" w:lineRule="exact"/>
              <w:jc w:val="both"/>
              <w:rPr>
                <w:rFonts w:hint="cs"/>
                <w:szCs w:val="22"/>
              </w:rPr>
            </w:pPr>
            <w:r>
              <w:rPr>
                <w:rFonts w:hint="cs"/>
                <w:szCs w:val="22"/>
                <w:rtl/>
              </w:rPr>
              <w:t>19-64</w:t>
            </w:r>
          </w:p>
        </w:tc>
        <w:tc>
          <w:tcPr>
            <w:tcW w:w="588" w:type="dxa"/>
          </w:tcPr>
          <w:p w:rsidR="00443EC1" w:rsidRDefault="00443EC1">
            <w:pPr>
              <w:spacing w:before="0" w:after="0" w:line="280" w:lineRule="exact"/>
              <w:jc w:val="both"/>
              <w:rPr>
                <w:rFonts w:hint="cs"/>
                <w:szCs w:val="22"/>
              </w:rPr>
            </w:pPr>
            <w:r>
              <w:rPr>
                <w:rFonts w:hint="cs"/>
                <w:szCs w:val="22"/>
                <w:rtl/>
              </w:rPr>
              <w:t>ذكور</w:t>
            </w:r>
          </w:p>
        </w:tc>
        <w:tc>
          <w:tcPr>
            <w:tcW w:w="720" w:type="dxa"/>
          </w:tcPr>
          <w:p w:rsidR="00443EC1" w:rsidRDefault="00443EC1">
            <w:pPr>
              <w:spacing w:before="0" w:after="0" w:line="280" w:lineRule="exact"/>
              <w:ind w:left="57" w:right="57"/>
              <w:jc w:val="both"/>
              <w:rPr>
                <w:rFonts w:hint="cs"/>
                <w:szCs w:val="22"/>
              </w:rPr>
            </w:pPr>
            <w:r>
              <w:rPr>
                <w:rFonts w:hint="cs"/>
                <w:szCs w:val="22"/>
                <w:rtl/>
              </w:rPr>
              <w:t>33.1</w:t>
            </w:r>
          </w:p>
        </w:tc>
        <w:tc>
          <w:tcPr>
            <w:tcW w:w="882" w:type="dxa"/>
          </w:tcPr>
          <w:p w:rsidR="00443EC1" w:rsidRDefault="00443EC1">
            <w:pPr>
              <w:spacing w:before="0" w:after="0" w:line="280" w:lineRule="exact"/>
              <w:ind w:left="57" w:right="57"/>
              <w:jc w:val="both"/>
              <w:rPr>
                <w:rFonts w:hint="cs"/>
                <w:szCs w:val="22"/>
              </w:rPr>
            </w:pPr>
            <w:r>
              <w:rPr>
                <w:rFonts w:hint="cs"/>
                <w:szCs w:val="22"/>
                <w:rtl/>
              </w:rPr>
              <w:t>33.3</w:t>
            </w:r>
          </w:p>
        </w:tc>
        <w:tc>
          <w:tcPr>
            <w:tcW w:w="900" w:type="dxa"/>
          </w:tcPr>
          <w:p w:rsidR="00443EC1" w:rsidRDefault="00443EC1">
            <w:pPr>
              <w:spacing w:before="0" w:after="0" w:line="280" w:lineRule="exact"/>
              <w:ind w:left="57" w:right="57"/>
              <w:jc w:val="both"/>
              <w:rPr>
                <w:rFonts w:hint="cs"/>
                <w:szCs w:val="22"/>
              </w:rPr>
            </w:pPr>
            <w:r>
              <w:rPr>
                <w:rFonts w:hint="cs"/>
                <w:szCs w:val="22"/>
                <w:rtl/>
              </w:rPr>
              <w:t>32.5</w:t>
            </w:r>
          </w:p>
        </w:tc>
        <w:tc>
          <w:tcPr>
            <w:tcW w:w="900" w:type="dxa"/>
          </w:tcPr>
          <w:p w:rsidR="00443EC1" w:rsidRDefault="00443EC1">
            <w:pPr>
              <w:spacing w:before="0" w:after="0" w:line="280" w:lineRule="exact"/>
              <w:ind w:left="57" w:right="57"/>
              <w:jc w:val="both"/>
              <w:rPr>
                <w:rFonts w:hint="cs"/>
                <w:szCs w:val="22"/>
              </w:rPr>
            </w:pPr>
            <w:r>
              <w:rPr>
                <w:rFonts w:hint="cs"/>
                <w:szCs w:val="22"/>
                <w:rtl/>
              </w:rPr>
              <w:t>32.5</w:t>
            </w:r>
          </w:p>
        </w:tc>
        <w:tc>
          <w:tcPr>
            <w:tcW w:w="900" w:type="dxa"/>
          </w:tcPr>
          <w:p w:rsidR="00443EC1" w:rsidRDefault="00443EC1">
            <w:pPr>
              <w:spacing w:before="0" w:after="0" w:line="280" w:lineRule="exact"/>
              <w:ind w:left="57" w:right="57"/>
              <w:jc w:val="both"/>
              <w:rPr>
                <w:rFonts w:hint="cs"/>
                <w:szCs w:val="22"/>
              </w:rPr>
            </w:pPr>
            <w:r>
              <w:rPr>
                <w:rFonts w:hint="cs"/>
                <w:szCs w:val="22"/>
                <w:rtl/>
              </w:rPr>
              <w:t>32.5</w:t>
            </w:r>
          </w:p>
        </w:tc>
        <w:tc>
          <w:tcPr>
            <w:tcW w:w="720" w:type="dxa"/>
          </w:tcPr>
          <w:p w:rsidR="00443EC1" w:rsidRDefault="00443EC1">
            <w:pPr>
              <w:spacing w:before="0" w:after="0" w:line="280" w:lineRule="exact"/>
              <w:ind w:left="57" w:right="57"/>
              <w:jc w:val="both"/>
              <w:rPr>
                <w:rFonts w:hint="cs"/>
                <w:szCs w:val="22"/>
              </w:rPr>
            </w:pPr>
            <w:r>
              <w:rPr>
                <w:rFonts w:hint="cs"/>
                <w:szCs w:val="22"/>
                <w:rtl/>
              </w:rPr>
              <w:t>32.5</w:t>
            </w:r>
          </w:p>
        </w:tc>
        <w:tc>
          <w:tcPr>
            <w:tcW w:w="900" w:type="dxa"/>
          </w:tcPr>
          <w:p w:rsidR="00443EC1" w:rsidRDefault="00443EC1">
            <w:pPr>
              <w:spacing w:before="0" w:after="0" w:line="280" w:lineRule="exact"/>
              <w:ind w:left="57" w:right="57"/>
              <w:jc w:val="both"/>
              <w:rPr>
                <w:rFonts w:hint="cs"/>
                <w:szCs w:val="22"/>
              </w:rPr>
            </w:pPr>
            <w:r>
              <w:rPr>
                <w:rFonts w:hint="cs"/>
                <w:szCs w:val="22"/>
                <w:rtl/>
              </w:rPr>
              <w:t>32.5</w:t>
            </w:r>
          </w:p>
        </w:tc>
        <w:tc>
          <w:tcPr>
            <w:tcW w:w="720" w:type="dxa"/>
          </w:tcPr>
          <w:p w:rsidR="00443EC1" w:rsidRDefault="00443EC1">
            <w:pPr>
              <w:spacing w:before="0" w:after="0" w:line="280" w:lineRule="exact"/>
              <w:ind w:left="57" w:right="57"/>
              <w:jc w:val="both"/>
              <w:rPr>
                <w:rFonts w:hint="cs"/>
                <w:szCs w:val="22"/>
              </w:rPr>
            </w:pPr>
            <w:r>
              <w:rPr>
                <w:rFonts w:hint="cs"/>
                <w:szCs w:val="22"/>
                <w:rtl/>
              </w:rPr>
              <w:t>32.4</w:t>
            </w:r>
          </w:p>
        </w:tc>
        <w:tc>
          <w:tcPr>
            <w:tcW w:w="900" w:type="dxa"/>
          </w:tcPr>
          <w:p w:rsidR="00443EC1" w:rsidRDefault="00443EC1">
            <w:pPr>
              <w:spacing w:before="0" w:after="0" w:line="280" w:lineRule="exact"/>
              <w:ind w:left="57" w:right="57"/>
              <w:jc w:val="both"/>
              <w:rPr>
                <w:rFonts w:hint="cs"/>
                <w:szCs w:val="22"/>
              </w:rPr>
            </w:pPr>
            <w:r>
              <w:rPr>
                <w:rFonts w:hint="cs"/>
                <w:szCs w:val="22"/>
                <w:rtl/>
              </w:rPr>
              <w:t>32.3</w:t>
            </w:r>
          </w:p>
        </w:tc>
      </w:tr>
      <w:tr w:rsidR="00443EC1" w:rsidTr="00443EC1">
        <w:tblPrEx>
          <w:tblCellMar>
            <w:top w:w="0" w:type="dxa"/>
            <w:bottom w:w="0" w:type="dxa"/>
          </w:tblCellMar>
        </w:tblPrEx>
        <w:trPr>
          <w:jc w:val="center"/>
        </w:trPr>
        <w:tc>
          <w:tcPr>
            <w:tcW w:w="1050" w:type="dxa"/>
          </w:tcPr>
          <w:p w:rsidR="00443EC1" w:rsidRDefault="00443EC1">
            <w:pPr>
              <w:spacing w:before="0" w:after="0" w:line="280" w:lineRule="exact"/>
              <w:jc w:val="both"/>
              <w:rPr>
                <w:rFonts w:hint="cs"/>
                <w:szCs w:val="22"/>
              </w:rPr>
            </w:pPr>
          </w:p>
        </w:tc>
        <w:tc>
          <w:tcPr>
            <w:tcW w:w="588" w:type="dxa"/>
          </w:tcPr>
          <w:p w:rsidR="00443EC1" w:rsidRDefault="00443EC1">
            <w:pPr>
              <w:spacing w:before="0" w:after="0" w:line="280" w:lineRule="exact"/>
              <w:jc w:val="both"/>
              <w:rPr>
                <w:rFonts w:hint="cs"/>
                <w:szCs w:val="22"/>
              </w:rPr>
            </w:pPr>
            <w:r>
              <w:rPr>
                <w:rFonts w:hint="cs"/>
                <w:szCs w:val="22"/>
                <w:rtl/>
              </w:rPr>
              <w:t>إناث</w:t>
            </w:r>
          </w:p>
        </w:tc>
        <w:tc>
          <w:tcPr>
            <w:tcW w:w="720" w:type="dxa"/>
          </w:tcPr>
          <w:p w:rsidR="00443EC1" w:rsidRDefault="00443EC1">
            <w:pPr>
              <w:spacing w:before="0" w:after="0" w:line="280" w:lineRule="exact"/>
              <w:ind w:left="57" w:right="57"/>
              <w:jc w:val="both"/>
              <w:rPr>
                <w:rFonts w:hint="cs"/>
                <w:szCs w:val="22"/>
              </w:rPr>
            </w:pPr>
            <w:r>
              <w:rPr>
                <w:rFonts w:hint="cs"/>
                <w:szCs w:val="22"/>
                <w:rtl/>
              </w:rPr>
              <w:t>30.2</w:t>
            </w:r>
          </w:p>
        </w:tc>
        <w:tc>
          <w:tcPr>
            <w:tcW w:w="882" w:type="dxa"/>
          </w:tcPr>
          <w:p w:rsidR="00443EC1" w:rsidRDefault="00443EC1">
            <w:pPr>
              <w:spacing w:before="0" w:after="0" w:line="280" w:lineRule="exact"/>
              <w:ind w:left="57" w:right="57"/>
              <w:jc w:val="both"/>
              <w:rPr>
                <w:rFonts w:hint="cs"/>
                <w:szCs w:val="22"/>
              </w:rPr>
            </w:pPr>
            <w:r>
              <w:rPr>
                <w:rFonts w:hint="cs"/>
                <w:szCs w:val="22"/>
                <w:rtl/>
              </w:rPr>
              <w:t>31.6</w:t>
            </w:r>
          </w:p>
        </w:tc>
        <w:tc>
          <w:tcPr>
            <w:tcW w:w="900" w:type="dxa"/>
          </w:tcPr>
          <w:p w:rsidR="00443EC1" w:rsidRDefault="00443EC1">
            <w:pPr>
              <w:spacing w:before="0" w:after="0" w:line="280" w:lineRule="exact"/>
              <w:ind w:left="57" w:right="57"/>
              <w:jc w:val="both"/>
              <w:rPr>
                <w:rFonts w:hint="cs"/>
                <w:szCs w:val="22"/>
              </w:rPr>
            </w:pPr>
            <w:r>
              <w:rPr>
                <w:rFonts w:hint="cs"/>
                <w:szCs w:val="22"/>
                <w:rtl/>
              </w:rPr>
              <w:t>33.6</w:t>
            </w:r>
          </w:p>
        </w:tc>
        <w:tc>
          <w:tcPr>
            <w:tcW w:w="900" w:type="dxa"/>
          </w:tcPr>
          <w:p w:rsidR="00443EC1" w:rsidRDefault="00443EC1">
            <w:pPr>
              <w:spacing w:before="0" w:after="0" w:line="280" w:lineRule="exact"/>
              <w:ind w:left="57" w:right="57"/>
              <w:jc w:val="both"/>
              <w:rPr>
                <w:rFonts w:hint="cs"/>
                <w:szCs w:val="22"/>
              </w:rPr>
            </w:pPr>
            <w:r>
              <w:rPr>
                <w:rFonts w:hint="cs"/>
                <w:szCs w:val="22"/>
                <w:rtl/>
              </w:rPr>
              <w:t>34.1</w:t>
            </w:r>
          </w:p>
        </w:tc>
        <w:tc>
          <w:tcPr>
            <w:tcW w:w="900" w:type="dxa"/>
          </w:tcPr>
          <w:p w:rsidR="00443EC1" w:rsidRDefault="00443EC1">
            <w:pPr>
              <w:spacing w:before="0" w:after="0" w:line="280" w:lineRule="exact"/>
              <w:ind w:left="57" w:right="57"/>
              <w:jc w:val="both"/>
              <w:rPr>
                <w:rFonts w:hint="cs"/>
                <w:szCs w:val="22"/>
              </w:rPr>
            </w:pPr>
            <w:r>
              <w:rPr>
                <w:rFonts w:hint="cs"/>
                <w:szCs w:val="22"/>
                <w:rtl/>
              </w:rPr>
              <w:t>34.4</w:t>
            </w:r>
          </w:p>
        </w:tc>
        <w:tc>
          <w:tcPr>
            <w:tcW w:w="720" w:type="dxa"/>
          </w:tcPr>
          <w:p w:rsidR="00443EC1" w:rsidRDefault="00443EC1">
            <w:pPr>
              <w:spacing w:before="0" w:after="0" w:line="280" w:lineRule="exact"/>
              <w:ind w:left="57" w:right="57"/>
              <w:jc w:val="both"/>
              <w:rPr>
                <w:rFonts w:hint="cs"/>
                <w:szCs w:val="22"/>
              </w:rPr>
            </w:pPr>
            <w:r>
              <w:rPr>
                <w:rFonts w:hint="cs"/>
                <w:szCs w:val="22"/>
                <w:rtl/>
              </w:rPr>
              <w:t>34.6</w:t>
            </w:r>
          </w:p>
        </w:tc>
        <w:tc>
          <w:tcPr>
            <w:tcW w:w="900" w:type="dxa"/>
          </w:tcPr>
          <w:p w:rsidR="00443EC1" w:rsidRDefault="00443EC1">
            <w:pPr>
              <w:spacing w:before="0" w:after="0" w:line="280" w:lineRule="exact"/>
              <w:ind w:left="57" w:right="57"/>
              <w:jc w:val="both"/>
              <w:rPr>
                <w:rFonts w:hint="cs"/>
                <w:szCs w:val="22"/>
              </w:rPr>
            </w:pPr>
            <w:r>
              <w:rPr>
                <w:rFonts w:hint="cs"/>
                <w:szCs w:val="22"/>
                <w:rtl/>
              </w:rPr>
              <w:t>34.8</w:t>
            </w:r>
          </w:p>
        </w:tc>
        <w:tc>
          <w:tcPr>
            <w:tcW w:w="720" w:type="dxa"/>
          </w:tcPr>
          <w:p w:rsidR="00443EC1" w:rsidRDefault="00443EC1">
            <w:pPr>
              <w:spacing w:before="0" w:after="0" w:line="280" w:lineRule="exact"/>
              <w:ind w:left="57" w:right="57"/>
              <w:jc w:val="both"/>
              <w:rPr>
                <w:rFonts w:hint="cs"/>
                <w:szCs w:val="22"/>
              </w:rPr>
            </w:pPr>
            <w:r>
              <w:rPr>
                <w:rFonts w:hint="cs"/>
                <w:szCs w:val="22"/>
                <w:rtl/>
              </w:rPr>
              <w:t>34.9</w:t>
            </w:r>
          </w:p>
        </w:tc>
        <w:tc>
          <w:tcPr>
            <w:tcW w:w="900" w:type="dxa"/>
          </w:tcPr>
          <w:p w:rsidR="00443EC1" w:rsidRDefault="00443EC1">
            <w:pPr>
              <w:spacing w:before="0" w:after="0" w:line="280" w:lineRule="exact"/>
              <w:ind w:left="57" w:right="57"/>
              <w:jc w:val="both"/>
              <w:rPr>
                <w:rFonts w:hint="cs"/>
                <w:szCs w:val="22"/>
              </w:rPr>
            </w:pPr>
            <w:r>
              <w:rPr>
                <w:rFonts w:hint="cs"/>
                <w:szCs w:val="22"/>
                <w:rtl/>
              </w:rPr>
              <w:t>35.0</w:t>
            </w:r>
          </w:p>
        </w:tc>
      </w:tr>
      <w:tr w:rsidR="00443EC1" w:rsidTr="00443EC1">
        <w:tblPrEx>
          <w:tblCellMar>
            <w:top w:w="0" w:type="dxa"/>
            <w:bottom w:w="0" w:type="dxa"/>
          </w:tblCellMar>
        </w:tblPrEx>
        <w:trPr>
          <w:jc w:val="center"/>
        </w:trPr>
        <w:tc>
          <w:tcPr>
            <w:tcW w:w="1050" w:type="dxa"/>
          </w:tcPr>
          <w:p w:rsidR="00443EC1" w:rsidRDefault="00443EC1">
            <w:pPr>
              <w:spacing w:before="0" w:after="0" w:line="280" w:lineRule="exact"/>
              <w:jc w:val="both"/>
              <w:rPr>
                <w:rFonts w:hint="cs"/>
                <w:spacing w:val="0"/>
                <w:szCs w:val="22"/>
              </w:rPr>
            </w:pPr>
            <w:r>
              <w:rPr>
                <w:rFonts w:hint="cs"/>
                <w:spacing w:val="0"/>
                <w:szCs w:val="22"/>
                <w:rtl/>
              </w:rPr>
              <w:t>65 وما فوق</w:t>
            </w:r>
          </w:p>
        </w:tc>
        <w:tc>
          <w:tcPr>
            <w:tcW w:w="588" w:type="dxa"/>
          </w:tcPr>
          <w:p w:rsidR="00443EC1" w:rsidRDefault="00443EC1">
            <w:pPr>
              <w:spacing w:before="0" w:after="0" w:line="280" w:lineRule="exact"/>
              <w:jc w:val="both"/>
              <w:rPr>
                <w:rFonts w:hint="cs"/>
                <w:szCs w:val="22"/>
              </w:rPr>
            </w:pPr>
            <w:r>
              <w:rPr>
                <w:rFonts w:hint="cs"/>
                <w:szCs w:val="22"/>
                <w:rtl/>
              </w:rPr>
              <w:t>ذكور</w:t>
            </w:r>
          </w:p>
        </w:tc>
        <w:tc>
          <w:tcPr>
            <w:tcW w:w="720" w:type="dxa"/>
          </w:tcPr>
          <w:p w:rsidR="00443EC1" w:rsidRDefault="00443EC1">
            <w:pPr>
              <w:spacing w:before="0" w:after="0" w:line="280" w:lineRule="exact"/>
              <w:ind w:left="57" w:right="57"/>
              <w:jc w:val="both"/>
              <w:rPr>
                <w:rFonts w:hint="cs"/>
                <w:szCs w:val="22"/>
              </w:rPr>
            </w:pPr>
            <w:r>
              <w:rPr>
                <w:rFonts w:hint="cs"/>
                <w:szCs w:val="22"/>
                <w:rtl/>
              </w:rPr>
              <w:t>3.4</w:t>
            </w:r>
          </w:p>
        </w:tc>
        <w:tc>
          <w:tcPr>
            <w:tcW w:w="882" w:type="dxa"/>
          </w:tcPr>
          <w:p w:rsidR="00443EC1" w:rsidRDefault="00443EC1">
            <w:pPr>
              <w:spacing w:before="0" w:after="0" w:line="280" w:lineRule="exact"/>
              <w:ind w:left="57" w:right="57"/>
              <w:jc w:val="both"/>
              <w:rPr>
                <w:rFonts w:hint="cs"/>
                <w:szCs w:val="22"/>
              </w:rPr>
            </w:pPr>
            <w:r>
              <w:rPr>
                <w:rFonts w:hint="cs"/>
                <w:szCs w:val="22"/>
                <w:rtl/>
              </w:rPr>
              <w:t>4.0</w:t>
            </w:r>
          </w:p>
        </w:tc>
        <w:tc>
          <w:tcPr>
            <w:tcW w:w="900" w:type="dxa"/>
          </w:tcPr>
          <w:p w:rsidR="00443EC1" w:rsidRDefault="00443EC1">
            <w:pPr>
              <w:spacing w:before="0" w:after="0" w:line="280" w:lineRule="exact"/>
              <w:ind w:left="57" w:right="57"/>
              <w:jc w:val="both"/>
              <w:rPr>
                <w:rFonts w:hint="cs"/>
                <w:szCs w:val="22"/>
              </w:rPr>
            </w:pPr>
            <w:r>
              <w:rPr>
                <w:rFonts w:hint="cs"/>
                <w:szCs w:val="22"/>
                <w:rtl/>
              </w:rPr>
              <w:t>4.9</w:t>
            </w:r>
          </w:p>
        </w:tc>
        <w:tc>
          <w:tcPr>
            <w:tcW w:w="900" w:type="dxa"/>
          </w:tcPr>
          <w:p w:rsidR="00443EC1" w:rsidRDefault="00443EC1">
            <w:pPr>
              <w:spacing w:before="0" w:after="0" w:line="280" w:lineRule="exact"/>
              <w:ind w:left="57" w:right="57"/>
              <w:jc w:val="both"/>
              <w:rPr>
                <w:rFonts w:hint="cs"/>
                <w:szCs w:val="22"/>
              </w:rPr>
            </w:pPr>
            <w:r>
              <w:rPr>
                <w:rFonts w:hint="cs"/>
                <w:szCs w:val="22"/>
                <w:rtl/>
              </w:rPr>
              <w:t>5.0</w:t>
            </w:r>
          </w:p>
        </w:tc>
        <w:tc>
          <w:tcPr>
            <w:tcW w:w="900" w:type="dxa"/>
          </w:tcPr>
          <w:p w:rsidR="00443EC1" w:rsidRDefault="00443EC1">
            <w:pPr>
              <w:spacing w:before="0" w:after="0" w:line="280" w:lineRule="exact"/>
              <w:ind w:left="57" w:right="57"/>
              <w:jc w:val="both"/>
              <w:rPr>
                <w:rFonts w:hint="cs"/>
                <w:szCs w:val="22"/>
              </w:rPr>
            </w:pPr>
            <w:r>
              <w:rPr>
                <w:rFonts w:hint="cs"/>
                <w:szCs w:val="22"/>
                <w:rtl/>
              </w:rPr>
              <w:t>5.1</w:t>
            </w:r>
          </w:p>
        </w:tc>
        <w:tc>
          <w:tcPr>
            <w:tcW w:w="720" w:type="dxa"/>
          </w:tcPr>
          <w:p w:rsidR="00443EC1" w:rsidRDefault="00443EC1">
            <w:pPr>
              <w:spacing w:before="0" w:after="0" w:line="280" w:lineRule="exact"/>
              <w:ind w:left="57" w:right="57"/>
              <w:jc w:val="both"/>
              <w:rPr>
                <w:rFonts w:hint="cs"/>
                <w:szCs w:val="22"/>
              </w:rPr>
            </w:pPr>
            <w:r>
              <w:rPr>
                <w:rFonts w:hint="cs"/>
                <w:szCs w:val="22"/>
                <w:rtl/>
              </w:rPr>
              <w:t>5.2</w:t>
            </w:r>
          </w:p>
        </w:tc>
        <w:tc>
          <w:tcPr>
            <w:tcW w:w="900" w:type="dxa"/>
          </w:tcPr>
          <w:p w:rsidR="00443EC1" w:rsidRDefault="00443EC1">
            <w:pPr>
              <w:spacing w:before="0" w:after="0" w:line="280" w:lineRule="exact"/>
              <w:ind w:left="57" w:right="57"/>
              <w:jc w:val="both"/>
              <w:rPr>
                <w:rFonts w:hint="cs"/>
                <w:szCs w:val="22"/>
              </w:rPr>
            </w:pPr>
            <w:r>
              <w:rPr>
                <w:rFonts w:hint="cs"/>
                <w:szCs w:val="22"/>
                <w:rtl/>
              </w:rPr>
              <w:t>5.2</w:t>
            </w:r>
          </w:p>
        </w:tc>
        <w:tc>
          <w:tcPr>
            <w:tcW w:w="720" w:type="dxa"/>
          </w:tcPr>
          <w:p w:rsidR="00443EC1" w:rsidRDefault="00443EC1">
            <w:pPr>
              <w:spacing w:before="0" w:after="0" w:line="280" w:lineRule="exact"/>
              <w:ind w:left="57" w:right="57"/>
              <w:jc w:val="both"/>
              <w:rPr>
                <w:rFonts w:hint="cs"/>
                <w:szCs w:val="22"/>
              </w:rPr>
            </w:pPr>
            <w:r>
              <w:rPr>
                <w:rFonts w:hint="cs"/>
                <w:szCs w:val="22"/>
                <w:rtl/>
              </w:rPr>
              <w:t>5.3</w:t>
            </w:r>
          </w:p>
        </w:tc>
        <w:tc>
          <w:tcPr>
            <w:tcW w:w="900" w:type="dxa"/>
          </w:tcPr>
          <w:p w:rsidR="00443EC1" w:rsidRDefault="00443EC1">
            <w:pPr>
              <w:spacing w:before="0" w:after="0" w:line="280" w:lineRule="exact"/>
              <w:ind w:left="57" w:right="57"/>
              <w:jc w:val="both"/>
              <w:rPr>
                <w:rFonts w:hint="cs"/>
                <w:szCs w:val="22"/>
              </w:rPr>
            </w:pPr>
            <w:r>
              <w:rPr>
                <w:rFonts w:hint="cs"/>
                <w:szCs w:val="22"/>
                <w:rtl/>
              </w:rPr>
              <w:t>5.4</w:t>
            </w:r>
          </w:p>
        </w:tc>
      </w:tr>
      <w:tr w:rsidR="00443EC1" w:rsidTr="00443EC1">
        <w:tblPrEx>
          <w:tblCellMar>
            <w:top w:w="0" w:type="dxa"/>
            <w:bottom w:w="0" w:type="dxa"/>
          </w:tblCellMar>
        </w:tblPrEx>
        <w:trPr>
          <w:jc w:val="center"/>
        </w:trPr>
        <w:tc>
          <w:tcPr>
            <w:tcW w:w="1050" w:type="dxa"/>
          </w:tcPr>
          <w:p w:rsidR="00443EC1" w:rsidRDefault="00443EC1">
            <w:pPr>
              <w:spacing w:before="0" w:after="0" w:line="280" w:lineRule="exact"/>
              <w:jc w:val="both"/>
              <w:rPr>
                <w:rFonts w:hint="cs"/>
                <w:szCs w:val="22"/>
              </w:rPr>
            </w:pPr>
          </w:p>
        </w:tc>
        <w:tc>
          <w:tcPr>
            <w:tcW w:w="588" w:type="dxa"/>
          </w:tcPr>
          <w:p w:rsidR="00443EC1" w:rsidRDefault="00443EC1">
            <w:pPr>
              <w:spacing w:before="0" w:after="0" w:line="280" w:lineRule="exact"/>
              <w:jc w:val="both"/>
              <w:rPr>
                <w:rFonts w:hint="cs"/>
                <w:szCs w:val="22"/>
              </w:rPr>
            </w:pPr>
            <w:r>
              <w:rPr>
                <w:rFonts w:hint="cs"/>
                <w:szCs w:val="22"/>
                <w:rtl/>
              </w:rPr>
              <w:t>إناث</w:t>
            </w:r>
          </w:p>
        </w:tc>
        <w:tc>
          <w:tcPr>
            <w:tcW w:w="720" w:type="dxa"/>
          </w:tcPr>
          <w:p w:rsidR="00443EC1" w:rsidRDefault="00443EC1">
            <w:pPr>
              <w:spacing w:before="0" w:after="0" w:line="280" w:lineRule="exact"/>
              <w:ind w:left="57" w:right="57"/>
              <w:jc w:val="both"/>
              <w:rPr>
                <w:rFonts w:hint="cs"/>
                <w:szCs w:val="22"/>
              </w:rPr>
            </w:pPr>
            <w:r>
              <w:rPr>
                <w:rFonts w:hint="cs"/>
                <w:szCs w:val="22"/>
                <w:rtl/>
              </w:rPr>
              <w:t>4.5</w:t>
            </w:r>
          </w:p>
        </w:tc>
        <w:tc>
          <w:tcPr>
            <w:tcW w:w="882" w:type="dxa"/>
          </w:tcPr>
          <w:p w:rsidR="00443EC1" w:rsidRDefault="00443EC1">
            <w:pPr>
              <w:spacing w:before="0" w:after="0" w:line="280" w:lineRule="exact"/>
              <w:ind w:left="57" w:right="57"/>
              <w:jc w:val="both"/>
              <w:rPr>
                <w:rFonts w:hint="cs"/>
                <w:szCs w:val="22"/>
              </w:rPr>
            </w:pPr>
            <w:r>
              <w:rPr>
                <w:rFonts w:hint="cs"/>
                <w:szCs w:val="22"/>
                <w:rtl/>
              </w:rPr>
              <w:t>5.0</w:t>
            </w:r>
          </w:p>
        </w:tc>
        <w:tc>
          <w:tcPr>
            <w:tcW w:w="900" w:type="dxa"/>
          </w:tcPr>
          <w:p w:rsidR="00443EC1" w:rsidRDefault="00443EC1">
            <w:pPr>
              <w:spacing w:before="0" w:after="0" w:line="280" w:lineRule="exact"/>
              <w:ind w:left="57" w:right="57"/>
              <w:jc w:val="both"/>
              <w:rPr>
                <w:rFonts w:hint="cs"/>
                <w:szCs w:val="22"/>
              </w:rPr>
            </w:pPr>
            <w:r>
              <w:rPr>
                <w:rFonts w:hint="cs"/>
                <w:szCs w:val="22"/>
                <w:rtl/>
              </w:rPr>
              <w:t>5.8</w:t>
            </w:r>
          </w:p>
        </w:tc>
        <w:tc>
          <w:tcPr>
            <w:tcW w:w="900" w:type="dxa"/>
          </w:tcPr>
          <w:p w:rsidR="00443EC1" w:rsidRDefault="00443EC1">
            <w:pPr>
              <w:spacing w:before="0" w:after="0" w:line="280" w:lineRule="exact"/>
              <w:ind w:left="57" w:right="57"/>
              <w:jc w:val="both"/>
              <w:rPr>
                <w:rFonts w:hint="cs"/>
                <w:szCs w:val="22"/>
              </w:rPr>
            </w:pPr>
            <w:r>
              <w:rPr>
                <w:rFonts w:hint="cs"/>
                <w:szCs w:val="22"/>
                <w:rtl/>
              </w:rPr>
              <w:t>5.9</w:t>
            </w:r>
          </w:p>
        </w:tc>
        <w:tc>
          <w:tcPr>
            <w:tcW w:w="900" w:type="dxa"/>
          </w:tcPr>
          <w:p w:rsidR="00443EC1" w:rsidRDefault="00443EC1">
            <w:pPr>
              <w:spacing w:before="0" w:after="0" w:line="280" w:lineRule="exact"/>
              <w:ind w:left="57" w:right="57"/>
              <w:jc w:val="both"/>
              <w:rPr>
                <w:rFonts w:hint="cs"/>
                <w:szCs w:val="22"/>
              </w:rPr>
            </w:pPr>
            <w:r>
              <w:rPr>
                <w:rFonts w:hint="cs"/>
                <w:szCs w:val="22"/>
                <w:rtl/>
              </w:rPr>
              <w:t>6.0</w:t>
            </w:r>
          </w:p>
        </w:tc>
        <w:tc>
          <w:tcPr>
            <w:tcW w:w="720" w:type="dxa"/>
          </w:tcPr>
          <w:p w:rsidR="00443EC1" w:rsidRDefault="00443EC1">
            <w:pPr>
              <w:spacing w:before="0" w:after="0" w:line="280" w:lineRule="exact"/>
              <w:ind w:left="57" w:right="57"/>
              <w:jc w:val="both"/>
              <w:rPr>
                <w:rFonts w:hint="cs"/>
                <w:szCs w:val="22"/>
              </w:rPr>
            </w:pPr>
            <w:r>
              <w:rPr>
                <w:rFonts w:hint="cs"/>
                <w:szCs w:val="22"/>
                <w:rtl/>
              </w:rPr>
              <w:t>6.0</w:t>
            </w:r>
          </w:p>
        </w:tc>
        <w:tc>
          <w:tcPr>
            <w:tcW w:w="900" w:type="dxa"/>
          </w:tcPr>
          <w:p w:rsidR="00443EC1" w:rsidRDefault="00443EC1">
            <w:pPr>
              <w:spacing w:before="0" w:after="0" w:line="280" w:lineRule="exact"/>
              <w:ind w:left="57" w:right="57"/>
              <w:jc w:val="both"/>
              <w:rPr>
                <w:rFonts w:hint="cs"/>
                <w:szCs w:val="22"/>
              </w:rPr>
            </w:pPr>
            <w:r>
              <w:rPr>
                <w:rFonts w:hint="cs"/>
                <w:szCs w:val="22"/>
                <w:rtl/>
              </w:rPr>
              <w:t>6.1</w:t>
            </w:r>
          </w:p>
        </w:tc>
        <w:tc>
          <w:tcPr>
            <w:tcW w:w="720" w:type="dxa"/>
          </w:tcPr>
          <w:p w:rsidR="00443EC1" w:rsidRDefault="00443EC1">
            <w:pPr>
              <w:spacing w:before="0" w:after="0" w:line="280" w:lineRule="exact"/>
              <w:ind w:left="57" w:right="57"/>
              <w:jc w:val="both"/>
              <w:rPr>
                <w:rFonts w:hint="cs"/>
                <w:szCs w:val="22"/>
              </w:rPr>
            </w:pPr>
            <w:r>
              <w:rPr>
                <w:rFonts w:hint="cs"/>
                <w:szCs w:val="22"/>
                <w:rtl/>
              </w:rPr>
              <w:t>6.2</w:t>
            </w:r>
          </w:p>
        </w:tc>
        <w:tc>
          <w:tcPr>
            <w:tcW w:w="900" w:type="dxa"/>
          </w:tcPr>
          <w:p w:rsidR="00443EC1" w:rsidRDefault="00443EC1">
            <w:pPr>
              <w:spacing w:before="0" w:after="0" w:line="280" w:lineRule="exact"/>
              <w:ind w:left="57" w:right="57"/>
              <w:jc w:val="both"/>
              <w:rPr>
                <w:rFonts w:hint="cs"/>
                <w:szCs w:val="22"/>
              </w:rPr>
            </w:pPr>
            <w:r>
              <w:rPr>
                <w:rFonts w:hint="cs"/>
                <w:szCs w:val="22"/>
                <w:rtl/>
              </w:rPr>
              <w:t>6.3</w:t>
            </w:r>
          </w:p>
        </w:tc>
      </w:tr>
      <w:tr w:rsidR="00443EC1" w:rsidTr="00443EC1">
        <w:tblPrEx>
          <w:tblCellMar>
            <w:top w:w="0" w:type="dxa"/>
            <w:bottom w:w="0" w:type="dxa"/>
          </w:tblCellMar>
        </w:tblPrEx>
        <w:trPr>
          <w:cantSplit/>
          <w:jc w:val="center"/>
        </w:trPr>
        <w:tc>
          <w:tcPr>
            <w:tcW w:w="1050" w:type="dxa"/>
            <w:vMerge w:val="restart"/>
          </w:tcPr>
          <w:p w:rsidR="00443EC1" w:rsidRDefault="00443EC1">
            <w:pPr>
              <w:spacing w:before="0" w:after="0" w:line="280" w:lineRule="exact"/>
              <w:jc w:val="both"/>
              <w:rPr>
                <w:rFonts w:hint="cs"/>
                <w:spacing w:val="0"/>
                <w:szCs w:val="22"/>
              </w:rPr>
            </w:pPr>
            <w:r>
              <w:rPr>
                <w:rFonts w:hint="cs"/>
                <w:spacing w:val="0"/>
                <w:szCs w:val="22"/>
                <w:rtl/>
              </w:rPr>
              <w:t>جميع الفئات</w:t>
            </w:r>
            <w:r>
              <w:rPr>
                <w:spacing w:val="0"/>
                <w:szCs w:val="22"/>
                <w:rtl/>
              </w:rPr>
              <w:br/>
            </w:r>
            <w:r>
              <w:rPr>
                <w:rFonts w:hint="cs"/>
                <w:spacing w:val="0"/>
                <w:szCs w:val="22"/>
                <w:rtl/>
              </w:rPr>
              <w:t xml:space="preserve">   العمرية</w:t>
            </w:r>
          </w:p>
        </w:tc>
        <w:tc>
          <w:tcPr>
            <w:tcW w:w="588" w:type="dxa"/>
          </w:tcPr>
          <w:p w:rsidR="00443EC1" w:rsidRDefault="00443EC1">
            <w:pPr>
              <w:spacing w:before="0" w:after="0" w:line="280" w:lineRule="exact"/>
              <w:jc w:val="both"/>
              <w:rPr>
                <w:rFonts w:hint="cs"/>
                <w:szCs w:val="22"/>
              </w:rPr>
            </w:pPr>
            <w:r>
              <w:rPr>
                <w:rFonts w:hint="cs"/>
                <w:szCs w:val="22"/>
                <w:rtl/>
              </w:rPr>
              <w:t>ذكور</w:t>
            </w:r>
          </w:p>
        </w:tc>
        <w:tc>
          <w:tcPr>
            <w:tcW w:w="720" w:type="dxa"/>
          </w:tcPr>
          <w:p w:rsidR="00443EC1" w:rsidRDefault="00443EC1">
            <w:pPr>
              <w:spacing w:before="0" w:after="0" w:line="280" w:lineRule="exact"/>
              <w:ind w:left="57" w:right="57"/>
              <w:jc w:val="both"/>
              <w:rPr>
                <w:rFonts w:hint="cs"/>
                <w:szCs w:val="22"/>
              </w:rPr>
            </w:pPr>
            <w:r>
              <w:rPr>
                <w:rFonts w:hint="cs"/>
                <w:szCs w:val="22"/>
                <w:rtl/>
              </w:rPr>
              <w:t>51.4</w:t>
            </w:r>
          </w:p>
        </w:tc>
        <w:tc>
          <w:tcPr>
            <w:tcW w:w="882" w:type="dxa"/>
          </w:tcPr>
          <w:p w:rsidR="00443EC1" w:rsidRDefault="00443EC1">
            <w:pPr>
              <w:spacing w:before="0" w:after="0" w:line="280" w:lineRule="exact"/>
              <w:ind w:left="57" w:right="57"/>
              <w:jc w:val="both"/>
              <w:rPr>
                <w:rFonts w:hint="cs"/>
                <w:szCs w:val="22"/>
              </w:rPr>
            </w:pPr>
            <w:r>
              <w:rPr>
                <w:rFonts w:hint="cs"/>
                <w:szCs w:val="22"/>
                <w:rtl/>
              </w:rPr>
              <w:t>50.8</w:t>
            </w:r>
          </w:p>
        </w:tc>
        <w:tc>
          <w:tcPr>
            <w:tcW w:w="900" w:type="dxa"/>
          </w:tcPr>
          <w:p w:rsidR="00443EC1" w:rsidRDefault="00443EC1">
            <w:pPr>
              <w:spacing w:before="0" w:after="0" w:line="280" w:lineRule="exact"/>
              <w:ind w:left="57" w:right="57"/>
              <w:jc w:val="both"/>
              <w:rPr>
                <w:rFonts w:hint="cs"/>
                <w:szCs w:val="22"/>
              </w:rPr>
            </w:pPr>
            <w:r>
              <w:rPr>
                <w:rFonts w:hint="cs"/>
                <w:szCs w:val="22"/>
                <w:rtl/>
              </w:rPr>
              <w:t>49.4</w:t>
            </w:r>
          </w:p>
        </w:tc>
        <w:tc>
          <w:tcPr>
            <w:tcW w:w="900" w:type="dxa"/>
          </w:tcPr>
          <w:p w:rsidR="00443EC1" w:rsidRDefault="00443EC1">
            <w:pPr>
              <w:spacing w:before="0" w:after="0" w:line="280" w:lineRule="exact"/>
              <w:ind w:left="57" w:right="57"/>
              <w:jc w:val="both"/>
              <w:rPr>
                <w:rFonts w:hint="cs"/>
                <w:szCs w:val="22"/>
              </w:rPr>
            </w:pPr>
            <w:r>
              <w:rPr>
                <w:rFonts w:hint="cs"/>
                <w:szCs w:val="22"/>
                <w:rtl/>
              </w:rPr>
              <w:t>49.2</w:t>
            </w:r>
          </w:p>
        </w:tc>
        <w:tc>
          <w:tcPr>
            <w:tcW w:w="900" w:type="dxa"/>
          </w:tcPr>
          <w:p w:rsidR="00443EC1" w:rsidRDefault="00443EC1">
            <w:pPr>
              <w:spacing w:before="0" w:after="0" w:line="280" w:lineRule="exact"/>
              <w:ind w:left="57" w:right="57"/>
              <w:jc w:val="both"/>
              <w:rPr>
                <w:rFonts w:hint="cs"/>
                <w:szCs w:val="22"/>
              </w:rPr>
            </w:pPr>
            <w:r>
              <w:rPr>
                <w:rFonts w:hint="cs"/>
                <w:szCs w:val="22"/>
                <w:rtl/>
              </w:rPr>
              <w:t>49.0</w:t>
            </w:r>
          </w:p>
        </w:tc>
        <w:tc>
          <w:tcPr>
            <w:tcW w:w="720" w:type="dxa"/>
          </w:tcPr>
          <w:p w:rsidR="00443EC1" w:rsidRDefault="00443EC1">
            <w:pPr>
              <w:spacing w:before="0" w:after="0" w:line="280" w:lineRule="exact"/>
              <w:ind w:left="57" w:right="57"/>
              <w:jc w:val="both"/>
              <w:rPr>
                <w:rFonts w:hint="cs"/>
                <w:szCs w:val="22"/>
              </w:rPr>
            </w:pPr>
            <w:r>
              <w:rPr>
                <w:rFonts w:hint="cs"/>
                <w:szCs w:val="22"/>
                <w:rtl/>
              </w:rPr>
              <w:t>48.9</w:t>
            </w:r>
          </w:p>
        </w:tc>
        <w:tc>
          <w:tcPr>
            <w:tcW w:w="900" w:type="dxa"/>
          </w:tcPr>
          <w:p w:rsidR="00443EC1" w:rsidRDefault="00443EC1">
            <w:pPr>
              <w:spacing w:before="0" w:after="0" w:line="280" w:lineRule="exact"/>
              <w:ind w:left="57" w:right="57"/>
              <w:jc w:val="both"/>
              <w:rPr>
                <w:rFonts w:hint="cs"/>
                <w:szCs w:val="22"/>
              </w:rPr>
            </w:pPr>
            <w:r>
              <w:rPr>
                <w:rFonts w:hint="cs"/>
                <w:szCs w:val="22"/>
                <w:rtl/>
              </w:rPr>
              <w:t>48.8</w:t>
            </w:r>
          </w:p>
        </w:tc>
        <w:tc>
          <w:tcPr>
            <w:tcW w:w="720" w:type="dxa"/>
          </w:tcPr>
          <w:p w:rsidR="00443EC1" w:rsidRDefault="00443EC1">
            <w:pPr>
              <w:spacing w:before="0" w:after="0" w:line="280" w:lineRule="exact"/>
              <w:ind w:left="57" w:right="57"/>
              <w:jc w:val="both"/>
              <w:rPr>
                <w:rFonts w:hint="cs"/>
                <w:szCs w:val="22"/>
              </w:rPr>
            </w:pPr>
            <w:r>
              <w:rPr>
                <w:rFonts w:hint="cs"/>
                <w:szCs w:val="22"/>
                <w:rtl/>
              </w:rPr>
              <w:t>48.6</w:t>
            </w:r>
          </w:p>
        </w:tc>
        <w:tc>
          <w:tcPr>
            <w:tcW w:w="900" w:type="dxa"/>
          </w:tcPr>
          <w:p w:rsidR="00443EC1" w:rsidRDefault="00443EC1">
            <w:pPr>
              <w:spacing w:before="0" w:after="0" w:line="280" w:lineRule="exact"/>
              <w:ind w:left="57" w:right="57"/>
              <w:jc w:val="both"/>
              <w:rPr>
                <w:rFonts w:hint="cs"/>
                <w:spacing w:val="0"/>
                <w:szCs w:val="22"/>
              </w:rPr>
            </w:pPr>
            <w:r>
              <w:rPr>
                <w:rFonts w:hint="cs"/>
                <w:spacing w:val="0"/>
                <w:szCs w:val="22"/>
                <w:rtl/>
              </w:rPr>
              <w:t>48.5**</w:t>
            </w:r>
          </w:p>
        </w:tc>
      </w:tr>
      <w:tr w:rsidR="00443EC1" w:rsidTr="00443EC1">
        <w:tblPrEx>
          <w:tblCellMar>
            <w:top w:w="0" w:type="dxa"/>
            <w:bottom w:w="0" w:type="dxa"/>
          </w:tblCellMar>
        </w:tblPrEx>
        <w:trPr>
          <w:cantSplit/>
          <w:trHeight w:val="330"/>
          <w:jc w:val="center"/>
        </w:trPr>
        <w:tc>
          <w:tcPr>
            <w:tcW w:w="1050" w:type="dxa"/>
            <w:vMerge/>
          </w:tcPr>
          <w:p w:rsidR="00443EC1" w:rsidRDefault="00443EC1">
            <w:pPr>
              <w:spacing w:before="0" w:after="0" w:line="280" w:lineRule="exact"/>
              <w:jc w:val="both"/>
              <w:rPr>
                <w:rFonts w:hint="cs"/>
                <w:szCs w:val="22"/>
              </w:rPr>
            </w:pPr>
          </w:p>
        </w:tc>
        <w:tc>
          <w:tcPr>
            <w:tcW w:w="588" w:type="dxa"/>
          </w:tcPr>
          <w:p w:rsidR="00443EC1" w:rsidRDefault="00443EC1">
            <w:pPr>
              <w:spacing w:before="0" w:after="0" w:line="280" w:lineRule="exact"/>
              <w:jc w:val="both"/>
              <w:rPr>
                <w:rFonts w:hint="cs"/>
                <w:szCs w:val="22"/>
              </w:rPr>
            </w:pPr>
            <w:r>
              <w:rPr>
                <w:rFonts w:hint="cs"/>
                <w:szCs w:val="22"/>
                <w:rtl/>
              </w:rPr>
              <w:t>إناث</w:t>
            </w:r>
          </w:p>
        </w:tc>
        <w:tc>
          <w:tcPr>
            <w:tcW w:w="720" w:type="dxa"/>
          </w:tcPr>
          <w:p w:rsidR="00443EC1" w:rsidRDefault="00443EC1">
            <w:pPr>
              <w:spacing w:before="0" w:after="0" w:line="280" w:lineRule="exact"/>
              <w:ind w:left="57" w:right="57"/>
              <w:jc w:val="both"/>
              <w:rPr>
                <w:rFonts w:hint="cs"/>
                <w:szCs w:val="22"/>
              </w:rPr>
            </w:pPr>
            <w:r>
              <w:rPr>
                <w:rFonts w:hint="cs"/>
                <w:szCs w:val="22"/>
                <w:rtl/>
              </w:rPr>
              <w:t>48.6</w:t>
            </w:r>
          </w:p>
        </w:tc>
        <w:tc>
          <w:tcPr>
            <w:tcW w:w="882" w:type="dxa"/>
          </w:tcPr>
          <w:p w:rsidR="00443EC1" w:rsidRDefault="00443EC1">
            <w:pPr>
              <w:spacing w:before="0" w:after="0" w:line="280" w:lineRule="exact"/>
              <w:ind w:left="57" w:right="57"/>
              <w:jc w:val="both"/>
              <w:rPr>
                <w:rFonts w:hint="cs"/>
                <w:szCs w:val="22"/>
              </w:rPr>
            </w:pPr>
            <w:r>
              <w:rPr>
                <w:rFonts w:hint="cs"/>
                <w:szCs w:val="22"/>
                <w:rtl/>
              </w:rPr>
              <w:t>49.2</w:t>
            </w:r>
          </w:p>
        </w:tc>
        <w:tc>
          <w:tcPr>
            <w:tcW w:w="900" w:type="dxa"/>
          </w:tcPr>
          <w:p w:rsidR="00443EC1" w:rsidRDefault="00443EC1">
            <w:pPr>
              <w:spacing w:before="0" w:after="0" w:line="280" w:lineRule="exact"/>
              <w:ind w:left="57" w:right="57"/>
              <w:jc w:val="both"/>
              <w:rPr>
                <w:rFonts w:hint="cs"/>
                <w:szCs w:val="22"/>
              </w:rPr>
            </w:pPr>
            <w:r>
              <w:rPr>
                <w:rFonts w:hint="cs"/>
                <w:szCs w:val="22"/>
                <w:rtl/>
              </w:rPr>
              <w:t>50.6</w:t>
            </w:r>
          </w:p>
        </w:tc>
        <w:tc>
          <w:tcPr>
            <w:tcW w:w="900" w:type="dxa"/>
          </w:tcPr>
          <w:p w:rsidR="00443EC1" w:rsidRDefault="00443EC1">
            <w:pPr>
              <w:spacing w:before="0" w:after="0" w:line="280" w:lineRule="exact"/>
              <w:ind w:left="57" w:right="57"/>
              <w:jc w:val="both"/>
              <w:rPr>
                <w:rFonts w:hint="cs"/>
                <w:szCs w:val="22"/>
              </w:rPr>
            </w:pPr>
            <w:r>
              <w:rPr>
                <w:rFonts w:hint="cs"/>
                <w:szCs w:val="22"/>
                <w:rtl/>
              </w:rPr>
              <w:t>50.8</w:t>
            </w:r>
          </w:p>
        </w:tc>
        <w:tc>
          <w:tcPr>
            <w:tcW w:w="900" w:type="dxa"/>
          </w:tcPr>
          <w:p w:rsidR="00443EC1" w:rsidRDefault="00443EC1">
            <w:pPr>
              <w:spacing w:before="0" w:after="0" w:line="280" w:lineRule="exact"/>
              <w:ind w:left="57" w:right="57"/>
              <w:jc w:val="both"/>
              <w:rPr>
                <w:rFonts w:hint="cs"/>
                <w:szCs w:val="22"/>
              </w:rPr>
            </w:pPr>
            <w:r>
              <w:rPr>
                <w:rFonts w:hint="cs"/>
                <w:szCs w:val="22"/>
                <w:rtl/>
              </w:rPr>
              <w:t>51.0</w:t>
            </w:r>
          </w:p>
        </w:tc>
        <w:tc>
          <w:tcPr>
            <w:tcW w:w="720" w:type="dxa"/>
          </w:tcPr>
          <w:p w:rsidR="00443EC1" w:rsidRDefault="00443EC1">
            <w:pPr>
              <w:spacing w:before="0" w:after="0" w:line="280" w:lineRule="exact"/>
              <w:ind w:left="57" w:right="57"/>
              <w:jc w:val="both"/>
              <w:rPr>
                <w:rFonts w:hint="cs"/>
                <w:szCs w:val="22"/>
              </w:rPr>
            </w:pPr>
            <w:r>
              <w:rPr>
                <w:rFonts w:hint="cs"/>
                <w:szCs w:val="22"/>
                <w:rtl/>
              </w:rPr>
              <w:t>51.1</w:t>
            </w:r>
          </w:p>
        </w:tc>
        <w:tc>
          <w:tcPr>
            <w:tcW w:w="900" w:type="dxa"/>
          </w:tcPr>
          <w:p w:rsidR="00443EC1" w:rsidRDefault="00443EC1">
            <w:pPr>
              <w:spacing w:before="0" w:after="0" w:line="280" w:lineRule="exact"/>
              <w:ind w:left="57" w:right="57"/>
              <w:jc w:val="both"/>
              <w:rPr>
                <w:rFonts w:hint="cs"/>
                <w:szCs w:val="22"/>
              </w:rPr>
            </w:pPr>
            <w:r>
              <w:rPr>
                <w:rFonts w:hint="cs"/>
                <w:szCs w:val="22"/>
                <w:rtl/>
              </w:rPr>
              <w:t>51.2</w:t>
            </w:r>
          </w:p>
        </w:tc>
        <w:tc>
          <w:tcPr>
            <w:tcW w:w="720" w:type="dxa"/>
          </w:tcPr>
          <w:p w:rsidR="00443EC1" w:rsidRDefault="00443EC1">
            <w:pPr>
              <w:spacing w:before="0" w:after="0" w:line="280" w:lineRule="exact"/>
              <w:ind w:left="57" w:right="57"/>
              <w:jc w:val="both"/>
              <w:rPr>
                <w:rFonts w:hint="cs"/>
                <w:szCs w:val="22"/>
              </w:rPr>
            </w:pPr>
            <w:r>
              <w:rPr>
                <w:rFonts w:hint="cs"/>
                <w:szCs w:val="22"/>
                <w:rtl/>
              </w:rPr>
              <w:t>51.4</w:t>
            </w:r>
          </w:p>
        </w:tc>
        <w:tc>
          <w:tcPr>
            <w:tcW w:w="900" w:type="dxa"/>
          </w:tcPr>
          <w:p w:rsidR="00443EC1" w:rsidRDefault="00443EC1">
            <w:pPr>
              <w:spacing w:before="0" w:after="0" w:line="280" w:lineRule="exact"/>
              <w:ind w:left="57" w:right="57"/>
              <w:jc w:val="both"/>
              <w:rPr>
                <w:rFonts w:hint="cs"/>
                <w:szCs w:val="22"/>
              </w:rPr>
            </w:pPr>
            <w:r>
              <w:rPr>
                <w:rFonts w:hint="cs"/>
                <w:szCs w:val="22"/>
                <w:rtl/>
              </w:rPr>
              <w:t>51.5</w:t>
            </w:r>
          </w:p>
        </w:tc>
      </w:tr>
    </w:tbl>
    <w:p w:rsidR="00000000" w:rsidRDefault="00443EC1">
      <w:pPr>
        <w:spacing w:before="0" w:after="0"/>
        <w:jc w:val="both"/>
        <w:rPr>
          <w:rFonts w:hint="cs"/>
          <w:b/>
          <w:szCs w:val="24"/>
          <w:rtl/>
        </w:rPr>
      </w:pPr>
      <w:r>
        <w:rPr>
          <w:rFonts w:hint="cs"/>
          <w:b/>
          <w:szCs w:val="24"/>
          <w:rtl/>
        </w:rPr>
        <w:tab/>
        <w:t>*</w:t>
      </w:r>
      <w:r>
        <w:rPr>
          <w:rFonts w:hint="cs"/>
          <w:b/>
          <w:szCs w:val="24"/>
          <w:rtl/>
        </w:rPr>
        <w:tab/>
        <w:t>أرقام أولية.</w:t>
      </w:r>
    </w:p>
    <w:p w:rsidR="00000000" w:rsidRDefault="00443EC1">
      <w:pPr>
        <w:spacing w:before="0" w:after="0"/>
        <w:jc w:val="both"/>
        <w:rPr>
          <w:b/>
          <w:sz w:val="24"/>
          <w:szCs w:val="24"/>
          <w:rtl/>
        </w:rPr>
      </w:pPr>
      <w:r>
        <w:rPr>
          <w:rFonts w:hint="cs"/>
          <w:b/>
          <w:sz w:val="24"/>
          <w:szCs w:val="24"/>
          <w:rtl/>
        </w:rPr>
        <w:tab/>
        <w:t>**</w:t>
      </w:r>
      <w:r>
        <w:rPr>
          <w:rFonts w:hint="cs"/>
          <w:b/>
          <w:sz w:val="24"/>
          <w:szCs w:val="24"/>
          <w:rtl/>
        </w:rPr>
        <w:tab/>
        <w:t>أصبح حساب تقديرات عدد السكان يرتكز اعتباراً من آب/أغسطس 2000 على أساس "عدد السكان المقيمين". وكان يعتمد في السابق على النهج "الواقعي ال</w:t>
      </w:r>
      <w:r>
        <w:rPr>
          <w:rFonts w:hint="cs"/>
          <w:b/>
          <w:sz w:val="24"/>
          <w:szCs w:val="24"/>
          <w:rtl/>
        </w:rPr>
        <w:t>شامل" الذي يحسب بموجبه عدد جميع المقيمين الدائمين وغير الدائمين والزائرين الموجودين في هونغ كونغ في فترةٍ زمنية مرجعية. وقد أعدنا على هذا الأساس النظر في الإحصائيات السكانية وفي إحصائيات أخرى متصلة بها كانت قد أعدت لعام 1996 وما بعده.</w:t>
      </w:r>
    </w:p>
    <w:p w:rsidR="00000000" w:rsidRDefault="00443EC1">
      <w:pPr>
        <w:spacing w:before="0" w:after="0"/>
        <w:jc w:val="both"/>
        <w:rPr>
          <w:rStyle w:val="FootnoteReference"/>
          <w:b/>
          <w:bCs w:val="0"/>
          <w:vertAlign w:val="baseline"/>
          <w:rtl/>
        </w:rPr>
      </w:pPr>
      <w:r>
        <w:rPr>
          <w:b/>
          <w:sz w:val="24"/>
          <w:szCs w:val="24"/>
          <w:rtl/>
        </w:rPr>
        <w:br w:type="page"/>
      </w:r>
      <w:r>
        <w:rPr>
          <w:rFonts w:hint="cs"/>
          <w:b/>
          <w:bCs/>
          <w:rtl/>
        </w:rPr>
        <w:t>المستوى التعليمي (لد</w:t>
      </w:r>
      <w:r>
        <w:rPr>
          <w:rFonts w:hint="cs"/>
          <w:b/>
          <w:bCs/>
          <w:rtl/>
        </w:rPr>
        <w:t>ى السكان في الخامسة عشرة وما فوق)*</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0"/>
        <w:gridCol w:w="825"/>
        <w:gridCol w:w="812"/>
        <w:gridCol w:w="825"/>
        <w:gridCol w:w="812"/>
        <w:gridCol w:w="825"/>
        <w:gridCol w:w="812"/>
        <w:gridCol w:w="826"/>
        <w:gridCol w:w="813"/>
        <w:gridCol w:w="826"/>
        <w:gridCol w:w="814"/>
      </w:tblGrid>
      <w:tr w:rsidR="00443EC1" w:rsidTr="00443EC1">
        <w:tblPrEx>
          <w:tblCellMar>
            <w:top w:w="0" w:type="dxa"/>
            <w:bottom w:w="0" w:type="dxa"/>
          </w:tblCellMar>
        </w:tblPrEx>
        <w:trPr>
          <w:cantSplit/>
          <w:trHeight w:val="414"/>
          <w:jc w:val="center"/>
        </w:trPr>
        <w:tc>
          <w:tcPr>
            <w:tcW w:w="1380" w:type="dxa"/>
            <w:vMerge w:val="restart"/>
          </w:tcPr>
          <w:p w:rsidR="00443EC1" w:rsidRDefault="00443EC1">
            <w:pPr>
              <w:spacing w:before="0" w:after="0" w:line="280" w:lineRule="exact"/>
              <w:jc w:val="both"/>
              <w:rPr>
                <w:rStyle w:val="FootnoteReference"/>
                <w:b/>
                <w:sz w:val="24"/>
                <w:szCs w:val="24"/>
              </w:rPr>
            </w:pPr>
            <w:r>
              <w:rPr>
                <w:rFonts w:hint="cs"/>
                <w:b/>
                <w:sz w:val="24"/>
                <w:szCs w:val="24"/>
                <w:rtl/>
              </w:rPr>
              <w:t>المستوى التعليمي</w:t>
            </w:r>
          </w:p>
        </w:tc>
        <w:tc>
          <w:tcPr>
            <w:tcW w:w="8190" w:type="dxa"/>
            <w:gridSpan w:val="10"/>
          </w:tcPr>
          <w:p w:rsidR="00443EC1" w:rsidRDefault="00443EC1">
            <w:pPr>
              <w:spacing w:before="0" w:after="0" w:line="280" w:lineRule="exact"/>
              <w:jc w:val="center"/>
              <w:rPr>
                <w:rStyle w:val="FootnoteReference"/>
                <w:rFonts w:hint="cs"/>
                <w:b/>
                <w:sz w:val="24"/>
                <w:szCs w:val="24"/>
              </w:rPr>
            </w:pPr>
            <w:r>
              <w:rPr>
                <w:rFonts w:hint="cs"/>
                <w:b/>
                <w:sz w:val="24"/>
                <w:szCs w:val="24"/>
                <w:rtl/>
              </w:rPr>
              <w:t>النسبة المئوية</w:t>
            </w:r>
          </w:p>
        </w:tc>
      </w:tr>
      <w:tr w:rsidR="00443EC1" w:rsidTr="00443EC1">
        <w:tblPrEx>
          <w:tblCellMar>
            <w:top w:w="0" w:type="dxa"/>
            <w:bottom w:w="0" w:type="dxa"/>
          </w:tblCellMar>
        </w:tblPrEx>
        <w:trPr>
          <w:cantSplit/>
          <w:trHeight w:val="308"/>
          <w:jc w:val="center"/>
        </w:trPr>
        <w:tc>
          <w:tcPr>
            <w:tcW w:w="1380" w:type="dxa"/>
            <w:vMerge/>
          </w:tcPr>
          <w:p w:rsidR="00443EC1" w:rsidRDefault="00443EC1">
            <w:pPr>
              <w:spacing w:before="0" w:after="0" w:line="280" w:lineRule="exact"/>
              <w:jc w:val="both"/>
              <w:rPr>
                <w:b/>
                <w:sz w:val="24"/>
                <w:szCs w:val="24"/>
              </w:rPr>
            </w:pPr>
          </w:p>
        </w:tc>
        <w:tc>
          <w:tcPr>
            <w:tcW w:w="1637" w:type="dxa"/>
            <w:gridSpan w:val="2"/>
          </w:tcPr>
          <w:p w:rsidR="00443EC1" w:rsidRDefault="00443EC1">
            <w:pPr>
              <w:spacing w:before="0" w:after="0" w:line="280" w:lineRule="exact"/>
              <w:jc w:val="center"/>
              <w:rPr>
                <w:rStyle w:val="FootnoteReference"/>
                <w:rFonts w:hint="cs"/>
                <w:b/>
                <w:sz w:val="24"/>
                <w:szCs w:val="24"/>
              </w:rPr>
            </w:pPr>
            <w:r>
              <w:rPr>
                <w:rFonts w:hint="cs"/>
                <w:b/>
                <w:sz w:val="24"/>
                <w:szCs w:val="24"/>
                <w:rtl/>
              </w:rPr>
              <w:t>1986</w:t>
            </w:r>
          </w:p>
        </w:tc>
        <w:tc>
          <w:tcPr>
            <w:tcW w:w="1637" w:type="dxa"/>
            <w:gridSpan w:val="2"/>
          </w:tcPr>
          <w:p w:rsidR="00443EC1" w:rsidRDefault="00443EC1">
            <w:pPr>
              <w:spacing w:before="0" w:after="0" w:line="280" w:lineRule="exact"/>
              <w:jc w:val="center"/>
              <w:rPr>
                <w:rStyle w:val="FootnoteReference"/>
                <w:rFonts w:hint="cs"/>
                <w:b/>
                <w:sz w:val="24"/>
                <w:szCs w:val="24"/>
              </w:rPr>
            </w:pPr>
            <w:r>
              <w:rPr>
                <w:rFonts w:hint="cs"/>
                <w:b/>
                <w:sz w:val="24"/>
                <w:szCs w:val="24"/>
                <w:rtl/>
              </w:rPr>
              <w:t>1991</w:t>
            </w:r>
          </w:p>
        </w:tc>
        <w:tc>
          <w:tcPr>
            <w:tcW w:w="1637" w:type="dxa"/>
            <w:gridSpan w:val="2"/>
          </w:tcPr>
          <w:p w:rsidR="00443EC1" w:rsidRDefault="00443EC1">
            <w:pPr>
              <w:spacing w:before="0" w:after="0" w:line="280" w:lineRule="exact"/>
              <w:jc w:val="center"/>
              <w:rPr>
                <w:rStyle w:val="FootnoteReference"/>
                <w:rFonts w:hint="cs"/>
                <w:b/>
                <w:sz w:val="24"/>
                <w:szCs w:val="24"/>
              </w:rPr>
            </w:pPr>
            <w:r>
              <w:rPr>
                <w:rFonts w:hint="cs"/>
                <w:b/>
                <w:sz w:val="24"/>
                <w:szCs w:val="24"/>
                <w:rtl/>
              </w:rPr>
              <w:t>1996</w:t>
            </w:r>
          </w:p>
        </w:tc>
        <w:tc>
          <w:tcPr>
            <w:tcW w:w="1639" w:type="dxa"/>
            <w:gridSpan w:val="2"/>
          </w:tcPr>
          <w:p w:rsidR="00443EC1" w:rsidRDefault="00443EC1">
            <w:pPr>
              <w:spacing w:before="0" w:after="0" w:line="280" w:lineRule="exact"/>
              <w:jc w:val="center"/>
              <w:rPr>
                <w:rStyle w:val="FootnoteReference"/>
                <w:rFonts w:hint="cs"/>
                <w:b/>
                <w:sz w:val="24"/>
                <w:szCs w:val="24"/>
              </w:rPr>
            </w:pPr>
            <w:r>
              <w:rPr>
                <w:rFonts w:hint="cs"/>
                <w:b/>
                <w:sz w:val="24"/>
                <w:szCs w:val="24"/>
                <w:rtl/>
              </w:rPr>
              <w:t>2001</w:t>
            </w:r>
          </w:p>
        </w:tc>
        <w:tc>
          <w:tcPr>
            <w:tcW w:w="1640" w:type="dxa"/>
            <w:gridSpan w:val="2"/>
          </w:tcPr>
          <w:p w:rsidR="00443EC1" w:rsidRDefault="00443EC1">
            <w:pPr>
              <w:spacing w:before="0" w:after="0" w:line="280" w:lineRule="exact"/>
              <w:jc w:val="center"/>
              <w:rPr>
                <w:rStyle w:val="FootnoteReference"/>
                <w:rFonts w:hint="cs"/>
                <w:b/>
                <w:sz w:val="24"/>
                <w:szCs w:val="24"/>
              </w:rPr>
            </w:pPr>
            <w:r>
              <w:rPr>
                <w:rFonts w:hint="cs"/>
                <w:b/>
                <w:sz w:val="24"/>
                <w:szCs w:val="24"/>
                <w:rtl/>
              </w:rPr>
              <w:t>2002</w:t>
            </w:r>
          </w:p>
        </w:tc>
      </w:tr>
      <w:tr w:rsidR="00443EC1" w:rsidTr="00443EC1">
        <w:tblPrEx>
          <w:tblCellMar>
            <w:top w:w="0" w:type="dxa"/>
            <w:bottom w:w="0" w:type="dxa"/>
          </w:tblCellMar>
        </w:tblPrEx>
        <w:trPr>
          <w:cantSplit/>
          <w:trHeight w:val="366"/>
          <w:jc w:val="center"/>
        </w:trPr>
        <w:tc>
          <w:tcPr>
            <w:tcW w:w="1380" w:type="dxa"/>
            <w:vMerge/>
            <w:tcBorders>
              <w:bottom w:val="single" w:sz="4" w:space="0" w:color="auto"/>
            </w:tcBorders>
          </w:tcPr>
          <w:p w:rsidR="00443EC1" w:rsidRDefault="00443EC1">
            <w:pPr>
              <w:spacing w:before="0" w:after="0" w:line="280" w:lineRule="exact"/>
              <w:jc w:val="both"/>
              <w:rPr>
                <w:rFonts w:hint="cs"/>
                <w:b/>
                <w:sz w:val="24"/>
                <w:szCs w:val="24"/>
                <w:rtl/>
              </w:rPr>
            </w:pPr>
          </w:p>
        </w:tc>
        <w:tc>
          <w:tcPr>
            <w:tcW w:w="825" w:type="dxa"/>
            <w:tcBorders>
              <w:bottom w:val="single" w:sz="4" w:space="0" w:color="auto"/>
            </w:tcBorders>
          </w:tcPr>
          <w:p w:rsidR="00443EC1" w:rsidRDefault="00443EC1">
            <w:pPr>
              <w:spacing w:before="0" w:after="0" w:line="280" w:lineRule="exact"/>
              <w:jc w:val="center"/>
              <w:rPr>
                <w:rStyle w:val="FootnoteReference"/>
                <w:rFonts w:hint="cs"/>
                <w:b/>
                <w:bCs w:val="0"/>
                <w:sz w:val="24"/>
                <w:szCs w:val="24"/>
                <w:vertAlign w:val="baseline"/>
              </w:rPr>
            </w:pPr>
            <w:r>
              <w:rPr>
                <w:rFonts w:hint="cs"/>
                <w:b/>
                <w:sz w:val="24"/>
                <w:szCs w:val="24"/>
                <w:rtl/>
              </w:rPr>
              <w:t>ذكور</w:t>
            </w:r>
          </w:p>
        </w:tc>
        <w:tc>
          <w:tcPr>
            <w:tcW w:w="812" w:type="dxa"/>
            <w:tcBorders>
              <w:bottom w:val="single" w:sz="4" w:space="0" w:color="auto"/>
            </w:tcBorders>
          </w:tcPr>
          <w:p w:rsidR="00443EC1" w:rsidRDefault="00443EC1">
            <w:pPr>
              <w:spacing w:before="0" w:after="0" w:line="280" w:lineRule="exact"/>
              <w:jc w:val="center"/>
              <w:rPr>
                <w:rStyle w:val="FootnoteReference"/>
                <w:rFonts w:hint="cs"/>
                <w:b/>
                <w:bCs w:val="0"/>
                <w:sz w:val="24"/>
                <w:szCs w:val="24"/>
                <w:vertAlign w:val="baseline"/>
              </w:rPr>
            </w:pPr>
            <w:r>
              <w:rPr>
                <w:rFonts w:hint="cs"/>
                <w:b/>
                <w:sz w:val="24"/>
                <w:szCs w:val="24"/>
                <w:rtl/>
              </w:rPr>
              <w:t>إناث</w:t>
            </w:r>
          </w:p>
        </w:tc>
        <w:tc>
          <w:tcPr>
            <w:tcW w:w="825" w:type="dxa"/>
            <w:tcBorders>
              <w:bottom w:val="single" w:sz="4" w:space="0" w:color="auto"/>
            </w:tcBorders>
          </w:tcPr>
          <w:p w:rsidR="00443EC1" w:rsidRDefault="00443EC1">
            <w:pPr>
              <w:spacing w:before="0" w:after="0" w:line="280" w:lineRule="exact"/>
              <w:jc w:val="center"/>
              <w:rPr>
                <w:rStyle w:val="FootnoteReference"/>
                <w:rFonts w:hint="cs"/>
                <w:b/>
                <w:bCs w:val="0"/>
                <w:sz w:val="24"/>
                <w:szCs w:val="24"/>
                <w:vertAlign w:val="baseline"/>
              </w:rPr>
            </w:pPr>
            <w:r>
              <w:rPr>
                <w:rFonts w:hint="cs"/>
                <w:b/>
                <w:sz w:val="24"/>
                <w:szCs w:val="24"/>
                <w:rtl/>
              </w:rPr>
              <w:t>ذكور</w:t>
            </w:r>
          </w:p>
        </w:tc>
        <w:tc>
          <w:tcPr>
            <w:tcW w:w="812" w:type="dxa"/>
            <w:tcBorders>
              <w:bottom w:val="single" w:sz="4" w:space="0" w:color="auto"/>
            </w:tcBorders>
          </w:tcPr>
          <w:p w:rsidR="00443EC1" w:rsidRDefault="00443EC1">
            <w:pPr>
              <w:spacing w:before="0" w:after="0" w:line="280" w:lineRule="exact"/>
              <w:jc w:val="center"/>
              <w:rPr>
                <w:rStyle w:val="FootnoteReference"/>
                <w:rFonts w:hint="cs"/>
                <w:b/>
                <w:bCs w:val="0"/>
                <w:sz w:val="24"/>
                <w:szCs w:val="24"/>
                <w:vertAlign w:val="baseline"/>
              </w:rPr>
            </w:pPr>
            <w:r>
              <w:rPr>
                <w:rFonts w:hint="cs"/>
                <w:b/>
                <w:sz w:val="24"/>
                <w:szCs w:val="24"/>
                <w:rtl/>
              </w:rPr>
              <w:t>إناث</w:t>
            </w:r>
          </w:p>
        </w:tc>
        <w:tc>
          <w:tcPr>
            <w:tcW w:w="825" w:type="dxa"/>
            <w:tcBorders>
              <w:bottom w:val="single" w:sz="4" w:space="0" w:color="auto"/>
            </w:tcBorders>
          </w:tcPr>
          <w:p w:rsidR="00443EC1" w:rsidRDefault="00443EC1">
            <w:pPr>
              <w:spacing w:before="0" w:after="0" w:line="280" w:lineRule="exact"/>
              <w:jc w:val="center"/>
              <w:rPr>
                <w:rStyle w:val="FootnoteReference"/>
                <w:rFonts w:hint="cs"/>
                <w:b/>
                <w:bCs w:val="0"/>
                <w:sz w:val="24"/>
                <w:szCs w:val="24"/>
                <w:vertAlign w:val="baseline"/>
              </w:rPr>
            </w:pPr>
            <w:r>
              <w:rPr>
                <w:rFonts w:hint="cs"/>
                <w:b/>
                <w:sz w:val="24"/>
                <w:szCs w:val="24"/>
                <w:rtl/>
              </w:rPr>
              <w:t>ذكور</w:t>
            </w:r>
          </w:p>
        </w:tc>
        <w:tc>
          <w:tcPr>
            <w:tcW w:w="812" w:type="dxa"/>
            <w:tcBorders>
              <w:bottom w:val="single" w:sz="4" w:space="0" w:color="auto"/>
            </w:tcBorders>
          </w:tcPr>
          <w:p w:rsidR="00443EC1" w:rsidRDefault="00443EC1">
            <w:pPr>
              <w:spacing w:before="0" w:after="0" w:line="280" w:lineRule="exact"/>
              <w:jc w:val="center"/>
              <w:rPr>
                <w:rStyle w:val="FootnoteReference"/>
                <w:rFonts w:hint="cs"/>
                <w:b/>
                <w:bCs w:val="0"/>
                <w:sz w:val="24"/>
                <w:szCs w:val="24"/>
                <w:vertAlign w:val="baseline"/>
              </w:rPr>
            </w:pPr>
            <w:r>
              <w:rPr>
                <w:rFonts w:hint="cs"/>
                <w:b/>
                <w:sz w:val="24"/>
                <w:szCs w:val="24"/>
                <w:rtl/>
              </w:rPr>
              <w:t>إناث</w:t>
            </w:r>
          </w:p>
        </w:tc>
        <w:tc>
          <w:tcPr>
            <w:tcW w:w="826" w:type="dxa"/>
            <w:tcBorders>
              <w:bottom w:val="single" w:sz="4" w:space="0" w:color="auto"/>
            </w:tcBorders>
          </w:tcPr>
          <w:p w:rsidR="00443EC1" w:rsidRDefault="00443EC1">
            <w:pPr>
              <w:spacing w:before="0" w:after="0" w:line="280" w:lineRule="exact"/>
              <w:jc w:val="center"/>
              <w:rPr>
                <w:rStyle w:val="FootnoteReference"/>
                <w:rFonts w:hint="cs"/>
                <w:b/>
                <w:bCs w:val="0"/>
                <w:sz w:val="24"/>
                <w:szCs w:val="24"/>
                <w:vertAlign w:val="baseline"/>
              </w:rPr>
            </w:pPr>
            <w:r>
              <w:rPr>
                <w:rFonts w:hint="cs"/>
                <w:b/>
                <w:sz w:val="24"/>
                <w:szCs w:val="24"/>
                <w:rtl/>
              </w:rPr>
              <w:t>ذكور</w:t>
            </w:r>
          </w:p>
        </w:tc>
        <w:tc>
          <w:tcPr>
            <w:tcW w:w="813" w:type="dxa"/>
            <w:tcBorders>
              <w:bottom w:val="single" w:sz="4" w:space="0" w:color="auto"/>
            </w:tcBorders>
          </w:tcPr>
          <w:p w:rsidR="00443EC1" w:rsidRDefault="00443EC1">
            <w:pPr>
              <w:spacing w:before="0" w:after="0" w:line="280" w:lineRule="exact"/>
              <w:jc w:val="center"/>
              <w:rPr>
                <w:rStyle w:val="FootnoteReference"/>
                <w:rFonts w:hint="cs"/>
                <w:b/>
                <w:bCs w:val="0"/>
                <w:sz w:val="24"/>
                <w:szCs w:val="24"/>
                <w:vertAlign w:val="baseline"/>
              </w:rPr>
            </w:pPr>
            <w:r>
              <w:rPr>
                <w:rFonts w:hint="cs"/>
                <w:b/>
                <w:sz w:val="24"/>
                <w:szCs w:val="24"/>
                <w:rtl/>
              </w:rPr>
              <w:t>إناث</w:t>
            </w:r>
          </w:p>
        </w:tc>
        <w:tc>
          <w:tcPr>
            <w:tcW w:w="826" w:type="dxa"/>
            <w:tcBorders>
              <w:bottom w:val="single" w:sz="4" w:space="0" w:color="auto"/>
            </w:tcBorders>
          </w:tcPr>
          <w:p w:rsidR="00443EC1" w:rsidRDefault="00443EC1">
            <w:pPr>
              <w:spacing w:before="0" w:after="0" w:line="280" w:lineRule="exact"/>
              <w:jc w:val="center"/>
              <w:rPr>
                <w:rStyle w:val="FootnoteReference"/>
                <w:rFonts w:hint="cs"/>
                <w:b/>
                <w:bCs w:val="0"/>
                <w:sz w:val="24"/>
                <w:szCs w:val="24"/>
                <w:vertAlign w:val="baseline"/>
              </w:rPr>
            </w:pPr>
            <w:r>
              <w:rPr>
                <w:rFonts w:hint="cs"/>
                <w:b/>
                <w:sz w:val="24"/>
                <w:szCs w:val="24"/>
                <w:rtl/>
              </w:rPr>
              <w:t>ذكور</w:t>
            </w:r>
          </w:p>
        </w:tc>
        <w:tc>
          <w:tcPr>
            <w:tcW w:w="814" w:type="dxa"/>
            <w:tcBorders>
              <w:bottom w:val="single" w:sz="4" w:space="0" w:color="auto"/>
            </w:tcBorders>
          </w:tcPr>
          <w:p w:rsidR="00443EC1" w:rsidRDefault="00443EC1">
            <w:pPr>
              <w:spacing w:before="0" w:after="0" w:line="280" w:lineRule="exact"/>
              <w:jc w:val="center"/>
              <w:rPr>
                <w:rStyle w:val="FootnoteReference"/>
                <w:rFonts w:hint="cs"/>
                <w:b/>
                <w:bCs w:val="0"/>
                <w:sz w:val="24"/>
                <w:szCs w:val="24"/>
                <w:vertAlign w:val="baseline"/>
              </w:rPr>
            </w:pPr>
            <w:r>
              <w:rPr>
                <w:rFonts w:hint="cs"/>
                <w:b/>
                <w:sz w:val="24"/>
                <w:szCs w:val="24"/>
                <w:rtl/>
              </w:rPr>
              <w:t>إناث</w:t>
            </w:r>
          </w:p>
        </w:tc>
      </w:tr>
      <w:tr w:rsidR="00443EC1" w:rsidTr="00443EC1">
        <w:tblPrEx>
          <w:tblCellMar>
            <w:top w:w="0" w:type="dxa"/>
            <w:bottom w:w="0" w:type="dxa"/>
          </w:tblCellMar>
        </w:tblPrEx>
        <w:trPr>
          <w:jc w:val="center"/>
        </w:trPr>
        <w:tc>
          <w:tcPr>
            <w:tcW w:w="1380" w:type="dxa"/>
            <w:tcBorders>
              <w:bottom w:val="nil"/>
            </w:tcBorders>
          </w:tcPr>
          <w:p w:rsidR="00443EC1" w:rsidRDefault="00443EC1">
            <w:pPr>
              <w:spacing w:before="0" w:after="0" w:line="280" w:lineRule="exact"/>
              <w:jc w:val="both"/>
              <w:rPr>
                <w:rFonts w:hint="cs"/>
                <w:b/>
                <w:sz w:val="24"/>
                <w:szCs w:val="24"/>
                <w:rtl/>
              </w:rPr>
            </w:pPr>
            <w:r>
              <w:rPr>
                <w:rFonts w:hint="cs"/>
                <w:b/>
                <w:sz w:val="24"/>
                <w:szCs w:val="24"/>
                <w:rtl/>
              </w:rPr>
              <w:t>لا تعليم/روضة أطفال</w:t>
            </w:r>
          </w:p>
        </w:tc>
        <w:tc>
          <w:tcPr>
            <w:tcW w:w="825" w:type="dxa"/>
            <w:tcBorders>
              <w:bottom w:val="nil"/>
            </w:tcBorders>
          </w:tcPr>
          <w:p w:rsidR="00443EC1" w:rsidRDefault="00443EC1">
            <w:pPr>
              <w:spacing w:before="0" w:after="0" w:line="280" w:lineRule="exact"/>
              <w:jc w:val="both"/>
              <w:rPr>
                <w:rFonts w:hint="cs"/>
                <w:b/>
                <w:sz w:val="24"/>
                <w:szCs w:val="24"/>
                <w:rtl/>
              </w:rPr>
            </w:pPr>
            <w:r>
              <w:rPr>
                <w:rFonts w:hint="cs"/>
                <w:b/>
                <w:sz w:val="24"/>
                <w:szCs w:val="24"/>
                <w:rtl/>
              </w:rPr>
              <w:t>7.0</w:t>
            </w:r>
          </w:p>
        </w:tc>
        <w:tc>
          <w:tcPr>
            <w:tcW w:w="812" w:type="dxa"/>
            <w:tcBorders>
              <w:bottom w:val="nil"/>
            </w:tcBorders>
          </w:tcPr>
          <w:p w:rsidR="00443EC1" w:rsidRDefault="00443EC1">
            <w:pPr>
              <w:spacing w:before="0" w:after="0" w:line="280" w:lineRule="exact"/>
              <w:jc w:val="both"/>
              <w:rPr>
                <w:rFonts w:hint="cs"/>
                <w:b/>
                <w:sz w:val="24"/>
                <w:szCs w:val="24"/>
                <w:rtl/>
              </w:rPr>
            </w:pPr>
            <w:r>
              <w:rPr>
                <w:rFonts w:hint="cs"/>
                <w:b/>
                <w:sz w:val="24"/>
                <w:szCs w:val="24"/>
                <w:rtl/>
              </w:rPr>
              <w:t>21.6</w:t>
            </w:r>
          </w:p>
        </w:tc>
        <w:tc>
          <w:tcPr>
            <w:tcW w:w="825" w:type="dxa"/>
            <w:tcBorders>
              <w:bottom w:val="nil"/>
            </w:tcBorders>
          </w:tcPr>
          <w:p w:rsidR="00443EC1" w:rsidRDefault="00443EC1">
            <w:pPr>
              <w:spacing w:before="0" w:after="0" w:line="280" w:lineRule="exact"/>
              <w:jc w:val="both"/>
              <w:rPr>
                <w:rFonts w:hint="cs"/>
                <w:b/>
                <w:sz w:val="24"/>
                <w:szCs w:val="24"/>
                <w:rtl/>
              </w:rPr>
            </w:pPr>
            <w:r>
              <w:rPr>
                <w:rFonts w:hint="cs"/>
                <w:b/>
                <w:sz w:val="24"/>
                <w:szCs w:val="24"/>
                <w:rtl/>
              </w:rPr>
              <w:t>7.1</w:t>
            </w:r>
          </w:p>
        </w:tc>
        <w:tc>
          <w:tcPr>
            <w:tcW w:w="812" w:type="dxa"/>
            <w:tcBorders>
              <w:bottom w:val="nil"/>
            </w:tcBorders>
          </w:tcPr>
          <w:p w:rsidR="00443EC1" w:rsidRDefault="00443EC1">
            <w:pPr>
              <w:spacing w:before="0" w:after="0" w:line="280" w:lineRule="exact"/>
              <w:jc w:val="both"/>
              <w:rPr>
                <w:rFonts w:hint="cs"/>
                <w:b/>
                <w:sz w:val="24"/>
                <w:szCs w:val="24"/>
                <w:rtl/>
              </w:rPr>
            </w:pPr>
            <w:r>
              <w:rPr>
                <w:rFonts w:hint="cs"/>
                <w:b/>
                <w:sz w:val="24"/>
                <w:szCs w:val="24"/>
                <w:rtl/>
              </w:rPr>
              <w:t>18.5</w:t>
            </w:r>
          </w:p>
        </w:tc>
        <w:tc>
          <w:tcPr>
            <w:tcW w:w="825" w:type="dxa"/>
            <w:tcBorders>
              <w:bottom w:val="nil"/>
            </w:tcBorders>
          </w:tcPr>
          <w:p w:rsidR="00443EC1" w:rsidRDefault="00443EC1">
            <w:pPr>
              <w:spacing w:before="0" w:after="0" w:line="280" w:lineRule="exact"/>
              <w:jc w:val="both"/>
              <w:rPr>
                <w:rFonts w:hint="cs"/>
                <w:b/>
                <w:sz w:val="24"/>
                <w:szCs w:val="24"/>
                <w:rtl/>
              </w:rPr>
            </w:pPr>
            <w:r>
              <w:rPr>
                <w:rFonts w:hint="cs"/>
                <w:b/>
                <w:sz w:val="24"/>
                <w:szCs w:val="24"/>
                <w:rtl/>
              </w:rPr>
              <w:t>5.1</w:t>
            </w:r>
          </w:p>
        </w:tc>
        <w:tc>
          <w:tcPr>
            <w:tcW w:w="812" w:type="dxa"/>
            <w:tcBorders>
              <w:bottom w:val="nil"/>
            </w:tcBorders>
          </w:tcPr>
          <w:p w:rsidR="00443EC1" w:rsidRDefault="00443EC1">
            <w:pPr>
              <w:spacing w:before="0" w:after="0" w:line="280" w:lineRule="exact"/>
              <w:jc w:val="both"/>
              <w:rPr>
                <w:rFonts w:hint="cs"/>
                <w:b/>
                <w:sz w:val="24"/>
                <w:szCs w:val="24"/>
                <w:rtl/>
              </w:rPr>
            </w:pPr>
            <w:r>
              <w:rPr>
                <w:rFonts w:hint="cs"/>
                <w:b/>
                <w:sz w:val="24"/>
                <w:szCs w:val="24"/>
                <w:rtl/>
              </w:rPr>
              <w:t>13.8</w:t>
            </w:r>
          </w:p>
        </w:tc>
        <w:tc>
          <w:tcPr>
            <w:tcW w:w="826" w:type="dxa"/>
            <w:tcBorders>
              <w:bottom w:val="nil"/>
            </w:tcBorders>
          </w:tcPr>
          <w:p w:rsidR="00443EC1" w:rsidRDefault="00443EC1">
            <w:pPr>
              <w:spacing w:before="0" w:after="0" w:line="280" w:lineRule="exact"/>
              <w:jc w:val="both"/>
              <w:rPr>
                <w:rFonts w:hint="cs"/>
                <w:b/>
                <w:sz w:val="24"/>
                <w:szCs w:val="24"/>
                <w:rtl/>
              </w:rPr>
            </w:pPr>
            <w:r>
              <w:rPr>
                <w:rFonts w:hint="cs"/>
                <w:b/>
                <w:sz w:val="24"/>
                <w:szCs w:val="24"/>
                <w:rtl/>
              </w:rPr>
              <w:t>4.6</w:t>
            </w:r>
          </w:p>
        </w:tc>
        <w:tc>
          <w:tcPr>
            <w:tcW w:w="813" w:type="dxa"/>
            <w:tcBorders>
              <w:bottom w:val="nil"/>
            </w:tcBorders>
          </w:tcPr>
          <w:p w:rsidR="00443EC1" w:rsidRDefault="00443EC1">
            <w:pPr>
              <w:spacing w:before="0" w:after="0" w:line="280" w:lineRule="exact"/>
              <w:jc w:val="both"/>
              <w:rPr>
                <w:rFonts w:hint="cs"/>
                <w:b/>
                <w:sz w:val="24"/>
                <w:szCs w:val="24"/>
                <w:rtl/>
              </w:rPr>
            </w:pPr>
            <w:r>
              <w:rPr>
                <w:rFonts w:hint="cs"/>
                <w:b/>
                <w:sz w:val="24"/>
                <w:szCs w:val="24"/>
                <w:rtl/>
              </w:rPr>
              <w:t>12.0</w:t>
            </w:r>
          </w:p>
        </w:tc>
        <w:tc>
          <w:tcPr>
            <w:tcW w:w="826" w:type="dxa"/>
            <w:tcBorders>
              <w:bottom w:val="nil"/>
            </w:tcBorders>
          </w:tcPr>
          <w:p w:rsidR="00443EC1" w:rsidRDefault="00443EC1">
            <w:pPr>
              <w:spacing w:before="0" w:after="0" w:line="280" w:lineRule="exact"/>
              <w:jc w:val="both"/>
              <w:rPr>
                <w:rFonts w:hint="cs"/>
                <w:b/>
                <w:sz w:val="24"/>
                <w:szCs w:val="24"/>
                <w:rtl/>
              </w:rPr>
            </w:pPr>
            <w:r>
              <w:rPr>
                <w:rFonts w:hint="cs"/>
                <w:b/>
                <w:sz w:val="24"/>
                <w:szCs w:val="24"/>
                <w:rtl/>
              </w:rPr>
              <w:t>3.4</w:t>
            </w:r>
          </w:p>
        </w:tc>
        <w:tc>
          <w:tcPr>
            <w:tcW w:w="814" w:type="dxa"/>
            <w:tcBorders>
              <w:bottom w:val="nil"/>
            </w:tcBorders>
          </w:tcPr>
          <w:p w:rsidR="00443EC1" w:rsidRDefault="00443EC1">
            <w:pPr>
              <w:spacing w:before="0" w:after="0" w:line="280" w:lineRule="exact"/>
              <w:jc w:val="both"/>
              <w:rPr>
                <w:rFonts w:hint="cs"/>
                <w:b/>
                <w:sz w:val="24"/>
                <w:szCs w:val="24"/>
                <w:rtl/>
              </w:rPr>
            </w:pPr>
            <w:r>
              <w:rPr>
                <w:rFonts w:hint="cs"/>
                <w:b/>
                <w:sz w:val="24"/>
                <w:szCs w:val="24"/>
                <w:rtl/>
              </w:rPr>
              <w:t>10.2</w:t>
            </w:r>
          </w:p>
        </w:tc>
      </w:tr>
      <w:tr w:rsidR="00443EC1" w:rsidTr="00443EC1">
        <w:tblPrEx>
          <w:tblCellMar>
            <w:top w:w="0" w:type="dxa"/>
            <w:bottom w:w="0" w:type="dxa"/>
          </w:tblCellMar>
        </w:tblPrEx>
        <w:trPr>
          <w:jc w:val="center"/>
        </w:trPr>
        <w:tc>
          <w:tcPr>
            <w:tcW w:w="1380" w:type="dxa"/>
            <w:tcBorders>
              <w:top w:val="nil"/>
              <w:bottom w:val="nil"/>
            </w:tcBorders>
          </w:tcPr>
          <w:p w:rsidR="00443EC1" w:rsidRDefault="00443EC1">
            <w:pPr>
              <w:spacing w:before="0" w:after="0" w:line="280" w:lineRule="exact"/>
              <w:jc w:val="both"/>
              <w:rPr>
                <w:rFonts w:hint="cs"/>
                <w:b/>
                <w:sz w:val="24"/>
                <w:szCs w:val="24"/>
                <w:rtl/>
              </w:rPr>
            </w:pPr>
            <w:r>
              <w:rPr>
                <w:rFonts w:hint="cs"/>
                <w:b/>
                <w:sz w:val="24"/>
                <w:szCs w:val="24"/>
                <w:rtl/>
              </w:rPr>
              <w:t>ابتدائي</w:t>
            </w:r>
          </w:p>
        </w:tc>
        <w:tc>
          <w:tcPr>
            <w:tcW w:w="825" w:type="dxa"/>
            <w:tcBorders>
              <w:top w:val="nil"/>
              <w:bottom w:val="nil"/>
            </w:tcBorders>
          </w:tcPr>
          <w:p w:rsidR="00443EC1" w:rsidRDefault="00443EC1">
            <w:pPr>
              <w:spacing w:before="0" w:after="0" w:line="280" w:lineRule="exact"/>
              <w:jc w:val="both"/>
              <w:rPr>
                <w:rFonts w:hint="cs"/>
                <w:b/>
                <w:sz w:val="24"/>
                <w:szCs w:val="24"/>
                <w:rtl/>
              </w:rPr>
            </w:pPr>
            <w:r>
              <w:rPr>
                <w:rFonts w:hint="cs"/>
                <w:b/>
                <w:sz w:val="24"/>
                <w:szCs w:val="24"/>
                <w:rtl/>
              </w:rPr>
              <w:t>30.8</w:t>
            </w:r>
          </w:p>
        </w:tc>
        <w:tc>
          <w:tcPr>
            <w:tcW w:w="812" w:type="dxa"/>
            <w:tcBorders>
              <w:top w:val="nil"/>
              <w:bottom w:val="nil"/>
            </w:tcBorders>
          </w:tcPr>
          <w:p w:rsidR="00443EC1" w:rsidRDefault="00443EC1">
            <w:pPr>
              <w:spacing w:before="0" w:after="0" w:line="280" w:lineRule="exact"/>
              <w:jc w:val="both"/>
              <w:rPr>
                <w:rFonts w:hint="cs"/>
                <w:b/>
                <w:sz w:val="24"/>
                <w:szCs w:val="24"/>
                <w:rtl/>
              </w:rPr>
            </w:pPr>
            <w:r>
              <w:rPr>
                <w:rFonts w:hint="cs"/>
                <w:b/>
                <w:sz w:val="24"/>
                <w:szCs w:val="24"/>
                <w:rtl/>
              </w:rPr>
              <w:t>27.7</w:t>
            </w:r>
          </w:p>
        </w:tc>
        <w:tc>
          <w:tcPr>
            <w:tcW w:w="825" w:type="dxa"/>
            <w:tcBorders>
              <w:top w:val="nil"/>
              <w:bottom w:val="nil"/>
            </w:tcBorders>
          </w:tcPr>
          <w:p w:rsidR="00443EC1" w:rsidRDefault="00443EC1">
            <w:pPr>
              <w:spacing w:before="0" w:after="0" w:line="280" w:lineRule="exact"/>
              <w:jc w:val="both"/>
              <w:rPr>
                <w:rFonts w:hint="cs"/>
                <w:b/>
                <w:sz w:val="24"/>
                <w:szCs w:val="24"/>
                <w:rtl/>
              </w:rPr>
            </w:pPr>
            <w:r>
              <w:rPr>
                <w:rFonts w:hint="cs"/>
                <w:b/>
                <w:sz w:val="24"/>
                <w:szCs w:val="24"/>
                <w:rtl/>
              </w:rPr>
              <w:t>26.1</w:t>
            </w:r>
          </w:p>
        </w:tc>
        <w:tc>
          <w:tcPr>
            <w:tcW w:w="812" w:type="dxa"/>
            <w:tcBorders>
              <w:top w:val="nil"/>
              <w:bottom w:val="nil"/>
            </w:tcBorders>
          </w:tcPr>
          <w:p w:rsidR="00443EC1" w:rsidRDefault="00443EC1">
            <w:pPr>
              <w:spacing w:before="0" w:after="0" w:line="280" w:lineRule="exact"/>
              <w:jc w:val="both"/>
              <w:rPr>
                <w:rFonts w:hint="cs"/>
                <w:b/>
                <w:sz w:val="24"/>
                <w:szCs w:val="24"/>
                <w:rtl/>
              </w:rPr>
            </w:pPr>
            <w:r>
              <w:rPr>
                <w:rFonts w:hint="cs"/>
                <w:b/>
                <w:sz w:val="24"/>
                <w:szCs w:val="24"/>
                <w:rtl/>
              </w:rPr>
              <w:t>24.3</w:t>
            </w:r>
          </w:p>
        </w:tc>
        <w:tc>
          <w:tcPr>
            <w:tcW w:w="825" w:type="dxa"/>
            <w:tcBorders>
              <w:top w:val="nil"/>
              <w:bottom w:val="nil"/>
            </w:tcBorders>
          </w:tcPr>
          <w:p w:rsidR="00443EC1" w:rsidRDefault="00443EC1">
            <w:pPr>
              <w:spacing w:before="0" w:after="0" w:line="280" w:lineRule="exact"/>
              <w:jc w:val="both"/>
              <w:rPr>
                <w:rFonts w:hint="cs"/>
                <w:b/>
                <w:sz w:val="24"/>
                <w:szCs w:val="24"/>
                <w:rtl/>
              </w:rPr>
            </w:pPr>
            <w:r>
              <w:rPr>
                <w:rFonts w:hint="cs"/>
                <w:b/>
                <w:sz w:val="24"/>
                <w:szCs w:val="24"/>
                <w:rtl/>
              </w:rPr>
              <w:t>22.7</w:t>
            </w:r>
          </w:p>
        </w:tc>
        <w:tc>
          <w:tcPr>
            <w:tcW w:w="812" w:type="dxa"/>
            <w:tcBorders>
              <w:top w:val="nil"/>
              <w:bottom w:val="nil"/>
            </w:tcBorders>
          </w:tcPr>
          <w:p w:rsidR="00443EC1" w:rsidRDefault="00443EC1">
            <w:pPr>
              <w:spacing w:before="0" w:after="0" w:line="280" w:lineRule="exact"/>
              <w:jc w:val="both"/>
              <w:rPr>
                <w:rFonts w:hint="cs"/>
                <w:b/>
                <w:sz w:val="24"/>
                <w:szCs w:val="24"/>
                <w:rtl/>
              </w:rPr>
            </w:pPr>
            <w:r>
              <w:rPr>
                <w:rFonts w:hint="cs"/>
                <w:b/>
                <w:sz w:val="24"/>
                <w:szCs w:val="24"/>
                <w:rtl/>
              </w:rPr>
              <w:t>22.6</w:t>
            </w:r>
          </w:p>
        </w:tc>
        <w:tc>
          <w:tcPr>
            <w:tcW w:w="826" w:type="dxa"/>
            <w:tcBorders>
              <w:top w:val="nil"/>
              <w:bottom w:val="nil"/>
            </w:tcBorders>
          </w:tcPr>
          <w:p w:rsidR="00443EC1" w:rsidRDefault="00443EC1">
            <w:pPr>
              <w:spacing w:before="0" w:after="0" w:line="280" w:lineRule="exact"/>
              <w:jc w:val="both"/>
              <w:rPr>
                <w:rFonts w:hint="cs"/>
                <w:b/>
                <w:sz w:val="24"/>
                <w:szCs w:val="24"/>
                <w:rtl/>
              </w:rPr>
            </w:pPr>
            <w:r>
              <w:rPr>
                <w:rFonts w:hint="cs"/>
                <w:b/>
                <w:sz w:val="24"/>
                <w:szCs w:val="24"/>
                <w:rtl/>
              </w:rPr>
              <w:t>20.4</w:t>
            </w:r>
          </w:p>
        </w:tc>
        <w:tc>
          <w:tcPr>
            <w:tcW w:w="813" w:type="dxa"/>
            <w:tcBorders>
              <w:top w:val="nil"/>
              <w:bottom w:val="nil"/>
            </w:tcBorders>
          </w:tcPr>
          <w:p w:rsidR="00443EC1" w:rsidRDefault="00443EC1">
            <w:pPr>
              <w:spacing w:before="0" w:after="0" w:line="280" w:lineRule="exact"/>
              <w:jc w:val="both"/>
              <w:rPr>
                <w:rFonts w:hint="cs"/>
                <w:b/>
                <w:sz w:val="24"/>
                <w:szCs w:val="24"/>
                <w:rtl/>
              </w:rPr>
            </w:pPr>
            <w:r>
              <w:rPr>
                <w:rFonts w:hint="cs"/>
                <w:b/>
                <w:sz w:val="24"/>
                <w:szCs w:val="24"/>
                <w:rtl/>
              </w:rPr>
              <w:t>20.6</w:t>
            </w:r>
          </w:p>
        </w:tc>
        <w:tc>
          <w:tcPr>
            <w:tcW w:w="826" w:type="dxa"/>
            <w:tcBorders>
              <w:top w:val="nil"/>
              <w:bottom w:val="nil"/>
            </w:tcBorders>
          </w:tcPr>
          <w:p w:rsidR="00443EC1" w:rsidRDefault="00443EC1">
            <w:pPr>
              <w:spacing w:before="0" w:after="0" w:line="280" w:lineRule="exact"/>
              <w:jc w:val="both"/>
              <w:rPr>
                <w:rFonts w:hint="cs"/>
                <w:b/>
                <w:sz w:val="24"/>
                <w:szCs w:val="24"/>
                <w:rtl/>
              </w:rPr>
            </w:pPr>
            <w:r>
              <w:rPr>
                <w:rFonts w:hint="cs"/>
                <w:b/>
                <w:sz w:val="24"/>
                <w:szCs w:val="24"/>
                <w:rtl/>
              </w:rPr>
              <w:t>20.7</w:t>
            </w:r>
          </w:p>
        </w:tc>
        <w:tc>
          <w:tcPr>
            <w:tcW w:w="814" w:type="dxa"/>
            <w:tcBorders>
              <w:top w:val="nil"/>
              <w:bottom w:val="nil"/>
            </w:tcBorders>
          </w:tcPr>
          <w:p w:rsidR="00443EC1" w:rsidRDefault="00443EC1">
            <w:pPr>
              <w:spacing w:before="0" w:after="0" w:line="280" w:lineRule="exact"/>
              <w:jc w:val="both"/>
              <w:rPr>
                <w:rFonts w:hint="cs"/>
                <w:b/>
                <w:sz w:val="24"/>
                <w:szCs w:val="24"/>
                <w:rtl/>
              </w:rPr>
            </w:pPr>
            <w:r>
              <w:rPr>
                <w:rFonts w:hint="cs"/>
                <w:b/>
                <w:sz w:val="24"/>
                <w:szCs w:val="24"/>
                <w:rtl/>
              </w:rPr>
              <w:t>21.3</w:t>
            </w:r>
          </w:p>
        </w:tc>
      </w:tr>
      <w:tr w:rsidR="00443EC1" w:rsidTr="00443EC1">
        <w:tblPrEx>
          <w:tblCellMar>
            <w:top w:w="0" w:type="dxa"/>
            <w:bottom w:w="0" w:type="dxa"/>
          </w:tblCellMar>
        </w:tblPrEx>
        <w:trPr>
          <w:cantSplit/>
          <w:jc w:val="center"/>
        </w:trPr>
        <w:tc>
          <w:tcPr>
            <w:tcW w:w="1380" w:type="dxa"/>
            <w:vMerge w:val="restart"/>
            <w:tcBorders>
              <w:top w:val="nil"/>
            </w:tcBorders>
          </w:tcPr>
          <w:p w:rsidR="00443EC1" w:rsidRDefault="00443EC1">
            <w:pPr>
              <w:spacing w:before="0" w:after="0" w:line="280" w:lineRule="exact"/>
              <w:jc w:val="both"/>
              <w:rPr>
                <w:rFonts w:hint="cs"/>
                <w:b/>
                <w:sz w:val="24"/>
                <w:szCs w:val="24"/>
                <w:rtl/>
              </w:rPr>
            </w:pPr>
            <w:r>
              <w:rPr>
                <w:rFonts w:hint="cs"/>
                <w:b/>
                <w:sz w:val="24"/>
                <w:szCs w:val="24"/>
                <w:rtl/>
              </w:rPr>
              <w:t>ثانوي وما فوق</w:t>
            </w:r>
          </w:p>
        </w:tc>
        <w:tc>
          <w:tcPr>
            <w:tcW w:w="825" w:type="dxa"/>
            <w:tcBorders>
              <w:top w:val="nil"/>
            </w:tcBorders>
          </w:tcPr>
          <w:p w:rsidR="00443EC1" w:rsidRDefault="00443EC1">
            <w:pPr>
              <w:spacing w:before="0" w:after="0" w:line="280" w:lineRule="exact"/>
              <w:jc w:val="both"/>
              <w:rPr>
                <w:rFonts w:hint="cs"/>
                <w:b/>
                <w:sz w:val="24"/>
                <w:szCs w:val="24"/>
                <w:rtl/>
              </w:rPr>
            </w:pPr>
            <w:r>
              <w:rPr>
                <w:rFonts w:hint="cs"/>
                <w:b/>
                <w:sz w:val="24"/>
                <w:szCs w:val="24"/>
                <w:rtl/>
              </w:rPr>
              <w:t>62.2</w:t>
            </w:r>
          </w:p>
        </w:tc>
        <w:tc>
          <w:tcPr>
            <w:tcW w:w="812" w:type="dxa"/>
            <w:tcBorders>
              <w:top w:val="nil"/>
            </w:tcBorders>
          </w:tcPr>
          <w:p w:rsidR="00443EC1" w:rsidRDefault="00443EC1">
            <w:pPr>
              <w:spacing w:before="0" w:after="0" w:line="280" w:lineRule="exact"/>
              <w:jc w:val="both"/>
              <w:rPr>
                <w:rFonts w:hint="cs"/>
                <w:b/>
                <w:sz w:val="24"/>
                <w:szCs w:val="24"/>
                <w:rtl/>
              </w:rPr>
            </w:pPr>
            <w:r>
              <w:rPr>
                <w:rFonts w:hint="cs"/>
                <w:b/>
                <w:sz w:val="24"/>
                <w:szCs w:val="24"/>
                <w:rtl/>
              </w:rPr>
              <w:t>50.7</w:t>
            </w:r>
          </w:p>
        </w:tc>
        <w:tc>
          <w:tcPr>
            <w:tcW w:w="825" w:type="dxa"/>
            <w:tcBorders>
              <w:top w:val="nil"/>
            </w:tcBorders>
          </w:tcPr>
          <w:p w:rsidR="00443EC1" w:rsidRDefault="00443EC1">
            <w:pPr>
              <w:spacing w:before="0" w:after="0" w:line="280" w:lineRule="exact"/>
              <w:jc w:val="both"/>
              <w:rPr>
                <w:rFonts w:hint="cs"/>
                <w:b/>
                <w:sz w:val="24"/>
                <w:szCs w:val="24"/>
                <w:rtl/>
              </w:rPr>
            </w:pPr>
            <w:r>
              <w:rPr>
                <w:rFonts w:hint="cs"/>
                <w:b/>
                <w:sz w:val="24"/>
                <w:szCs w:val="24"/>
                <w:rtl/>
              </w:rPr>
              <w:t>66.8</w:t>
            </w:r>
          </w:p>
        </w:tc>
        <w:tc>
          <w:tcPr>
            <w:tcW w:w="812" w:type="dxa"/>
            <w:tcBorders>
              <w:top w:val="nil"/>
            </w:tcBorders>
          </w:tcPr>
          <w:p w:rsidR="00443EC1" w:rsidRDefault="00443EC1">
            <w:pPr>
              <w:spacing w:before="0" w:after="0" w:line="280" w:lineRule="exact"/>
              <w:jc w:val="both"/>
              <w:rPr>
                <w:rFonts w:hint="cs"/>
                <w:b/>
                <w:sz w:val="24"/>
                <w:szCs w:val="24"/>
                <w:rtl/>
              </w:rPr>
            </w:pPr>
            <w:r>
              <w:rPr>
                <w:rFonts w:hint="cs"/>
                <w:b/>
                <w:sz w:val="24"/>
                <w:szCs w:val="24"/>
                <w:rtl/>
              </w:rPr>
              <w:t>57.2</w:t>
            </w:r>
          </w:p>
        </w:tc>
        <w:tc>
          <w:tcPr>
            <w:tcW w:w="825" w:type="dxa"/>
            <w:tcBorders>
              <w:top w:val="nil"/>
            </w:tcBorders>
          </w:tcPr>
          <w:p w:rsidR="00443EC1" w:rsidRDefault="00443EC1">
            <w:pPr>
              <w:spacing w:before="0" w:after="0" w:line="280" w:lineRule="exact"/>
              <w:jc w:val="both"/>
              <w:rPr>
                <w:rFonts w:hint="cs"/>
                <w:b/>
                <w:sz w:val="24"/>
                <w:szCs w:val="24"/>
                <w:rtl/>
              </w:rPr>
            </w:pPr>
            <w:r>
              <w:rPr>
                <w:rFonts w:hint="cs"/>
                <w:b/>
                <w:sz w:val="24"/>
                <w:szCs w:val="24"/>
                <w:rtl/>
              </w:rPr>
              <w:t>72.2</w:t>
            </w:r>
          </w:p>
        </w:tc>
        <w:tc>
          <w:tcPr>
            <w:tcW w:w="812" w:type="dxa"/>
            <w:tcBorders>
              <w:top w:val="nil"/>
            </w:tcBorders>
          </w:tcPr>
          <w:p w:rsidR="00443EC1" w:rsidRDefault="00443EC1">
            <w:pPr>
              <w:spacing w:before="0" w:after="0" w:line="280" w:lineRule="exact"/>
              <w:jc w:val="both"/>
              <w:rPr>
                <w:rFonts w:hint="cs"/>
                <w:b/>
                <w:sz w:val="24"/>
                <w:szCs w:val="24"/>
                <w:rtl/>
              </w:rPr>
            </w:pPr>
            <w:r>
              <w:rPr>
                <w:rFonts w:hint="cs"/>
                <w:b/>
                <w:sz w:val="24"/>
                <w:szCs w:val="24"/>
                <w:rtl/>
              </w:rPr>
              <w:t>63.6</w:t>
            </w:r>
          </w:p>
        </w:tc>
        <w:tc>
          <w:tcPr>
            <w:tcW w:w="826" w:type="dxa"/>
            <w:tcBorders>
              <w:top w:val="nil"/>
            </w:tcBorders>
          </w:tcPr>
          <w:p w:rsidR="00443EC1" w:rsidRDefault="00443EC1">
            <w:pPr>
              <w:spacing w:before="0" w:after="0" w:line="280" w:lineRule="exact"/>
              <w:jc w:val="both"/>
              <w:rPr>
                <w:rFonts w:hint="cs"/>
                <w:b/>
                <w:sz w:val="24"/>
                <w:szCs w:val="24"/>
                <w:rtl/>
              </w:rPr>
            </w:pPr>
            <w:r>
              <w:rPr>
                <w:rFonts w:hint="cs"/>
                <w:b/>
                <w:sz w:val="24"/>
                <w:szCs w:val="24"/>
                <w:rtl/>
              </w:rPr>
              <w:t>75.0</w:t>
            </w:r>
          </w:p>
        </w:tc>
        <w:tc>
          <w:tcPr>
            <w:tcW w:w="813" w:type="dxa"/>
            <w:tcBorders>
              <w:top w:val="nil"/>
            </w:tcBorders>
          </w:tcPr>
          <w:p w:rsidR="00443EC1" w:rsidRDefault="00443EC1">
            <w:pPr>
              <w:spacing w:before="0" w:after="0" w:line="280" w:lineRule="exact"/>
              <w:jc w:val="both"/>
              <w:rPr>
                <w:rFonts w:hint="cs"/>
                <w:b/>
                <w:sz w:val="24"/>
                <w:szCs w:val="24"/>
                <w:rtl/>
              </w:rPr>
            </w:pPr>
            <w:r>
              <w:rPr>
                <w:rFonts w:hint="cs"/>
                <w:b/>
                <w:sz w:val="24"/>
                <w:szCs w:val="24"/>
                <w:rtl/>
              </w:rPr>
              <w:t>67.4</w:t>
            </w:r>
          </w:p>
        </w:tc>
        <w:tc>
          <w:tcPr>
            <w:tcW w:w="826" w:type="dxa"/>
            <w:tcBorders>
              <w:top w:val="nil"/>
            </w:tcBorders>
          </w:tcPr>
          <w:p w:rsidR="00443EC1" w:rsidRDefault="00443EC1">
            <w:pPr>
              <w:spacing w:before="0" w:after="0" w:line="280" w:lineRule="exact"/>
              <w:jc w:val="both"/>
              <w:rPr>
                <w:rFonts w:hint="cs"/>
                <w:b/>
                <w:sz w:val="24"/>
                <w:szCs w:val="24"/>
                <w:rtl/>
              </w:rPr>
            </w:pPr>
            <w:r>
              <w:rPr>
                <w:rFonts w:hint="cs"/>
                <w:b/>
                <w:sz w:val="24"/>
                <w:szCs w:val="24"/>
                <w:rtl/>
              </w:rPr>
              <w:t>75.9</w:t>
            </w:r>
          </w:p>
        </w:tc>
        <w:tc>
          <w:tcPr>
            <w:tcW w:w="814" w:type="dxa"/>
            <w:tcBorders>
              <w:top w:val="nil"/>
            </w:tcBorders>
          </w:tcPr>
          <w:p w:rsidR="00443EC1" w:rsidRDefault="00443EC1">
            <w:pPr>
              <w:spacing w:before="0" w:after="0" w:line="280" w:lineRule="exact"/>
              <w:jc w:val="both"/>
              <w:rPr>
                <w:rFonts w:hint="cs"/>
                <w:b/>
                <w:sz w:val="24"/>
                <w:szCs w:val="24"/>
                <w:rtl/>
              </w:rPr>
            </w:pPr>
            <w:r>
              <w:rPr>
                <w:rFonts w:hint="cs"/>
                <w:b/>
                <w:sz w:val="24"/>
                <w:szCs w:val="24"/>
                <w:rtl/>
              </w:rPr>
              <w:t>68.5</w:t>
            </w:r>
          </w:p>
        </w:tc>
      </w:tr>
      <w:tr w:rsidR="00443EC1" w:rsidTr="00443EC1">
        <w:tblPrEx>
          <w:tblCellMar>
            <w:top w:w="0" w:type="dxa"/>
            <w:bottom w:w="0" w:type="dxa"/>
          </w:tblCellMar>
        </w:tblPrEx>
        <w:trPr>
          <w:cantSplit/>
          <w:trHeight w:val="378"/>
          <w:jc w:val="center"/>
        </w:trPr>
        <w:tc>
          <w:tcPr>
            <w:tcW w:w="1380" w:type="dxa"/>
            <w:vMerge/>
            <w:tcBorders>
              <w:top w:val="nil"/>
            </w:tcBorders>
          </w:tcPr>
          <w:p w:rsidR="00443EC1" w:rsidRDefault="00443EC1">
            <w:pPr>
              <w:spacing w:before="0" w:after="0" w:line="280" w:lineRule="exact"/>
              <w:jc w:val="both"/>
              <w:rPr>
                <w:rFonts w:hint="cs"/>
                <w:b/>
                <w:sz w:val="24"/>
                <w:szCs w:val="24"/>
                <w:rtl/>
              </w:rPr>
            </w:pPr>
          </w:p>
        </w:tc>
        <w:tc>
          <w:tcPr>
            <w:tcW w:w="825" w:type="dxa"/>
          </w:tcPr>
          <w:p w:rsidR="00443EC1" w:rsidRDefault="00443EC1">
            <w:pPr>
              <w:spacing w:before="0" w:after="0" w:line="280" w:lineRule="exact"/>
              <w:jc w:val="both"/>
              <w:rPr>
                <w:rFonts w:hint="cs"/>
                <w:b/>
                <w:sz w:val="24"/>
                <w:szCs w:val="24"/>
                <w:rtl/>
              </w:rPr>
            </w:pPr>
            <w:r>
              <w:rPr>
                <w:rFonts w:hint="cs"/>
                <w:b/>
                <w:sz w:val="24"/>
                <w:szCs w:val="24"/>
                <w:rtl/>
              </w:rPr>
              <w:t>100.0</w:t>
            </w:r>
          </w:p>
        </w:tc>
        <w:tc>
          <w:tcPr>
            <w:tcW w:w="812" w:type="dxa"/>
          </w:tcPr>
          <w:p w:rsidR="00443EC1" w:rsidRDefault="00443EC1">
            <w:pPr>
              <w:spacing w:before="0" w:after="0" w:line="280" w:lineRule="exact"/>
              <w:jc w:val="both"/>
              <w:rPr>
                <w:rFonts w:hint="cs"/>
                <w:b/>
                <w:sz w:val="24"/>
                <w:szCs w:val="24"/>
                <w:rtl/>
              </w:rPr>
            </w:pPr>
            <w:r>
              <w:rPr>
                <w:rFonts w:hint="cs"/>
                <w:b/>
                <w:sz w:val="24"/>
                <w:szCs w:val="24"/>
                <w:rtl/>
              </w:rPr>
              <w:t>100.0</w:t>
            </w:r>
          </w:p>
        </w:tc>
        <w:tc>
          <w:tcPr>
            <w:tcW w:w="825" w:type="dxa"/>
          </w:tcPr>
          <w:p w:rsidR="00443EC1" w:rsidRDefault="00443EC1">
            <w:pPr>
              <w:spacing w:before="0" w:after="0" w:line="280" w:lineRule="exact"/>
              <w:jc w:val="both"/>
              <w:rPr>
                <w:rFonts w:hint="cs"/>
                <w:b/>
                <w:sz w:val="24"/>
                <w:szCs w:val="24"/>
                <w:rtl/>
              </w:rPr>
            </w:pPr>
            <w:r>
              <w:rPr>
                <w:rFonts w:hint="cs"/>
                <w:b/>
                <w:sz w:val="24"/>
                <w:szCs w:val="24"/>
                <w:rtl/>
              </w:rPr>
              <w:t>100.0</w:t>
            </w:r>
          </w:p>
        </w:tc>
        <w:tc>
          <w:tcPr>
            <w:tcW w:w="812" w:type="dxa"/>
          </w:tcPr>
          <w:p w:rsidR="00443EC1" w:rsidRDefault="00443EC1">
            <w:pPr>
              <w:spacing w:before="0" w:after="0" w:line="280" w:lineRule="exact"/>
              <w:jc w:val="both"/>
              <w:rPr>
                <w:rFonts w:hint="cs"/>
                <w:b/>
                <w:sz w:val="24"/>
                <w:szCs w:val="24"/>
                <w:rtl/>
              </w:rPr>
            </w:pPr>
            <w:r>
              <w:rPr>
                <w:rFonts w:hint="cs"/>
                <w:b/>
                <w:sz w:val="24"/>
                <w:szCs w:val="24"/>
                <w:rtl/>
              </w:rPr>
              <w:t>100.0</w:t>
            </w:r>
          </w:p>
        </w:tc>
        <w:tc>
          <w:tcPr>
            <w:tcW w:w="825" w:type="dxa"/>
          </w:tcPr>
          <w:p w:rsidR="00443EC1" w:rsidRDefault="00443EC1">
            <w:pPr>
              <w:spacing w:before="0" w:after="0" w:line="280" w:lineRule="exact"/>
              <w:jc w:val="both"/>
              <w:rPr>
                <w:rFonts w:hint="cs"/>
                <w:b/>
                <w:sz w:val="24"/>
                <w:szCs w:val="24"/>
                <w:rtl/>
              </w:rPr>
            </w:pPr>
            <w:r>
              <w:rPr>
                <w:rFonts w:hint="cs"/>
                <w:b/>
                <w:sz w:val="24"/>
                <w:szCs w:val="24"/>
                <w:rtl/>
              </w:rPr>
              <w:t>100.0</w:t>
            </w:r>
          </w:p>
        </w:tc>
        <w:tc>
          <w:tcPr>
            <w:tcW w:w="812" w:type="dxa"/>
          </w:tcPr>
          <w:p w:rsidR="00443EC1" w:rsidRDefault="00443EC1">
            <w:pPr>
              <w:spacing w:before="0" w:after="0" w:line="280" w:lineRule="exact"/>
              <w:jc w:val="both"/>
              <w:rPr>
                <w:rFonts w:hint="cs"/>
                <w:b/>
                <w:sz w:val="24"/>
                <w:szCs w:val="24"/>
                <w:rtl/>
              </w:rPr>
            </w:pPr>
            <w:r>
              <w:rPr>
                <w:rFonts w:hint="cs"/>
                <w:b/>
                <w:sz w:val="24"/>
                <w:szCs w:val="24"/>
                <w:rtl/>
              </w:rPr>
              <w:t>100.0</w:t>
            </w:r>
          </w:p>
        </w:tc>
        <w:tc>
          <w:tcPr>
            <w:tcW w:w="826" w:type="dxa"/>
          </w:tcPr>
          <w:p w:rsidR="00443EC1" w:rsidRDefault="00443EC1">
            <w:pPr>
              <w:spacing w:before="0" w:after="0" w:line="280" w:lineRule="exact"/>
              <w:jc w:val="both"/>
              <w:rPr>
                <w:rFonts w:hint="cs"/>
                <w:b/>
                <w:sz w:val="24"/>
                <w:szCs w:val="24"/>
                <w:rtl/>
              </w:rPr>
            </w:pPr>
            <w:r>
              <w:rPr>
                <w:rFonts w:hint="cs"/>
                <w:b/>
                <w:sz w:val="24"/>
                <w:szCs w:val="24"/>
                <w:rtl/>
              </w:rPr>
              <w:t>100.0</w:t>
            </w:r>
          </w:p>
        </w:tc>
        <w:tc>
          <w:tcPr>
            <w:tcW w:w="813" w:type="dxa"/>
          </w:tcPr>
          <w:p w:rsidR="00443EC1" w:rsidRDefault="00443EC1">
            <w:pPr>
              <w:spacing w:before="0" w:after="0" w:line="280" w:lineRule="exact"/>
              <w:jc w:val="both"/>
              <w:rPr>
                <w:rFonts w:hint="cs"/>
                <w:b/>
                <w:sz w:val="24"/>
                <w:szCs w:val="24"/>
                <w:rtl/>
              </w:rPr>
            </w:pPr>
            <w:r>
              <w:rPr>
                <w:rFonts w:hint="cs"/>
                <w:b/>
                <w:sz w:val="24"/>
                <w:szCs w:val="24"/>
                <w:rtl/>
              </w:rPr>
              <w:t>100.0</w:t>
            </w:r>
          </w:p>
        </w:tc>
        <w:tc>
          <w:tcPr>
            <w:tcW w:w="826" w:type="dxa"/>
          </w:tcPr>
          <w:p w:rsidR="00443EC1" w:rsidRDefault="00443EC1">
            <w:pPr>
              <w:spacing w:before="0" w:after="0" w:line="280" w:lineRule="exact"/>
              <w:jc w:val="both"/>
              <w:rPr>
                <w:rFonts w:hint="cs"/>
                <w:b/>
                <w:sz w:val="24"/>
                <w:szCs w:val="24"/>
                <w:rtl/>
              </w:rPr>
            </w:pPr>
            <w:r>
              <w:rPr>
                <w:rFonts w:hint="cs"/>
                <w:b/>
                <w:sz w:val="24"/>
                <w:szCs w:val="24"/>
                <w:rtl/>
              </w:rPr>
              <w:t>100.0</w:t>
            </w:r>
          </w:p>
        </w:tc>
        <w:tc>
          <w:tcPr>
            <w:tcW w:w="814" w:type="dxa"/>
          </w:tcPr>
          <w:p w:rsidR="00443EC1" w:rsidRDefault="00443EC1">
            <w:pPr>
              <w:spacing w:before="0" w:after="0" w:line="280" w:lineRule="exact"/>
              <w:jc w:val="both"/>
              <w:rPr>
                <w:rFonts w:hint="cs"/>
                <w:b/>
                <w:sz w:val="24"/>
                <w:szCs w:val="24"/>
                <w:rtl/>
              </w:rPr>
            </w:pPr>
            <w:r>
              <w:rPr>
                <w:rFonts w:hint="cs"/>
                <w:b/>
                <w:sz w:val="24"/>
                <w:szCs w:val="24"/>
                <w:rtl/>
              </w:rPr>
              <w:t>100.0</w:t>
            </w:r>
          </w:p>
        </w:tc>
      </w:tr>
    </w:tbl>
    <w:p w:rsidR="00000000" w:rsidRDefault="00443EC1">
      <w:pPr>
        <w:spacing w:before="0" w:after="120" w:line="360" w:lineRule="exact"/>
        <w:jc w:val="both"/>
        <w:rPr>
          <w:rFonts w:hint="cs"/>
          <w:b/>
          <w:szCs w:val="24"/>
          <w:rtl/>
        </w:rPr>
      </w:pPr>
      <w:r>
        <w:rPr>
          <w:rFonts w:hint="cs"/>
          <w:b/>
          <w:szCs w:val="24"/>
          <w:rtl/>
        </w:rPr>
        <w:tab/>
        <w:t>*</w:t>
      </w:r>
      <w:r>
        <w:rPr>
          <w:rFonts w:hint="cs"/>
          <w:b/>
          <w:szCs w:val="24"/>
          <w:rtl/>
        </w:rPr>
        <w:tab/>
        <w:t>أُخذت الأرقام للعامين 1991 و2001 عن الإحصاء السكاني الذي أجري في هاتين السنتين؛ وأُخذت الأرقام للعامين 1986 و1</w:t>
      </w:r>
      <w:r>
        <w:rPr>
          <w:rFonts w:hint="cs"/>
          <w:b/>
          <w:szCs w:val="24"/>
          <w:rtl/>
        </w:rPr>
        <w:t xml:space="preserve">996 عن الإحصاءات الثانوية ذات الصلة. بينما أخذت الأرقام لعام 2002 عن الدراسة الاستقصائية العامة للأسر المعيشية. </w:t>
      </w:r>
    </w:p>
    <w:p w:rsidR="00000000" w:rsidRDefault="00443EC1">
      <w:pPr>
        <w:jc w:val="both"/>
        <w:rPr>
          <w:rFonts w:hint="cs"/>
          <w:b/>
          <w:bCs/>
          <w:rtl/>
        </w:rPr>
      </w:pPr>
      <w:r>
        <w:rPr>
          <w:rFonts w:hint="cs"/>
          <w:b/>
          <w:bCs/>
          <w:rtl/>
        </w:rPr>
        <w:t>معدل الإلمام بالقراءة والكتابة*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0"/>
        <w:gridCol w:w="1080"/>
        <w:gridCol w:w="900"/>
        <w:gridCol w:w="900"/>
        <w:gridCol w:w="1080"/>
      </w:tblGrid>
      <w:tr w:rsidR="00443EC1" w:rsidTr="00443EC1">
        <w:tblPrEx>
          <w:tblCellMar>
            <w:top w:w="0" w:type="dxa"/>
            <w:bottom w:w="0" w:type="dxa"/>
          </w:tblCellMar>
        </w:tblPrEx>
        <w:trPr>
          <w:trHeight w:val="352"/>
          <w:jc w:val="center"/>
        </w:trPr>
        <w:tc>
          <w:tcPr>
            <w:tcW w:w="1080" w:type="dxa"/>
          </w:tcPr>
          <w:p w:rsidR="00443EC1" w:rsidRDefault="00443EC1">
            <w:pPr>
              <w:spacing w:before="0" w:after="0" w:line="240" w:lineRule="exact"/>
              <w:jc w:val="center"/>
              <w:rPr>
                <w:rStyle w:val="FootnoteReference"/>
                <w:rFonts w:hint="cs"/>
                <w:b/>
                <w:bCs w:val="0"/>
                <w:szCs w:val="24"/>
                <w:vertAlign w:val="baseline"/>
              </w:rPr>
            </w:pPr>
            <w:r>
              <w:rPr>
                <w:rFonts w:hint="cs"/>
                <w:b/>
                <w:szCs w:val="24"/>
                <w:rtl/>
              </w:rPr>
              <w:t>1984</w:t>
            </w:r>
          </w:p>
        </w:tc>
        <w:tc>
          <w:tcPr>
            <w:tcW w:w="1080" w:type="dxa"/>
          </w:tcPr>
          <w:p w:rsidR="00443EC1" w:rsidRDefault="00443EC1">
            <w:pPr>
              <w:spacing w:before="0" w:after="0" w:line="240" w:lineRule="exact"/>
              <w:jc w:val="center"/>
              <w:rPr>
                <w:rStyle w:val="FootnoteReference"/>
                <w:rFonts w:hint="cs"/>
                <w:b/>
                <w:bCs w:val="0"/>
                <w:szCs w:val="24"/>
                <w:vertAlign w:val="baseline"/>
              </w:rPr>
            </w:pPr>
            <w:r>
              <w:rPr>
                <w:rFonts w:hint="cs"/>
                <w:b/>
                <w:szCs w:val="24"/>
                <w:rtl/>
              </w:rPr>
              <w:t>1996</w:t>
            </w:r>
          </w:p>
        </w:tc>
        <w:tc>
          <w:tcPr>
            <w:tcW w:w="900" w:type="dxa"/>
          </w:tcPr>
          <w:p w:rsidR="00443EC1" w:rsidRDefault="00443EC1">
            <w:pPr>
              <w:spacing w:before="0" w:after="0" w:line="240" w:lineRule="exact"/>
              <w:jc w:val="center"/>
              <w:rPr>
                <w:rStyle w:val="FootnoteReference"/>
                <w:rFonts w:hint="cs"/>
                <w:b/>
                <w:bCs w:val="0"/>
                <w:szCs w:val="24"/>
                <w:vertAlign w:val="baseline"/>
              </w:rPr>
            </w:pPr>
            <w:r>
              <w:rPr>
                <w:rFonts w:hint="cs"/>
                <w:b/>
                <w:szCs w:val="24"/>
                <w:rtl/>
              </w:rPr>
              <w:t>2000</w:t>
            </w:r>
          </w:p>
        </w:tc>
        <w:tc>
          <w:tcPr>
            <w:tcW w:w="900" w:type="dxa"/>
          </w:tcPr>
          <w:p w:rsidR="00443EC1" w:rsidRDefault="00443EC1">
            <w:pPr>
              <w:spacing w:before="0" w:after="0" w:line="240" w:lineRule="exact"/>
              <w:jc w:val="center"/>
              <w:rPr>
                <w:rStyle w:val="FootnoteReference"/>
                <w:rFonts w:hint="cs"/>
                <w:b/>
                <w:bCs w:val="0"/>
                <w:szCs w:val="24"/>
                <w:vertAlign w:val="baseline"/>
              </w:rPr>
            </w:pPr>
            <w:r>
              <w:rPr>
                <w:rFonts w:hint="cs"/>
                <w:b/>
                <w:szCs w:val="24"/>
                <w:rtl/>
              </w:rPr>
              <w:t>2001</w:t>
            </w:r>
          </w:p>
        </w:tc>
        <w:tc>
          <w:tcPr>
            <w:tcW w:w="1080" w:type="dxa"/>
          </w:tcPr>
          <w:p w:rsidR="00443EC1" w:rsidRDefault="00443EC1">
            <w:pPr>
              <w:spacing w:before="0" w:after="0" w:line="240" w:lineRule="exact"/>
              <w:jc w:val="center"/>
              <w:rPr>
                <w:rStyle w:val="FootnoteReference"/>
                <w:rFonts w:hint="cs"/>
                <w:b/>
                <w:bCs w:val="0"/>
                <w:szCs w:val="24"/>
                <w:vertAlign w:val="baseline"/>
              </w:rPr>
            </w:pPr>
            <w:r>
              <w:rPr>
                <w:rFonts w:hint="cs"/>
                <w:b/>
                <w:szCs w:val="24"/>
                <w:rtl/>
              </w:rPr>
              <w:t>2002</w:t>
            </w:r>
          </w:p>
        </w:tc>
      </w:tr>
      <w:tr w:rsidR="00443EC1" w:rsidTr="00443EC1">
        <w:tblPrEx>
          <w:tblCellMar>
            <w:top w:w="0" w:type="dxa"/>
            <w:bottom w:w="0" w:type="dxa"/>
          </w:tblCellMar>
        </w:tblPrEx>
        <w:trPr>
          <w:trHeight w:val="348"/>
          <w:jc w:val="center"/>
        </w:trPr>
        <w:tc>
          <w:tcPr>
            <w:tcW w:w="1080" w:type="dxa"/>
          </w:tcPr>
          <w:p w:rsidR="00443EC1" w:rsidRDefault="00443EC1">
            <w:pPr>
              <w:spacing w:before="0" w:after="0" w:line="240" w:lineRule="exact"/>
              <w:jc w:val="center"/>
              <w:rPr>
                <w:rFonts w:hint="cs"/>
                <w:b/>
                <w:szCs w:val="24"/>
                <w:rtl/>
              </w:rPr>
            </w:pPr>
            <w:r>
              <w:rPr>
                <w:rFonts w:hint="cs"/>
                <w:b/>
                <w:szCs w:val="24"/>
                <w:rtl/>
              </w:rPr>
              <w:t>85.7</w:t>
            </w:r>
            <w:r>
              <w:rPr>
                <w:rFonts w:cs="Mudir MT" w:hint="cs"/>
                <w:b/>
                <w:sz w:val="24"/>
                <w:szCs w:val="24"/>
                <w:rtl/>
                <w:lang w:eastAsia="en-US"/>
              </w:rPr>
              <w:t>%</w:t>
            </w:r>
          </w:p>
        </w:tc>
        <w:tc>
          <w:tcPr>
            <w:tcW w:w="1080" w:type="dxa"/>
          </w:tcPr>
          <w:p w:rsidR="00443EC1" w:rsidRDefault="00443EC1">
            <w:pPr>
              <w:spacing w:before="0" w:after="0" w:line="240" w:lineRule="exact"/>
              <w:jc w:val="center"/>
              <w:rPr>
                <w:rFonts w:hint="cs"/>
                <w:b/>
                <w:szCs w:val="24"/>
                <w:rtl/>
              </w:rPr>
            </w:pPr>
            <w:r>
              <w:rPr>
                <w:rFonts w:hint="cs"/>
                <w:b/>
                <w:szCs w:val="24"/>
                <w:rtl/>
              </w:rPr>
              <w:t>90.4</w:t>
            </w:r>
            <w:r>
              <w:rPr>
                <w:rFonts w:cs="Mudir MT" w:hint="cs"/>
                <w:b/>
                <w:sz w:val="24"/>
                <w:szCs w:val="24"/>
                <w:rtl/>
                <w:lang w:eastAsia="en-US"/>
              </w:rPr>
              <w:t>%</w:t>
            </w:r>
          </w:p>
        </w:tc>
        <w:tc>
          <w:tcPr>
            <w:tcW w:w="900" w:type="dxa"/>
          </w:tcPr>
          <w:p w:rsidR="00443EC1" w:rsidRDefault="00443EC1">
            <w:pPr>
              <w:spacing w:before="0" w:after="0" w:line="240" w:lineRule="exact"/>
              <w:jc w:val="center"/>
              <w:rPr>
                <w:rFonts w:hint="cs"/>
                <w:b/>
                <w:szCs w:val="24"/>
                <w:rtl/>
              </w:rPr>
            </w:pPr>
            <w:r>
              <w:rPr>
                <w:rFonts w:hint="cs"/>
                <w:b/>
                <w:szCs w:val="24"/>
                <w:rtl/>
              </w:rPr>
              <w:t>92.4</w:t>
            </w:r>
            <w:r>
              <w:rPr>
                <w:rFonts w:cs="Mudir MT" w:hint="cs"/>
                <w:b/>
                <w:sz w:val="24"/>
                <w:szCs w:val="24"/>
                <w:rtl/>
                <w:lang w:eastAsia="en-US"/>
              </w:rPr>
              <w:t>%</w:t>
            </w:r>
          </w:p>
        </w:tc>
        <w:tc>
          <w:tcPr>
            <w:tcW w:w="900" w:type="dxa"/>
          </w:tcPr>
          <w:p w:rsidR="00443EC1" w:rsidRDefault="00443EC1">
            <w:pPr>
              <w:spacing w:before="0" w:after="0" w:line="240" w:lineRule="exact"/>
              <w:jc w:val="center"/>
              <w:rPr>
                <w:rFonts w:hint="cs"/>
                <w:b/>
                <w:szCs w:val="24"/>
                <w:rtl/>
              </w:rPr>
            </w:pPr>
            <w:r>
              <w:rPr>
                <w:rFonts w:hint="cs"/>
                <w:b/>
                <w:szCs w:val="24"/>
                <w:rtl/>
              </w:rPr>
              <w:t>92.7</w:t>
            </w:r>
            <w:r>
              <w:rPr>
                <w:rFonts w:cs="Mudir MT" w:hint="cs"/>
                <w:b/>
                <w:sz w:val="24"/>
                <w:szCs w:val="24"/>
                <w:rtl/>
                <w:lang w:eastAsia="en-US"/>
              </w:rPr>
              <w:t>%</w:t>
            </w:r>
          </w:p>
        </w:tc>
        <w:tc>
          <w:tcPr>
            <w:tcW w:w="1080" w:type="dxa"/>
          </w:tcPr>
          <w:p w:rsidR="00443EC1" w:rsidRDefault="00443EC1">
            <w:pPr>
              <w:spacing w:before="0" w:after="0" w:line="240" w:lineRule="exact"/>
              <w:jc w:val="center"/>
              <w:rPr>
                <w:rFonts w:hint="cs"/>
                <w:b/>
                <w:szCs w:val="24"/>
                <w:rtl/>
              </w:rPr>
            </w:pPr>
            <w:r>
              <w:rPr>
                <w:rFonts w:hint="cs"/>
                <w:b/>
                <w:szCs w:val="24"/>
                <w:rtl/>
              </w:rPr>
              <w:t>93.0</w:t>
            </w:r>
            <w:r>
              <w:rPr>
                <w:rFonts w:cs="Mudir MT" w:hint="cs"/>
                <w:b/>
                <w:sz w:val="24"/>
                <w:szCs w:val="24"/>
                <w:rtl/>
                <w:lang w:eastAsia="en-US"/>
              </w:rPr>
              <w:t>%</w:t>
            </w:r>
          </w:p>
        </w:tc>
      </w:tr>
    </w:tbl>
    <w:p w:rsidR="00000000" w:rsidRDefault="00443EC1">
      <w:pPr>
        <w:spacing w:before="0" w:after="120" w:line="300" w:lineRule="exact"/>
        <w:ind w:left="1973" w:right="2342"/>
        <w:jc w:val="both"/>
        <w:rPr>
          <w:rFonts w:hint="cs"/>
          <w:b/>
          <w:szCs w:val="24"/>
          <w:rtl/>
        </w:rPr>
      </w:pPr>
      <w:r>
        <w:rPr>
          <w:rFonts w:hint="cs"/>
          <w:b/>
          <w:szCs w:val="24"/>
          <w:rtl/>
        </w:rPr>
        <w:tab/>
        <w:t>*</w:t>
      </w:r>
      <w:r>
        <w:rPr>
          <w:rFonts w:hint="cs"/>
          <w:b/>
          <w:szCs w:val="24"/>
          <w:rtl/>
        </w:rPr>
        <w:tab/>
        <w:t>يشير معدل الإلمام بالقراءة والكتابة إلى نسبة الأشخا</w:t>
      </w:r>
      <w:r>
        <w:rPr>
          <w:rFonts w:hint="cs"/>
          <w:b/>
          <w:szCs w:val="24"/>
          <w:rtl/>
        </w:rPr>
        <w:t>ص في سن الخامسة عشرة وما فوق الذين بلغوا مستوى التعليم الابتدائي أو ما فوق. وقد أُخذت الأرقام عن الدراسة الاستقصائية العامة للأسر المعيشية.</w:t>
      </w:r>
    </w:p>
    <w:p w:rsidR="00000000" w:rsidRDefault="00443EC1">
      <w:pPr>
        <w:spacing w:before="0" w:after="120"/>
        <w:jc w:val="both"/>
        <w:rPr>
          <w:rFonts w:hint="cs"/>
          <w:b/>
          <w:bCs/>
          <w:rtl/>
        </w:rPr>
      </w:pPr>
      <w:r>
        <w:rPr>
          <w:rFonts w:hint="cs"/>
          <w:b/>
          <w:bCs/>
          <w:rtl/>
        </w:rPr>
        <w:t>النسبة المئوية للسكان (باستثناء البكم) في الخامسة من العمر وما فوق بحسب اللغة أو اللهجة المستعملة عادةً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6"/>
        <w:gridCol w:w="1080"/>
        <w:gridCol w:w="1080"/>
        <w:gridCol w:w="1080"/>
      </w:tblGrid>
      <w:tr w:rsidR="00443EC1" w:rsidTr="00443EC1">
        <w:tblPrEx>
          <w:tblCellMar>
            <w:top w:w="0" w:type="dxa"/>
            <w:bottom w:w="0" w:type="dxa"/>
          </w:tblCellMar>
        </w:tblPrEx>
        <w:trPr>
          <w:cantSplit/>
          <w:jc w:val="center"/>
        </w:trPr>
        <w:tc>
          <w:tcPr>
            <w:tcW w:w="2706" w:type="dxa"/>
            <w:vMerge w:val="restart"/>
          </w:tcPr>
          <w:p w:rsidR="00443EC1" w:rsidRDefault="00443EC1">
            <w:pPr>
              <w:spacing w:before="0" w:after="0" w:line="280" w:lineRule="exact"/>
              <w:jc w:val="both"/>
              <w:rPr>
                <w:rStyle w:val="FootnoteReference"/>
                <w:szCs w:val="24"/>
              </w:rPr>
            </w:pPr>
            <w:r>
              <w:rPr>
                <w:rFonts w:hint="cs"/>
                <w:szCs w:val="24"/>
                <w:rtl/>
              </w:rPr>
              <w:t>اللغة أو اللهجة المستعملة عادة</w:t>
            </w:r>
          </w:p>
        </w:tc>
        <w:tc>
          <w:tcPr>
            <w:tcW w:w="3240" w:type="dxa"/>
            <w:gridSpan w:val="3"/>
          </w:tcPr>
          <w:p w:rsidR="00443EC1" w:rsidRDefault="00443EC1">
            <w:pPr>
              <w:spacing w:before="0" w:after="0" w:line="280" w:lineRule="exact"/>
              <w:jc w:val="center"/>
              <w:rPr>
                <w:rStyle w:val="FootnoteReference"/>
                <w:rFonts w:hint="cs"/>
                <w:szCs w:val="24"/>
              </w:rPr>
            </w:pPr>
            <w:r>
              <w:rPr>
                <w:rFonts w:hint="cs"/>
                <w:szCs w:val="24"/>
                <w:rtl/>
              </w:rPr>
              <w:t>النسبة المئوية</w:t>
            </w:r>
          </w:p>
        </w:tc>
      </w:tr>
      <w:tr w:rsidR="00443EC1" w:rsidTr="00443EC1">
        <w:tblPrEx>
          <w:tblCellMar>
            <w:top w:w="0" w:type="dxa"/>
            <w:bottom w:w="0" w:type="dxa"/>
          </w:tblCellMar>
        </w:tblPrEx>
        <w:trPr>
          <w:cantSplit/>
          <w:trHeight w:val="282"/>
          <w:jc w:val="center"/>
        </w:trPr>
        <w:tc>
          <w:tcPr>
            <w:tcW w:w="2706" w:type="dxa"/>
            <w:vMerge/>
            <w:tcBorders>
              <w:bottom w:val="single" w:sz="4" w:space="0" w:color="auto"/>
            </w:tcBorders>
          </w:tcPr>
          <w:p w:rsidR="00443EC1" w:rsidRDefault="00443EC1">
            <w:pPr>
              <w:spacing w:before="0" w:after="0" w:line="280" w:lineRule="exact"/>
              <w:jc w:val="both"/>
              <w:rPr>
                <w:rStyle w:val="FootnoteReference"/>
                <w:rFonts w:hint="cs"/>
                <w:bCs w:val="0"/>
                <w:szCs w:val="24"/>
                <w:vertAlign w:val="baseline"/>
              </w:rPr>
            </w:pPr>
          </w:p>
        </w:tc>
        <w:tc>
          <w:tcPr>
            <w:tcW w:w="1080" w:type="dxa"/>
            <w:tcBorders>
              <w:bottom w:val="single" w:sz="4" w:space="0" w:color="auto"/>
            </w:tcBorders>
          </w:tcPr>
          <w:p w:rsidR="00443EC1" w:rsidRDefault="00443EC1">
            <w:pPr>
              <w:spacing w:before="0" w:after="0" w:line="280" w:lineRule="exact"/>
              <w:jc w:val="center"/>
              <w:rPr>
                <w:rStyle w:val="FootnoteReference"/>
                <w:rFonts w:hint="cs"/>
                <w:bCs w:val="0"/>
                <w:szCs w:val="24"/>
                <w:vertAlign w:val="baseline"/>
              </w:rPr>
            </w:pPr>
            <w:r>
              <w:rPr>
                <w:rFonts w:hint="cs"/>
                <w:szCs w:val="24"/>
                <w:rtl/>
              </w:rPr>
              <w:t>1991</w:t>
            </w:r>
          </w:p>
        </w:tc>
        <w:tc>
          <w:tcPr>
            <w:tcW w:w="1080" w:type="dxa"/>
            <w:tcBorders>
              <w:bottom w:val="single" w:sz="4" w:space="0" w:color="auto"/>
            </w:tcBorders>
          </w:tcPr>
          <w:p w:rsidR="00443EC1" w:rsidRDefault="00443EC1">
            <w:pPr>
              <w:spacing w:before="0" w:after="0" w:line="280" w:lineRule="exact"/>
              <w:jc w:val="center"/>
              <w:rPr>
                <w:rStyle w:val="FootnoteReference"/>
                <w:rFonts w:hint="cs"/>
                <w:bCs w:val="0"/>
                <w:szCs w:val="24"/>
                <w:vertAlign w:val="baseline"/>
                <w:rtl/>
              </w:rPr>
            </w:pPr>
            <w:r>
              <w:rPr>
                <w:rFonts w:hint="cs"/>
                <w:szCs w:val="24"/>
                <w:rtl/>
              </w:rPr>
              <w:t>1996</w:t>
            </w:r>
          </w:p>
        </w:tc>
        <w:tc>
          <w:tcPr>
            <w:tcW w:w="1080" w:type="dxa"/>
            <w:tcBorders>
              <w:bottom w:val="single" w:sz="4" w:space="0" w:color="auto"/>
            </w:tcBorders>
          </w:tcPr>
          <w:p w:rsidR="00443EC1" w:rsidRDefault="00443EC1">
            <w:pPr>
              <w:spacing w:before="0" w:after="0" w:line="280" w:lineRule="exact"/>
              <w:jc w:val="center"/>
              <w:rPr>
                <w:rStyle w:val="FootnoteReference"/>
                <w:rFonts w:hint="cs"/>
                <w:bCs w:val="0"/>
                <w:szCs w:val="24"/>
                <w:vertAlign w:val="baseline"/>
              </w:rPr>
            </w:pPr>
            <w:r>
              <w:rPr>
                <w:rFonts w:hint="cs"/>
                <w:szCs w:val="24"/>
                <w:rtl/>
              </w:rPr>
              <w:t>2001*</w:t>
            </w:r>
          </w:p>
        </w:tc>
      </w:tr>
      <w:tr w:rsidR="00443EC1" w:rsidTr="00443EC1">
        <w:tblPrEx>
          <w:tblCellMar>
            <w:top w:w="0" w:type="dxa"/>
            <w:bottom w:w="0" w:type="dxa"/>
          </w:tblCellMar>
        </w:tblPrEx>
        <w:trPr>
          <w:jc w:val="center"/>
        </w:trPr>
        <w:tc>
          <w:tcPr>
            <w:tcW w:w="2706" w:type="dxa"/>
            <w:tcBorders>
              <w:bottom w:val="nil"/>
            </w:tcBorders>
          </w:tcPr>
          <w:p w:rsidR="00443EC1" w:rsidRDefault="00443EC1">
            <w:pPr>
              <w:spacing w:before="0" w:after="0" w:line="280" w:lineRule="exact"/>
              <w:jc w:val="both"/>
              <w:rPr>
                <w:rStyle w:val="FootnoteReference"/>
                <w:rFonts w:hint="cs"/>
                <w:bCs w:val="0"/>
                <w:szCs w:val="24"/>
                <w:vertAlign w:val="baseline"/>
              </w:rPr>
            </w:pPr>
            <w:r>
              <w:rPr>
                <w:rFonts w:hint="cs"/>
                <w:szCs w:val="24"/>
                <w:rtl/>
              </w:rPr>
              <w:t>الكانتونية</w:t>
            </w:r>
          </w:p>
        </w:tc>
        <w:tc>
          <w:tcPr>
            <w:tcW w:w="1080" w:type="dxa"/>
            <w:tcBorders>
              <w:bottom w:val="nil"/>
            </w:tcBorders>
          </w:tcPr>
          <w:p w:rsidR="00443EC1" w:rsidRDefault="00443EC1">
            <w:pPr>
              <w:spacing w:before="0" w:after="0" w:line="280" w:lineRule="exact"/>
              <w:ind w:left="57" w:right="57"/>
              <w:jc w:val="center"/>
              <w:rPr>
                <w:rStyle w:val="FootnoteReference"/>
                <w:rFonts w:hint="cs"/>
                <w:bCs w:val="0"/>
                <w:szCs w:val="24"/>
                <w:vertAlign w:val="baseline"/>
              </w:rPr>
            </w:pPr>
            <w:r>
              <w:rPr>
                <w:rFonts w:hint="cs"/>
                <w:szCs w:val="24"/>
                <w:rtl/>
              </w:rPr>
              <w:t>88.7</w:t>
            </w:r>
          </w:p>
        </w:tc>
        <w:tc>
          <w:tcPr>
            <w:tcW w:w="1080" w:type="dxa"/>
            <w:tcBorders>
              <w:bottom w:val="nil"/>
            </w:tcBorders>
          </w:tcPr>
          <w:p w:rsidR="00443EC1" w:rsidRDefault="00443EC1">
            <w:pPr>
              <w:spacing w:before="0" w:after="0" w:line="280" w:lineRule="exact"/>
              <w:ind w:left="57" w:right="57"/>
              <w:jc w:val="center"/>
              <w:rPr>
                <w:rStyle w:val="FootnoteReference"/>
                <w:rFonts w:hint="cs"/>
                <w:bCs w:val="0"/>
                <w:szCs w:val="24"/>
                <w:vertAlign w:val="baseline"/>
              </w:rPr>
            </w:pPr>
            <w:r>
              <w:rPr>
                <w:rFonts w:hint="cs"/>
                <w:szCs w:val="24"/>
                <w:rtl/>
              </w:rPr>
              <w:t>88.7</w:t>
            </w:r>
          </w:p>
        </w:tc>
        <w:tc>
          <w:tcPr>
            <w:tcW w:w="1080" w:type="dxa"/>
            <w:tcBorders>
              <w:bottom w:val="nil"/>
            </w:tcBorders>
          </w:tcPr>
          <w:p w:rsidR="00443EC1" w:rsidRDefault="00443EC1">
            <w:pPr>
              <w:spacing w:before="0" w:after="0" w:line="280" w:lineRule="exact"/>
              <w:ind w:left="57" w:right="57"/>
              <w:jc w:val="center"/>
              <w:rPr>
                <w:rStyle w:val="FootnoteReference"/>
                <w:rFonts w:hint="cs"/>
                <w:bCs w:val="0"/>
                <w:szCs w:val="24"/>
                <w:vertAlign w:val="baseline"/>
              </w:rPr>
            </w:pPr>
            <w:r>
              <w:rPr>
                <w:rFonts w:hint="cs"/>
                <w:szCs w:val="24"/>
                <w:rtl/>
              </w:rPr>
              <w:t>89.2</w:t>
            </w:r>
          </w:p>
        </w:tc>
      </w:tr>
      <w:tr w:rsidR="00443EC1" w:rsidTr="00443EC1">
        <w:tblPrEx>
          <w:tblCellMar>
            <w:top w:w="0" w:type="dxa"/>
            <w:bottom w:w="0" w:type="dxa"/>
          </w:tblCellMar>
        </w:tblPrEx>
        <w:trPr>
          <w:jc w:val="center"/>
        </w:trPr>
        <w:tc>
          <w:tcPr>
            <w:tcW w:w="2706" w:type="dxa"/>
            <w:tcBorders>
              <w:top w:val="nil"/>
              <w:bottom w:val="nil"/>
            </w:tcBorders>
          </w:tcPr>
          <w:p w:rsidR="00443EC1" w:rsidRDefault="00443EC1">
            <w:pPr>
              <w:spacing w:before="0" w:after="0" w:line="280" w:lineRule="exact"/>
              <w:jc w:val="both"/>
              <w:rPr>
                <w:rFonts w:hint="cs"/>
                <w:szCs w:val="24"/>
                <w:rtl/>
              </w:rPr>
            </w:pPr>
            <w:r>
              <w:rPr>
                <w:rFonts w:hint="cs"/>
                <w:szCs w:val="24"/>
                <w:rtl/>
              </w:rPr>
              <w:t>بوتونغوا</w:t>
            </w:r>
          </w:p>
        </w:tc>
        <w:tc>
          <w:tcPr>
            <w:tcW w:w="1080" w:type="dxa"/>
            <w:tcBorders>
              <w:top w:val="nil"/>
              <w:bottom w:val="nil"/>
            </w:tcBorders>
          </w:tcPr>
          <w:p w:rsidR="00443EC1" w:rsidRDefault="00443EC1">
            <w:pPr>
              <w:spacing w:before="0" w:after="0" w:line="280" w:lineRule="exact"/>
              <w:ind w:left="57" w:right="57"/>
              <w:jc w:val="center"/>
              <w:rPr>
                <w:rStyle w:val="FootnoteReference"/>
                <w:rFonts w:hint="cs"/>
                <w:bCs w:val="0"/>
                <w:szCs w:val="24"/>
                <w:vertAlign w:val="baseline"/>
              </w:rPr>
            </w:pPr>
            <w:r>
              <w:rPr>
                <w:rFonts w:hint="cs"/>
                <w:szCs w:val="24"/>
                <w:rtl/>
              </w:rPr>
              <w:t>1.1</w:t>
            </w:r>
          </w:p>
        </w:tc>
        <w:tc>
          <w:tcPr>
            <w:tcW w:w="1080" w:type="dxa"/>
            <w:tcBorders>
              <w:top w:val="nil"/>
              <w:bottom w:val="nil"/>
            </w:tcBorders>
          </w:tcPr>
          <w:p w:rsidR="00443EC1" w:rsidRDefault="00443EC1">
            <w:pPr>
              <w:spacing w:before="0" w:after="0" w:line="280" w:lineRule="exact"/>
              <w:ind w:left="57" w:right="57"/>
              <w:jc w:val="center"/>
              <w:rPr>
                <w:rStyle w:val="FootnoteReference"/>
                <w:rFonts w:hint="cs"/>
                <w:bCs w:val="0"/>
                <w:szCs w:val="24"/>
                <w:vertAlign w:val="baseline"/>
              </w:rPr>
            </w:pPr>
            <w:r>
              <w:rPr>
                <w:rFonts w:hint="cs"/>
                <w:szCs w:val="24"/>
                <w:rtl/>
              </w:rPr>
              <w:t>1.1</w:t>
            </w:r>
          </w:p>
        </w:tc>
        <w:tc>
          <w:tcPr>
            <w:tcW w:w="1080" w:type="dxa"/>
            <w:tcBorders>
              <w:top w:val="nil"/>
              <w:bottom w:val="nil"/>
            </w:tcBorders>
          </w:tcPr>
          <w:p w:rsidR="00443EC1" w:rsidRDefault="00443EC1">
            <w:pPr>
              <w:spacing w:before="0" w:after="0" w:line="280" w:lineRule="exact"/>
              <w:ind w:left="57" w:right="57"/>
              <w:jc w:val="center"/>
              <w:rPr>
                <w:rStyle w:val="FootnoteReference"/>
                <w:rFonts w:hint="cs"/>
                <w:bCs w:val="0"/>
                <w:szCs w:val="24"/>
                <w:vertAlign w:val="baseline"/>
              </w:rPr>
            </w:pPr>
            <w:r>
              <w:rPr>
                <w:rFonts w:hint="cs"/>
                <w:szCs w:val="24"/>
                <w:rtl/>
              </w:rPr>
              <w:t>0.9</w:t>
            </w:r>
          </w:p>
        </w:tc>
      </w:tr>
      <w:tr w:rsidR="00443EC1" w:rsidTr="00443EC1">
        <w:tblPrEx>
          <w:tblCellMar>
            <w:top w:w="0" w:type="dxa"/>
            <w:bottom w:w="0" w:type="dxa"/>
          </w:tblCellMar>
        </w:tblPrEx>
        <w:trPr>
          <w:jc w:val="center"/>
        </w:trPr>
        <w:tc>
          <w:tcPr>
            <w:tcW w:w="2706" w:type="dxa"/>
            <w:tcBorders>
              <w:top w:val="nil"/>
              <w:bottom w:val="nil"/>
            </w:tcBorders>
          </w:tcPr>
          <w:p w:rsidR="00443EC1" w:rsidRDefault="00443EC1">
            <w:pPr>
              <w:spacing w:before="0" w:after="0" w:line="280" w:lineRule="exact"/>
              <w:jc w:val="both"/>
              <w:rPr>
                <w:rFonts w:hint="cs"/>
                <w:szCs w:val="24"/>
                <w:rtl/>
              </w:rPr>
            </w:pPr>
            <w:r>
              <w:rPr>
                <w:rFonts w:hint="cs"/>
                <w:szCs w:val="24"/>
                <w:rtl/>
              </w:rPr>
              <w:t>لهجات صينية أخرى</w:t>
            </w:r>
          </w:p>
        </w:tc>
        <w:tc>
          <w:tcPr>
            <w:tcW w:w="1080" w:type="dxa"/>
            <w:tcBorders>
              <w:top w:val="nil"/>
              <w:bottom w:val="nil"/>
            </w:tcBorders>
          </w:tcPr>
          <w:p w:rsidR="00443EC1" w:rsidRDefault="00443EC1">
            <w:pPr>
              <w:spacing w:before="0" w:after="0" w:line="280" w:lineRule="exact"/>
              <w:ind w:left="57" w:right="57"/>
              <w:jc w:val="center"/>
              <w:rPr>
                <w:rStyle w:val="FootnoteReference"/>
                <w:rFonts w:hint="cs"/>
                <w:bCs w:val="0"/>
                <w:szCs w:val="24"/>
                <w:vertAlign w:val="baseline"/>
              </w:rPr>
            </w:pPr>
            <w:r>
              <w:rPr>
                <w:rFonts w:hint="cs"/>
                <w:szCs w:val="24"/>
                <w:rtl/>
              </w:rPr>
              <w:t>7.1</w:t>
            </w:r>
          </w:p>
        </w:tc>
        <w:tc>
          <w:tcPr>
            <w:tcW w:w="1080" w:type="dxa"/>
            <w:tcBorders>
              <w:top w:val="nil"/>
              <w:bottom w:val="nil"/>
            </w:tcBorders>
          </w:tcPr>
          <w:p w:rsidR="00443EC1" w:rsidRDefault="00443EC1">
            <w:pPr>
              <w:spacing w:before="0" w:after="0" w:line="280" w:lineRule="exact"/>
              <w:ind w:left="57" w:right="57"/>
              <w:jc w:val="center"/>
              <w:rPr>
                <w:rStyle w:val="FootnoteReference"/>
                <w:rFonts w:hint="cs"/>
                <w:bCs w:val="0"/>
                <w:szCs w:val="24"/>
                <w:vertAlign w:val="baseline"/>
              </w:rPr>
            </w:pPr>
            <w:r>
              <w:rPr>
                <w:rFonts w:hint="cs"/>
                <w:szCs w:val="24"/>
                <w:rtl/>
              </w:rPr>
              <w:t>5.8</w:t>
            </w:r>
          </w:p>
        </w:tc>
        <w:tc>
          <w:tcPr>
            <w:tcW w:w="1080" w:type="dxa"/>
            <w:tcBorders>
              <w:top w:val="nil"/>
              <w:bottom w:val="nil"/>
            </w:tcBorders>
          </w:tcPr>
          <w:p w:rsidR="00443EC1" w:rsidRDefault="00443EC1">
            <w:pPr>
              <w:spacing w:before="0" w:after="0" w:line="280" w:lineRule="exact"/>
              <w:ind w:left="57" w:right="57"/>
              <w:jc w:val="center"/>
              <w:rPr>
                <w:rStyle w:val="FootnoteReference"/>
                <w:rFonts w:hint="cs"/>
                <w:bCs w:val="0"/>
                <w:szCs w:val="24"/>
                <w:vertAlign w:val="baseline"/>
              </w:rPr>
            </w:pPr>
            <w:r>
              <w:rPr>
                <w:rFonts w:hint="cs"/>
                <w:szCs w:val="24"/>
                <w:rtl/>
              </w:rPr>
              <w:t>5.5</w:t>
            </w:r>
          </w:p>
        </w:tc>
      </w:tr>
      <w:tr w:rsidR="00443EC1" w:rsidTr="00443EC1">
        <w:tblPrEx>
          <w:tblCellMar>
            <w:top w:w="0" w:type="dxa"/>
            <w:bottom w:w="0" w:type="dxa"/>
          </w:tblCellMar>
        </w:tblPrEx>
        <w:trPr>
          <w:jc w:val="center"/>
        </w:trPr>
        <w:tc>
          <w:tcPr>
            <w:tcW w:w="2706" w:type="dxa"/>
            <w:tcBorders>
              <w:top w:val="nil"/>
              <w:bottom w:val="nil"/>
            </w:tcBorders>
          </w:tcPr>
          <w:p w:rsidR="00443EC1" w:rsidRDefault="00443EC1">
            <w:pPr>
              <w:spacing w:before="0" w:after="0" w:line="280" w:lineRule="exact"/>
              <w:jc w:val="both"/>
              <w:rPr>
                <w:rFonts w:hint="cs"/>
                <w:szCs w:val="24"/>
                <w:rtl/>
              </w:rPr>
            </w:pPr>
            <w:r>
              <w:rPr>
                <w:rFonts w:hint="cs"/>
                <w:szCs w:val="24"/>
                <w:rtl/>
              </w:rPr>
              <w:t>الإنكليزية</w:t>
            </w:r>
          </w:p>
        </w:tc>
        <w:tc>
          <w:tcPr>
            <w:tcW w:w="1080" w:type="dxa"/>
            <w:tcBorders>
              <w:top w:val="nil"/>
              <w:bottom w:val="nil"/>
            </w:tcBorders>
          </w:tcPr>
          <w:p w:rsidR="00443EC1" w:rsidRDefault="00443EC1">
            <w:pPr>
              <w:spacing w:before="0" w:after="0" w:line="280" w:lineRule="exact"/>
              <w:ind w:left="57" w:right="57"/>
              <w:jc w:val="center"/>
              <w:rPr>
                <w:rStyle w:val="FootnoteReference"/>
                <w:rFonts w:hint="cs"/>
                <w:bCs w:val="0"/>
                <w:szCs w:val="24"/>
                <w:vertAlign w:val="baseline"/>
              </w:rPr>
            </w:pPr>
            <w:r>
              <w:rPr>
                <w:rFonts w:hint="cs"/>
                <w:szCs w:val="24"/>
                <w:rtl/>
              </w:rPr>
              <w:t>2.2</w:t>
            </w:r>
          </w:p>
        </w:tc>
        <w:tc>
          <w:tcPr>
            <w:tcW w:w="1080" w:type="dxa"/>
            <w:tcBorders>
              <w:top w:val="nil"/>
              <w:bottom w:val="nil"/>
            </w:tcBorders>
          </w:tcPr>
          <w:p w:rsidR="00443EC1" w:rsidRDefault="00443EC1">
            <w:pPr>
              <w:spacing w:before="0" w:after="0" w:line="280" w:lineRule="exact"/>
              <w:ind w:left="57" w:right="57"/>
              <w:jc w:val="center"/>
              <w:rPr>
                <w:rStyle w:val="FootnoteReference"/>
                <w:rFonts w:hint="cs"/>
                <w:bCs w:val="0"/>
                <w:szCs w:val="24"/>
                <w:vertAlign w:val="baseline"/>
              </w:rPr>
            </w:pPr>
            <w:r>
              <w:rPr>
                <w:rFonts w:hint="cs"/>
                <w:szCs w:val="24"/>
                <w:rtl/>
              </w:rPr>
              <w:t>3.1</w:t>
            </w:r>
          </w:p>
        </w:tc>
        <w:tc>
          <w:tcPr>
            <w:tcW w:w="1080" w:type="dxa"/>
            <w:tcBorders>
              <w:top w:val="nil"/>
              <w:bottom w:val="nil"/>
            </w:tcBorders>
          </w:tcPr>
          <w:p w:rsidR="00443EC1" w:rsidRDefault="00443EC1">
            <w:pPr>
              <w:spacing w:before="0" w:after="0" w:line="280" w:lineRule="exact"/>
              <w:ind w:left="57" w:right="57"/>
              <w:jc w:val="center"/>
              <w:rPr>
                <w:rStyle w:val="FootnoteReference"/>
                <w:rFonts w:hint="cs"/>
                <w:bCs w:val="0"/>
                <w:szCs w:val="24"/>
                <w:vertAlign w:val="baseline"/>
              </w:rPr>
            </w:pPr>
            <w:r>
              <w:rPr>
                <w:rFonts w:hint="cs"/>
                <w:szCs w:val="24"/>
                <w:rtl/>
              </w:rPr>
              <w:t>3.2</w:t>
            </w:r>
          </w:p>
        </w:tc>
      </w:tr>
      <w:tr w:rsidR="00443EC1" w:rsidTr="00443EC1">
        <w:tblPrEx>
          <w:tblCellMar>
            <w:top w:w="0" w:type="dxa"/>
            <w:bottom w:w="0" w:type="dxa"/>
          </w:tblCellMar>
        </w:tblPrEx>
        <w:trPr>
          <w:jc w:val="center"/>
        </w:trPr>
        <w:tc>
          <w:tcPr>
            <w:tcW w:w="2706" w:type="dxa"/>
            <w:tcBorders>
              <w:top w:val="nil"/>
              <w:bottom w:val="nil"/>
            </w:tcBorders>
          </w:tcPr>
          <w:p w:rsidR="00443EC1" w:rsidRDefault="00443EC1">
            <w:pPr>
              <w:spacing w:before="0" w:after="0" w:line="280" w:lineRule="exact"/>
              <w:jc w:val="both"/>
              <w:rPr>
                <w:rFonts w:hint="cs"/>
                <w:szCs w:val="24"/>
                <w:rtl/>
              </w:rPr>
            </w:pPr>
            <w:r>
              <w:rPr>
                <w:rFonts w:hint="cs"/>
                <w:szCs w:val="24"/>
                <w:rtl/>
              </w:rPr>
              <w:t>غيرها</w:t>
            </w:r>
          </w:p>
        </w:tc>
        <w:tc>
          <w:tcPr>
            <w:tcW w:w="1080" w:type="dxa"/>
            <w:tcBorders>
              <w:top w:val="nil"/>
            </w:tcBorders>
          </w:tcPr>
          <w:p w:rsidR="00443EC1" w:rsidRDefault="00443EC1">
            <w:pPr>
              <w:spacing w:before="0" w:after="0" w:line="280" w:lineRule="exact"/>
              <w:ind w:left="57" w:right="57"/>
              <w:jc w:val="center"/>
              <w:rPr>
                <w:rStyle w:val="FootnoteReference"/>
                <w:rFonts w:hint="cs"/>
                <w:bCs w:val="0"/>
                <w:szCs w:val="24"/>
                <w:vertAlign w:val="baseline"/>
              </w:rPr>
            </w:pPr>
            <w:r>
              <w:rPr>
                <w:rFonts w:hint="cs"/>
                <w:szCs w:val="24"/>
                <w:rtl/>
              </w:rPr>
              <w:t>1.0</w:t>
            </w:r>
          </w:p>
        </w:tc>
        <w:tc>
          <w:tcPr>
            <w:tcW w:w="1080" w:type="dxa"/>
            <w:tcBorders>
              <w:top w:val="nil"/>
            </w:tcBorders>
          </w:tcPr>
          <w:p w:rsidR="00443EC1" w:rsidRDefault="00443EC1">
            <w:pPr>
              <w:spacing w:before="0" w:after="0" w:line="280" w:lineRule="exact"/>
              <w:ind w:left="57" w:right="57"/>
              <w:jc w:val="center"/>
              <w:rPr>
                <w:rStyle w:val="FootnoteReference"/>
                <w:rFonts w:hint="cs"/>
                <w:bCs w:val="0"/>
                <w:szCs w:val="24"/>
                <w:vertAlign w:val="baseline"/>
              </w:rPr>
            </w:pPr>
            <w:r>
              <w:rPr>
                <w:rFonts w:hint="cs"/>
                <w:szCs w:val="24"/>
                <w:rtl/>
              </w:rPr>
              <w:t>1.3</w:t>
            </w:r>
          </w:p>
        </w:tc>
        <w:tc>
          <w:tcPr>
            <w:tcW w:w="1080" w:type="dxa"/>
            <w:tcBorders>
              <w:top w:val="nil"/>
            </w:tcBorders>
          </w:tcPr>
          <w:p w:rsidR="00443EC1" w:rsidRDefault="00443EC1">
            <w:pPr>
              <w:spacing w:before="0" w:after="0" w:line="280" w:lineRule="exact"/>
              <w:ind w:left="57" w:right="57"/>
              <w:jc w:val="center"/>
              <w:rPr>
                <w:rStyle w:val="FootnoteReference"/>
                <w:rFonts w:hint="cs"/>
                <w:bCs w:val="0"/>
                <w:szCs w:val="24"/>
                <w:vertAlign w:val="baseline"/>
              </w:rPr>
            </w:pPr>
            <w:r>
              <w:rPr>
                <w:rFonts w:hint="cs"/>
                <w:szCs w:val="24"/>
                <w:rtl/>
              </w:rPr>
              <w:t>1.2</w:t>
            </w:r>
          </w:p>
        </w:tc>
      </w:tr>
      <w:tr w:rsidR="00443EC1" w:rsidTr="00443EC1">
        <w:tblPrEx>
          <w:tblCellMar>
            <w:top w:w="0" w:type="dxa"/>
            <w:bottom w:w="0" w:type="dxa"/>
          </w:tblCellMar>
        </w:tblPrEx>
        <w:trPr>
          <w:trHeight w:val="223"/>
          <w:jc w:val="center"/>
        </w:trPr>
        <w:tc>
          <w:tcPr>
            <w:tcW w:w="2706" w:type="dxa"/>
            <w:tcBorders>
              <w:top w:val="nil"/>
            </w:tcBorders>
          </w:tcPr>
          <w:p w:rsidR="00443EC1" w:rsidRDefault="00443EC1">
            <w:pPr>
              <w:spacing w:before="0" w:after="0" w:line="280" w:lineRule="exact"/>
              <w:jc w:val="both"/>
              <w:rPr>
                <w:rFonts w:hint="cs"/>
                <w:szCs w:val="24"/>
                <w:rtl/>
              </w:rPr>
            </w:pPr>
          </w:p>
        </w:tc>
        <w:tc>
          <w:tcPr>
            <w:tcW w:w="1080" w:type="dxa"/>
          </w:tcPr>
          <w:p w:rsidR="00443EC1" w:rsidRDefault="00443EC1">
            <w:pPr>
              <w:spacing w:before="0" w:after="0" w:line="280" w:lineRule="exact"/>
              <w:ind w:left="57" w:right="57"/>
              <w:jc w:val="center"/>
              <w:rPr>
                <w:rStyle w:val="FootnoteReference"/>
                <w:rFonts w:hint="cs"/>
                <w:bCs w:val="0"/>
                <w:szCs w:val="24"/>
                <w:vertAlign w:val="baseline"/>
              </w:rPr>
            </w:pPr>
            <w:r>
              <w:rPr>
                <w:rFonts w:hint="cs"/>
                <w:szCs w:val="24"/>
                <w:rtl/>
              </w:rPr>
              <w:t>100.0</w:t>
            </w:r>
          </w:p>
        </w:tc>
        <w:tc>
          <w:tcPr>
            <w:tcW w:w="1080" w:type="dxa"/>
          </w:tcPr>
          <w:p w:rsidR="00443EC1" w:rsidRDefault="00443EC1">
            <w:pPr>
              <w:spacing w:before="0" w:after="0" w:line="280" w:lineRule="exact"/>
              <w:ind w:left="57" w:right="57"/>
              <w:jc w:val="center"/>
              <w:rPr>
                <w:rStyle w:val="FootnoteReference"/>
                <w:rFonts w:hint="cs"/>
                <w:bCs w:val="0"/>
                <w:szCs w:val="24"/>
                <w:vertAlign w:val="baseline"/>
              </w:rPr>
            </w:pPr>
            <w:r>
              <w:rPr>
                <w:rFonts w:hint="cs"/>
                <w:szCs w:val="24"/>
                <w:rtl/>
              </w:rPr>
              <w:t>100.0</w:t>
            </w:r>
          </w:p>
        </w:tc>
        <w:tc>
          <w:tcPr>
            <w:tcW w:w="1080" w:type="dxa"/>
          </w:tcPr>
          <w:p w:rsidR="00443EC1" w:rsidRDefault="00443EC1">
            <w:pPr>
              <w:spacing w:before="0" w:after="0" w:line="280" w:lineRule="exact"/>
              <w:ind w:left="57" w:right="57"/>
              <w:jc w:val="center"/>
              <w:rPr>
                <w:rStyle w:val="FootnoteReference"/>
                <w:rFonts w:hint="cs"/>
                <w:bCs w:val="0"/>
                <w:szCs w:val="24"/>
                <w:vertAlign w:val="baseline"/>
              </w:rPr>
            </w:pPr>
            <w:r>
              <w:rPr>
                <w:rFonts w:hint="cs"/>
                <w:szCs w:val="24"/>
                <w:rtl/>
              </w:rPr>
              <w:t>100.0</w:t>
            </w:r>
          </w:p>
        </w:tc>
      </w:tr>
    </w:tbl>
    <w:p w:rsidR="00000000" w:rsidRDefault="00443EC1">
      <w:pPr>
        <w:spacing w:before="0" w:after="120" w:line="360" w:lineRule="exact"/>
        <w:ind w:left="1435" w:hanging="1435"/>
        <w:jc w:val="both"/>
        <w:rPr>
          <w:rFonts w:hint="cs"/>
          <w:szCs w:val="24"/>
          <w:rtl/>
        </w:rPr>
      </w:pPr>
      <w:r>
        <w:rPr>
          <w:rFonts w:hint="cs"/>
          <w:szCs w:val="24"/>
          <w:rtl/>
        </w:rPr>
        <w:tab/>
      </w:r>
      <w:r>
        <w:rPr>
          <w:rFonts w:hint="cs"/>
          <w:szCs w:val="24"/>
          <w:rtl/>
        </w:rPr>
        <w:tab/>
      </w:r>
      <w:r>
        <w:rPr>
          <w:rFonts w:hint="cs"/>
          <w:szCs w:val="24"/>
          <w:rtl/>
        </w:rPr>
        <w:tab/>
        <w:t>*</w:t>
      </w:r>
      <w:r>
        <w:rPr>
          <w:rFonts w:hint="cs"/>
          <w:szCs w:val="24"/>
          <w:rtl/>
        </w:rPr>
        <w:tab/>
        <w:t>الأرقام عن عام 2002 غير متوفرة.</w:t>
      </w:r>
    </w:p>
    <w:p w:rsidR="00000000" w:rsidRDefault="00443EC1">
      <w:pPr>
        <w:jc w:val="both"/>
        <w:rPr>
          <w:rFonts w:hint="cs"/>
          <w:b/>
          <w:bCs/>
          <w:rtl/>
        </w:rPr>
      </w:pPr>
      <w:r>
        <w:rPr>
          <w:rFonts w:hint="cs"/>
          <w:b/>
          <w:bCs/>
          <w:rtl/>
        </w:rPr>
        <w:t>المعدلات الإجمالية للولا</w:t>
      </w:r>
      <w:r>
        <w:rPr>
          <w:rFonts w:hint="cs"/>
          <w:b/>
          <w:bCs/>
          <w:rtl/>
        </w:rPr>
        <w:t>دات والوفيات</w:t>
      </w:r>
    </w:p>
    <w:tbl>
      <w:tblPr>
        <w:bidiVisual/>
        <w:tblW w:w="0" w:type="auto"/>
        <w:jc w:val="center"/>
        <w:tblInd w:w="2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53"/>
        <w:gridCol w:w="684"/>
        <w:gridCol w:w="791"/>
        <w:gridCol w:w="791"/>
        <w:gridCol w:w="791"/>
        <w:gridCol w:w="788"/>
        <w:gridCol w:w="684"/>
        <w:gridCol w:w="817"/>
      </w:tblGrid>
      <w:tr w:rsidR="00443EC1" w:rsidTr="00443EC1">
        <w:tblPrEx>
          <w:tblCellMar>
            <w:top w:w="0" w:type="dxa"/>
            <w:bottom w:w="0" w:type="dxa"/>
          </w:tblCellMar>
        </w:tblPrEx>
        <w:trPr>
          <w:jc w:val="center"/>
        </w:trPr>
        <w:tc>
          <w:tcPr>
            <w:tcW w:w="3553" w:type="dxa"/>
            <w:tcBorders>
              <w:bottom w:val="single" w:sz="4" w:space="0" w:color="auto"/>
            </w:tcBorders>
          </w:tcPr>
          <w:p w:rsidR="00443EC1" w:rsidRDefault="00443EC1">
            <w:pPr>
              <w:spacing w:before="0" w:after="0" w:line="280" w:lineRule="exact"/>
              <w:jc w:val="both"/>
              <w:rPr>
                <w:rStyle w:val="FootnoteReference"/>
                <w:rFonts w:hint="cs"/>
                <w:bCs w:val="0"/>
                <w:szCs w:val="24"/>
                <w:vertAlign w:val="baseline"/>
              </w:rPr>
            </w:pPr>
          </w:p>
        </w:tc>
        <w:tc>
          <w:tcPr>
            <w:tcW w:w="684" w:type="dxa"/>
            <w:tcBorders>
              <w:bottom w:val="single" w:sz="4" w:space="0" w:color="auto"/>
            </w:tcBorders>
          </w:tcPr>
          <w:p w:rsidR="00443EC1" w:rsidRDefault="00443EC1">
            <w:pPr>
              <w:spacing w:before="0" w:after="0" w:line="280" w:lineRule="exact"/>
              <w:jc w:val="center"/>
              <w:rPr>
                <w:rStyle w:val="FootnoteReference"/>
                <w:rFonts w:hint="cs"/>
                <w:bCs w:val="0"/>
                <w:szCs w:val="24"/>
                <w:vertAlign w:val="baseline"/>
              </w:rPr>
            </w:pPr>
            <w:r>
              <w:rPr>
                <w:rFonts w:hint="cs"/>
                <w:szCs w:val="24"/>
                <w:rtl/>
              </w:rPr>
              <w:t>1987</w:t>
            </w:r>
          </w:p>
        </w:tc>
        <w:tc>
          <w:tcPr>
            <w:tcW w:w="791" w:type="dxa"/>
            <w:tcBorders>
              <w:bottom w:val="single" w:sz="4" w:space="0" w:color="auto"/>
            </w:tcBorders>
          </w:tcPr>
          <w:p w:rsidR="00443EC1" w:rsidRDefault="00443EC1">
            <w:pPr>
              <w:spacing w:before="0" w:after="0" w:line="280" w:lineRule="exact"/>
              <w:jc w:val="center"/>
              <w:rPr>
                <w:rStyle w:val="FootnoteReference"/>
                <w:rFonts w:hint="cs"/>
                <w:bCs w:val="0"/>
                <w:szCs w:val="24"/>
                <w:vertAlign w:val="baseline"/>
              </w:rPr>
            </w:pPr>
            <w:r>
              <w:rPr>
                <w:rFonts w:hint="cs"/>
                <w:szCs w:val="24"/>
                <w:rtl/>
              </w:rPr>
              <w:t>1992</w:t>
            </w:r>
          </w:p>
        </w:tc>
        <w:tc>
          <w:tcPr>
            <w:tcW w:w="791" w:type="dxa"/>
            <w:tcBorders>
              <w:bottom w:val="single" w:sz="4" w:space="0" w:color="auto"/>
            </w:tcBorders>
          </w:tcPr>
          <w:p w:rsidR="00443EC1" w:rsidRDefault="00443EC1">
            <w:pPr>
              <w:spacing w:before="0" w:after="0" w:line="280" w:lineRule="exact"/>
              <w:jc w:val="center"/>
              <w:rPr>
                <w:rStyle w:val="FootnoteReference"/>
                <w:rFonts w:hint="cs"/>
                <w:bCs w:val="0"/>
                <w:szCs w:val="24"/>
                <w:vertAlign w:val="baseline"/>
              </w:rPr>
            </w:pPr>
            <w:r>
              <w:rPr>
                <w:rFonts w:hint="cs"/>
                <w:szCs w:val="24"/>
                <w:rtl/>
              </w:rPr>
              <w:t>1998</w:t>
            </w:r>
          </w:p>
        </w:tc>
        <w:tc>
          <w:tcPr>
            <w:tcW w:w="791" w:type="dxa"/>
            <w:tcBorders>
              <w:bottom w:val="single" w:sz="4" w:space="0" w:color="auto"/>
            </w:tcBorders>
          </w:tcPr>
          <w:p w:rsidR="00443EC1" w:rsidRDefault="00443EC1">
            <w:pPr>
              <w:spacing w:before="0" w:after="0" w:line="280" w:lineRule="exact"/>
              <w:jc w:val="center"/>
              <w:rPr>
                <w:rStyle w:val="FootnoteReference"/>
                <w:rFonts w:hint="cs"/>
                <w:bCs w:val="0"/>
                <w:szCs w:val="24"/>
                <w:vertAlign w:val="baseline"/>
              </w:rPr>
            </w:pPr>
            <w:r>
              <w:rPr>
                <w:rFonts w:hint="cs"/>
                <w:szCs w:val="24"/>
                <w:rtl/>
              </w:rPr>
              <w:t>1999</w:t>
            </w:r>
          </w:p>
        </w:tc>
        <w:tc>
          <w:tcPr>
            <w:tcW w:w="788" w:type="dxa"/>
            <w:tcBorders>
              <w:bottom w:val="single" w:sz="4" w:space="0" w:color="auto"/>
            </w:tcBorders>
          </w:tcPr>
          <w:p w:rsidR="00443EC1" w:rsidRDefault="00443EC1">
            <w:pPr>
              <w:spacing w:before="0" w:after="0" w:line="280" w:lineRule="exact"/>
              <w:jc w:val="center"/>
              <w:rPr>
                <w:rStyle w:val="FootnoteReference"/>
                <w:rFonts w:hint="cs"/>
                <w:bCs w:val="0"/>
                <w:szCs w:val="24"/>
                <w:vertAlign w:val="baseline"/>
              </w:rPr>
            </w:pPr>
            <w:r>
              <w:rPr>
                <w:rFonts w:hint="cs"/>
                <w:szCs w:val="24"/>
                <w:rtl/>
              </w:rPr>
              <w:t>2000</w:t>
            </w:r>
          </w:p>
        </w:tc>
        <w:tc>
          <w:tcPr>
            <w:tcW w:w="684" w:type="dxa"/>
            <w:tcBorders>
              <w:bottom w:val="single" w:sz="4" w:space="0" w:color="auto"/>
            </w:tcBorders>
          </w:tcPr>
          <w:p w:rsidR="00443EC1" w:rsidRDefault="00443EC1">
            <w:pPr>
              <w:spacing w:before="0" w:after="0" w:line="280" w:lineRule="exact"/>
              <w:jc w:val="center"/>
              <w:rPr>
                <w:rStyle w:val="FootnoteReference"/>
                <w:rFonts w:hint="cs"/>
                <w:bCs w:val="0"/>
                <w:szCs w:val="24"/>
                <w:vertAlign w:val="baseline"/>
              </w:rPr>
            </w:pPr>
            <w:r>
              <w:rPr>
                <w:rFonts w:hint="cs"/>
                <w:szCs w:val="24"/>
                <w:rtl/>
              </w:rPr>
              <w:t>2001</w:t>
            </w:r>
          </w:p>
        </w:tc>
        <w:tc>
          <w:tcPr>
            <w:tcW w:w="817" w:type="dxa"/>
            <w:tcBorders>
              <w:bottom w:val="single" w:sz="4" w:space="0" w:color="auto"/>
            </w:tcBorders>
          </w:tcPr>
          <w:p w:rsidR="00443EC1" w:rsidRDefault="00443EC1">
            <w:pPr>
              <w:spacing w:before="0" w:after="0" w:line="280" w:lineRule="exact"/>
              <w:jc w:val="center"/>
              <w:rPr>
                <w:rStyle w:val="FootnoteReference"/>
                <w:rFonts w:hint="cs"/>
                <w:bCs w:val="0"/>
                <w:szCs w:val="24"/>
                <w:vertAlign w:val="baseline"/>
              </w:rPr>
            </w:pPr>
            <w:r>
              <w:rPr>
                <w:rFonts w:hint="cs"/>
                <w:szCs w:val="24"/>
                <w:rtl/>
              </w:rPr>
              <w:t>2002*</w:t>
            </w:r>
          </w:p>
        </w:tc>
      </w:tr>
      <w:tr w:rsidR="00443EC1" w:rsidTr="00443EC1">
        <w:tblPrEx>
          <w:tblCellMar>
            <w:top w:w="0" w:type="dxa"/>
            <w:bottom w:w="0" w:type="dxa"/>
          </w:tblCellMar>
        </w:tblPrEx>
        <w:trPr>
          <w:jc w:val="center"/>
        </w:trPr>
        <w:tc>
          <w:tcPr>
            <w:tcW w:w="3553" w:type="dxa"/>
            <w:tcBorders>
              <w:bottom w:val="nil"/>
            </w:tcBorders>
          </w:tcPr>
          <w:p w:rsidR="00443EC1" w:rsidRDefault="00443EC1">
            <w:pPr>
              <w:spacing w:before="0" w:after="0" w:line="280" w:lineRule="exact"/>
              <w:jc w:val="both"/>
              <w:rPr>
                <w:rStyle w:val="FootnoteReference"/>
                <w:rFonts w:hint="cs"/>
                <w:bCs w:val="0"/>
                <w:spacing w:val="0"/>
                <w:szCs w:val="24"/>
                <w:vertAlign w:val="baseline"/>
              </w:rPr>
            </w:pPr>
            <w:r>
              <w:rPr>
                <w:rFonts w:hint="cs"/>
                <w:spacing w:val="0"/>
                <w:szCs w:val="24"/>
                <w:rtl/>
              </w:rPr>
              <w:t>المعدلات الإجمالية للولادات   (لكل 000 1 نسمة)</w:t>
            </w:r>
          </w:p>
        </w:tc>
        <w:tc>
          <w:tcPr>
            <w:tcW w:w="684" w:type="dxa"/>
            <w:tcBorders>
              <w:bottom w:val="nil"/>
            </w:tcBorders>
          </w:tcPr>
          <w:p w:rsidR="00443EC1" w:rsidRDefault="00443EC1">
            <w:pPr>
              <w:spacing w:before="0" w:after="0" w:line="280" w:lineRule="exact"/>
              <w:jc w:val="center"/>
              <w:rPr>
                <w:rStyle w:val="FootnoteReference"/>
                <w:rFonts w:hint="cs"/>
                <w:bCs w:val="0"/>
                <w:szCs w:val="24"/>
                <w:vertAlign w:val="baseline"/>
              </w:rPr>
            </w:pPr>
            <w:r>
              <w:rPr>
                <w:rFonts w:hint="cs"/>
                <w:szCs w:val="24"/>
                <w:rtl/>
              </w:rPr>
              <w:t>12.6</w:t>
            </w:r>
          </w:p>
        </w:tc>
        <w:tc>
          <w:tcPr>
            <w:tcW w:w="791" w:type="dxa"/>
            <w:tcBorders>
              <w:bottom w:val="nil"/>
            </w:tcBorders>
          </w:tcPr>
          <w:p w:rsidR="00443EC1" w:rsidRDefault="00443EC1">
            <w:pPr>
              <w:spacing w:before="0" w:after="0" w:line="280" w:lineRule="exact"/>
              <w:jc w:val="center"/>
              <w:rPr>
                <w:rStyle w:val="FootnoteReference"/>
                <w:rFonts w:hint="cs"/>
                <w:bCs w:val="0"/>
                <w:szCs w:val="24"/>
                <w:vertAlign w:val="baseline"/>
              </w:rPr>
            </w:pPr>
            <w:r>
              <w:rPr>
                <w:rFonts w:hint="cs"/>
                <w:szCs w:val="24"/>
                <w:rtl/>
              </w:rPr>
              <w:t>12.3</w:t>
            </w:r>
          </w:p>
        </w:tc>
        <w:tc>
          <w:tcPr>
            <w:tcW w:w="791" w:type="dxa"/>
            <w:tcBorders>
              <w:bottom w:val="nil"/>
            </w:tcBorders>
          </w:tcPr>
          <w:p w:rsidR="00443EC1" w:rsidRDefault="00443EC1">
            <w:pPr>
              <w:spacing w:before="0" w:after="0" w:line="280" w:lineRule="exact"/>
              <w:jc w:val="center"/>
              <w:rPr>
                <w:rStyle w:val="FootnoteReference"/>
                <w:rFonts w:hint="cs"/>
                <w:bCs w:val="0"/>
                <w:szCs w:val="24"/>
                <w:vertAlign w:val="baseline"/>
              </w:rPr>
            </w:pPr>
            <w:r>
              <w:rPr>
                <w:rFonts w:hint="cs"/>
                <w:szCs w:val="24"/>
                <w:rtl/>
              </w:rPr>
              <w:t>8.1</w:t>
            </w:r>
          </w:p>
        </w:tc>
        <w:tc>
          <w:tcPr>
            <w:tcW w:w="791" w:type="dxa"/>
            <w:tcBorders>
              <w:bottom w:val="nil"/>
            </w:tcBorders>
          </w:tcPr>
          <w:p w:rsidR="00443EC1" w:rsidRDefault="00443EC1">
            <w:pPr>
              <w:spacing w:before="0" w:after="0" w:line="280" w:lineRule="exact"/>
              <w:jc w:val="center"/>
              <w:rPr>
                <w:rStyle w:val="FootnoteReference"/>
                <w:rFonts w:hint="cs"/>
                <w:bCs w:val="0"/>
                <w:szCs w:val="24"/>
                <w:vertAlign w:val="baseline"/>
              </w:rPr>
            </w:pPr>
            <w:r>
              <w:rPr>
                <w:rFonts w:hint="cs"/>
                <w:szCs w:val="24"/>
                <w:rtl/>
              </w:rPr>
              <w:t>7.8</w:t>
            </w:r>
          </w:p>
        </w:tc>
        <w:tc>
          <w:tcPr>
            <w:tcW w:w="788" w:type="dxa"/>
            <w:tcBorders>
              <w:bottom w:val="nil"/>
            </w:tcBorders>
          </w:tcPr>
          <w:p w:rsidR="00443EC1" w:rsidRDefault="00443EC1">
            <w:pPr>
              <w:spacing w:before="0" w:after="0" w:line="280" w:lineRule="exact"/>
              <w:jc w:val="center"/>
              <w:rPr>
                <w:rStyle w:val="FootnoteReference"/>
                <w:rFonts w:hint="cs"/>
                <w:bCs w:val="0"/>
                <w:szCs w:val="24"/>
                <w:vertAlign w:val="baseline"/>
              </w:rPr>
            </w:pPr>
            <w:r>
              <w:rPr>
                <w:rFonts w:hint="cs"/>
                <w:szCs w:val="24"/>
                <w:rtl/>
              </w:rPr>
              <w:t>8.1</w:t>
            </w:r>
          </w:p>
        </w:tc>
        <w:tc>
          <w:tcPr>
            <w:tcW w:w="684" w:type="dxa"/>
            <w:tcBorders>
              <w:bottom w:val="nil"/>
            </w:tcBorders>
          </w:tcPr>
          <w:p w:rsidR="00443EC1" w:rsidRDefault="00443EC1">
            <w:pPr>
              <w:spacing w:before="0" w:after="0" w:line="280" w:lineRule="exact"/>
              <w:jc w:val="center"/>
              <w:rPr>
                <w:rStyle w:val="FootnoteReference"/>
                <w:rFonts w:hint="cs"/>
                <w:bCs w:val="0"/>
                <w:szCs w:val="24"/>
                <w:vertAlign w:val="baseline"/>
              </w:rPr>
            </w:pPr>
            <w:r>
              <w:rPr>
                <w:rFonts w:hint="cs"/>
                <w:szCs w:val="24"/>
                <w:rtl/>
              </w:rPr>
              <w:t>7.2</w:t>
            </w:r>
          </w:p>
        </w:tc>
        <w:tc>
          <w:tcPr>
            <w:tcW w:w="817" w:type="dxa"/>
            <w:tcBorders>
              <w:bottom w:val="nil"/>
            </w:tcBorders>
          </w:tcPr>
          <w:p w:rsidR="00443EC1" w:rsidRDefault="00443EC1">
            <w:pPr>
              <w:spacing w:before="0" w:after="0" w:line="280" w:lineRule="exact"/>
              <w:jc w:val="center"/>
              <w:rPr>
                <w:rStyle w:val="FootnoteReference"/>
                <w:rFonts w:hint="cs"/>
                <w:bCs w:val="0"/>
                <w:szCs w:val="24"/>
                <w:vertAlign w:val="baseline"/>
              </w:rPr>
            </w:pPr>
            <w:r>
              <w:rPr>
                <w:rFonts w:hint="cs"/>
                <w:szCs w:val="24"/>
                <w:rtl/>
              </w:rPr>
              <w:t>7.1</w:t>
            </w:r>
          </w:p>
        </w:tc>
      </w:tr>
      <w:tr w:rsidR="00443EC1" w:rsidTr="00443EC1">
        <w:tblPrEx>
          <w:tblCellMar>
            <w:top w:w="0" w:type="dxa"/>
            <w:bottom w:w="0" w:type="dxa"/>
          </w:tblCellMar>
        </w:tblPrEx>
        <w:trPr>
          <w:trHeight w:val="366"/>
          <w:jc w:val="center"/>
        </w:trPr>
        <w:tc>
          <w:tcPr>
            <w:tcW w:w="3553" w:type="dxa"/>
            <w:tcBorders>
              <w:top w:val="nil"/>
            </w:tcBorders>
          </w:tcPr>
          <w:p w:rsidR="00443EC1" w:rsidRDefault="00443EC1">
            <w:pPr>
              <w:spacing w:before="0" w:after="0" w:line="280" w:lineRule="exact"/>
              <w:jc w:val="both"/>
              <w:rPr>
                <w:rFonts w:hint="cs"/>
                <w:spacing w:val="0"/>
                <w:szCs w:val="24"/>
                <w:rtl/>
              </w:rPr>
            </w:pPr>
            <w:r>
              <w:rPr>
                <w:rFonts w:hint="cs"/>
                <w:spacing w:val="0"/>
                <w:szCs w:val="24"/>
                <w:rtl/>
              </w:rPr>
              <w:t>المعدلات الإجمالية للوفيات (لكل 000 1 نسمة)</w:t>
            </w:r>
          </w:p>
        </w:tc>
        <w:tc>
          <w:tcPr>
            <w:tcW w:w="684" w:type="dxa"/>
            <w:tcBorders>
              <w:top w:val="nil"/>
            </w:tcBorders>
          </w:tcPr>
          <w:p w:rsidR="00443EC1" w:rsidRDefault="00443EC1">
            <w:pPr>
              <w:spacing w:before="0" w:after="0" w:line="280" w:lineRule="exact"/>
              <w:jc w:val="center"/>
              <w:rPr>
                <w:rStyle w:val="FootnoteReference"/>
                <w:rFonts w:hint="cs"/>
                <w:bCs w:val="0"/>
                <w:szCs w:val="24"/>
                <w:vertAlign w:val="baseline"/>
              </w:rPr>
            </w:pPr>
            <w:r>
              <w:rPr>
                <w:rFonts w:hint="cs"/>
                <w:szCs w:val="24"/>
                <w:rtl/>
              </w:rPr>
              <w:t>4.8</w:t>
            </w:r>
          </w:p>
        </w:tc>
        <w:tc>
          <w:tcPr>
            <w:tcW w:w="791" w:type="dxa"/>
            <w:tcBorders>
              <w:top w:val="nil"/>
            </w:tcBorders>
          </w:tcPr>
          <w:p w:rsidR="00443EC1" w:rsidRDefault="00443EC1">
            <w:pPr>
              <w:spacing w:before="0" w:after="0" w:line="280" w:lineRule="exact"/>
              <w:jc w:val="center"/>
              <w:rPr>
                <w:rStyle w:val="FootnoteReference"/>
                <w:rFonts w:hint="cs"/>
                <w:bCs w:val="0"/>
                <w:szCs w:val="24"/>
                <w:vertAlign w:val="baseline"/>
              </w:rPr>
            </w:pPr>
            <w:r>
              <w:rPr>
                <w:rFonts w:hint="cs"/>
                <w:szCs w:val="24"/>
                <w:rtl/>
              </w:rPr>
              <w:t>5.3</w:t>
            </w:r>
          </w:p>
        </w:tc>
        <w:tc>
          <w:tcPr>
            <w:tcW w:w="791" w:type="dxa"/>
            <w:tcBorders>
              <w:top w:val="nil"/>
            </w:tcBorders>
          </w:tcPr>
          <w:p w:rsidR="00443EC1" w:rsidRDefault="00443EC1">
            <w:pPr>
              <w:spacing w:before="0" w:after="0" w:line="280" w:lineRule="exact"/>
              <w:jc w:val="center"/>
              <w:rPr>
                <w:rStyle w:val="FootnoteReference"/>
                <w:rFonts w:hint="cs"/>
                <w:bCs w:val="0"/>
                <w:szCs w:val="24"/>
                <w:vertAlign w:val="baseline"/>
              </w:rPr>
            </w:pPr>
            <w:r>
              <w:rPr>
                <w:rFonts w:hint="cs"/>
                <w:szCs w:val="24"/>
                <w:rtl/>
              </w:rPr>
              <w:t>5.0</w:t>
            </w:r>
          </w:p>
        </w:tc>
        <w:tc>
          <w:tcPr>
            <w:tcW w:w="791" w:type="dxa"/>
            <w:tcBorders>
              <w:top w:val="nil"/>
            </w:tcBorders>
          </w:tcPr>
          <w:p w:rsidR="00443EC1" w:rsidRDefault="00443EC1">
            <w:pPr>
              <w:spacing w:before="0" w:after="0" w:line="280" w:lineRule="exact"/>
              <w:jc w:val="center"/>
              <w:rPr>
                <w:rStyle w:val="FootnoteReference"/>
                <w:rFonts w:hint="cs"/>
                <w:bCs w:val="0"/>
                <w:szCs w:val="24"/>
                <w:vertAlign w:val="baseline"/>
              </w:rPr>
            </w:pPr>
            <w:r>
              <w:rPr>
                <w:rFonts w:hint="cs"/>
                <w:szCs w:val="24"/>
                <w:rtl/>
              </w:rPr>
              <w:t>5.0</w:t>
            </w:r>
          </w:p>
        </w:tc>
        <w:tc>
          <w:tcPr>
            <w:tcW w:w="788" w:type="dxa"/>
            <w:tcBorders>
              <w:top w:val="nil"/>
            </w:tcBorders>
          </w:tcPr>
          <w:p w:rsidR="00443EC1" w:rsidRDefault="00443EC1">
            <w:pPr>
              <w:spacing w:before="0" w:after="0" w:line="280" w:lineRule="exact"/>
              <w:jc w:val="center"/>
              <w:rPr>
                <w:rStyle w:val="FootnoteReference"/>
                <w:rFonts w:hint="cs"/>
                <w:bCs w:val="0"/>
                <w:szCs w:val="24"/>
                <w:vertAlign w:val="baseline"/>
              </w:rPr>
            </w:pPr>
            <w:r>
              <w:rPr>
                <w:rFonts w:hint="cs"/>
                <w:szCs w:val="24"/>
                <w:rtl/>
              </w:rPr>
              <w:t>5.1</w:t>
            </w:r>
          </w:p>
        </w:tc>
        <w:tc>
          <w:tcPr>
            <w:tcW w:w="684" w:type="dxa"/>
            <w:tcBorders>
              <w:top w:val="nil"/>
            </w:tcBorders>
          </w:tcPr>
          <w:p w:rsidR="00443EC1" w:rsidRDefault="00443EC1">
            <w:pPr>
              <w:spacing w:before="0" w:after="0" w:line="280" w:lineRule="exact"/>
              <w:jc w:val="center"/>
              <w:rPr>
                <w:rStyle w:val="FootnoteReference"/>
                <w:rFonts w:hint="cs"/>
                <w:bCs w:val="0"/>
                <w:szCs w:val="24"/>
                <w:vertAlign w:val="baseline"/>
              </w:rPr>
            </w:pPr>
            <w:r>
              <w:rPr>
                <w:rFonts w:hint="cs"/>
                <w:szCs w:val="24"/>
                <w:rtl/>
              </w:rPr>
              <w:t>5.0</w:t>
            </w:r>
          </w:p>
        </w:tc>
        <w:tc>
          <w:tcPr>
            <w:tcW w:w="817" w:type="dxa"/>
            <w:tcBorders>
              <w:top w:val="nil"/>
            </w:tcBorders>
          </w:tcPr>
          <w:p w:rsidR="00443EC1" w:rsidRDefault="00443EC1">
            <w:pPr>
              <w:spacing w:before="0" w:after="0" w:line="280" w:lineRule="exact"/>
              <w:jc w:val="center"/>
              <w:rPr>
                <w:rStyle w:val="FootnoteReference"/>
                <w:rFonts w:hint="cs"/>
                <w:bCs w:val="0"/>
                <w:szCs w:val="24"/>
                <w:vertAlign w:val="baseline"/>
              </w:rPr>
            </w:pPr>
            <w:r>
              <w:rPr>
                <w:rFonts w:hint="cs"/>
                <w:szCs w:val="24"/>
                <w:rtl/>
              </w:rPr>
              <w:t>5.0</w:t>
            </w:r>
          </w:p>
        </w:tc>
      </w:tr>
    </w:tbl>
    <w:p w:rsidR="00000000" w:rsidRDefault="00443EC1">
      <w:pPr>
        <w:spacing w:before="0" w:after="120" w:line="300" w:lineRule="exact"/>
        <w:jc w:val="both"/>
        <w:rPr>
          <w:rFonts w:hint="cs"/>
          <w:szCs w:val="24"/>
          <w:rtl/>
        </w:rPr>
      </w:pPr>
      <w:r>
        <w:rPr>
          <w:rFonts w:hint="cs"/>
          <w:szCs w:val="24"/>
          <w:rtl/>
        </w:rPr>
        <w:tab/>
        <w:t>*</w:t>
      </w:r>
      <w:r>
        <w:rPr>
          <w:rFonts w:hint="cs"/>
          <w:szCs w:val="24"/>
          <w:rtl/>
        </w:rPr>
        <w:tab/>
        <w:t>أرقام أولية.</w:t>
      </w:r>
    </w:p>
    <w:p w:rsidR="00000000" w:rsidRDefault="00443EC1">
      <w:pPr>
        <w:jc w:val="both"/>
        <w:rPr>
          <w:rFonts w:hint="cs"/>
          <w:b/>
          <w:bCs/>
          <w:rtl/>
        </w:rPr>
      </w:pPr>
      <w:r>
        <w:rPr>
          <w:b/>
          <w:bCs/>
          <w:rtl/>
        </w:rPr>
        <w:br w:type="page"/>
      </w:r>
      <w:r>
        <w:rPr>
          <w:rFonts w:hint="cs"/>
          <w:b/>
          <w:bCs/>
          <w:rtl/>
        </w:rPr>
        <w:t xml:space="preserve">متوسط العمر المتوقع عند الولادة (عدد </w:t>
      </w:r>
      <w:r>
        <w:rPr>
          <w:rFonts w:hint="cs"/>
          <w:b/>
          <w:bCs/>
          <w:rtl/>
        </w:rPr>
        <w:t>السنوات)</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4"/>
        <w:gridCol w:w="1066"/>
        <w:gridCol w:w="1080"/>
        <w:gridCol w:w="1260"/>
        <w:gridCol w:w="1260"/>
        <w:gridCol w:w="1080"/>
        <w:gridCol w:w="1260"/>
        <w:gridCol w:w="1080"/>
      </w:tblGrid>
      <w:tr w:rsidR="00443EC1" w:rsidTr="00443EC1">
        <w:tblPrEx>
          <w:tblCellMar>
            <w:top w:w="0" w:type="dxa"/>
            <w:bottom w:w="0" w:type="dxa"/>
          </w:tblCellMar>
        </w:tblPrEx>
        <w:trPr>
          <w:trHeight w:val="365"/>
          <w:jc w:val="center"/>
        </w:trPr>
        <w:tc>
          <w:tcPr>
            <w:tcW w:w="1094" w:type="dxa"/>
            <w:tcBorders>
              <w:bottom w:val="single" w:sz="4" w:space="0" w:color="auto"/>
            </w:tcBorders>
          </w:tcPr>
          <w:p w:rsidR="00443EC1" w:rsidRDefault="00443EC1">
            <w:pPr>
              <w:spacing w:before="0" w:after="0" w:line="280" w:lineRule="exact"/>
              <w:jc w:val="center"/>
              <w:rPr>
                <w:rStyle w:val="FootnoteReference"/>
                <w:rFonts w:hint="cs"/>
                <w:bCs w:val="0"/>
                <w:szCs w:val="24"/>
                <w:vertAlign w:val="baseline"/>
              </w:rPr>
            </w:pPr>
            <w:r>
              <w:rPr>
                <w:rFonts w:hint="cs"/>
                <w:szCs w:val="24"/>
                <w:rtl/>
              </w:rPr>
              <w:t>الجنس</w:t>
            </w:r>
          </w:p>
        </w:tc>
        <w:tc>
          <w:tcPr>
            <w:tcW w:w="1066" w:type="dxa"/>
            <w:tcBorders>
              <w:bottom w:val="single" w:sz="4" w:space="0" w:color="auto"/>
            </w:tcBorders>
          </w:tcPr>
          <w:p w:rsidR="00443EC1" w:rsidRDefault="00443EC1">
            <w:pPr>
              <w:spacing w:before="0" w:after="0" w:line="280" w:lineRule="exact"/>
              <w:jc w:val="center"/>
              <w:rPr>
                <w:rStyle w:val="FootnoteReference"/>
                <w:rFonts w:hint="cs"/>
                <w:bCs w:val="0"/>
                <w:szCs w:val="24"/>
                <w:vertAlign w:val="baseline"/>
              </w:rPr>
            </w:pPr>
            <w:r>
              <w:rPr>
                <w:rFonts w:hint="cs"/>
                <w:szCs w:val="24"/>
                <w:rtl/>
              </w:rPr>
              <w:t>1987</w:t>
            </w:r>
          </w:p>
        </w:tc>
        <w:tc>
          <w:tcPr>
            <w:tcW w:w="1080" w:type="dxa"/>
            <w:tcBorders>
              <w:bottom w:val="single" w:sz="4" w:space="0" w:color="auto"/>
            </w:tcBorders>
          </w:tcPr>
          <w:p w:rsidR="00443EC1" w:rsidRDefault="00443EC1">
            <w:pPr>
              <w:spacing w:before="0" w:after="0" w:line="280" w:lineRule="exact"/>
              <w:jc w:val="center"/>
              <w:rPr>
                <w:rStyle w:val="FootnoteReference"/>
                <w:rFonts w:hint="cs"/>
                <w:bCs w:val="0"/>
                <w:szCs w:val="24"/>
                <w:vertAlign w:val="baseline"/>
              </w:rPr>
            </w:pPr>
            <w:r>
              <w:rPr>
                <w:rFonts w:hint="cs"/>
                <w:szCs w:val="24"/>
                <w:rtl/>
              </w:rPr>
              <w:t>1992</w:t>
            </w:r>
          </w:p>
        </w:tc>
        <w:tc>
          <w:tcPr>
            <w:tcW w:w="1260" w:type="dxa"/>
            <w:tcBorders>
              <w:bottom w:val="single" w:sz="4" w:space="0" w:color="auto"/>
            </w:tcBorders>
          </w:tcPr>
          <w:p w:rsidR="00443EC1" w:rsidRDefault="00443EC1">
            <w:pPr>
              <w:spacing w:before="0" w:after="0" w:line="280" w:lineRule="exact"/>
              <w:jc w:val="center"/>
              <w:rPr>
                <w:rStyle w:val="FootnoteReference"/>
                <w:rFonts w:hint="cs"/>
                <w:bCs w:val="0"/>
                <w:szCs w:val="24"/>
                <w:vertAlign w:val="baseline"/>
              </w:rPr>
            </w:pPr>
            <w:r>
              <w:rPr>
                <w:rFonts w:hint="cs"/>
                <w:szCs w:val="24"/>
                <w:rtl/>
              </w:rPr>
              <w:t>1998</w:t>
            </w:r>
          </w:p>
        </w:tc>
        <w:tc>
          <w:tcPr>
            <w:tcW w:w="1260" w:type="dxa"/>
            <w:tcBorders>
              <w:bottom w:val="single" w:sz="4" w:space="0" w:color="auto"/>
            </w:tcBorders>
          </w:tcPr>
          <w:p w:rsidR="00443EC1" w:rsidRDefault="00443EC1">
            <w:pPr>
              <w:spacing w:before="0" w:after="0" w:line="280" w:lineRule="exact"/>
              <w:jc w:val="center"/>
              <w:rPr>
                <w:rStyle w:val="FootnoteReference"/>
                <w:rFonts w:hint="cs"/>
                <w:bCs w:val="0"/>
                <w:szCs w:val="24"/>
                <w:vertAlign w:val="baseline"/>
              </w:rPr>
            </w:pPr>
            <w:r>
              <w:rPr>
                <w:rFonts w:hint="cs"/>
                <w:szCs w:val="24"/>
                <w:rtl/>
              </w:rPr>
              <w:t>1999</w:t>
            </w:r>
          </w:p>
        </w:tc>
        <w:tc>
          <w:tcPr>
            <w:tcW w:w="1080" w:type="dxa"/>
            <w:tcBorders>
              <w:bottom w:val="single" w:sz="4" w:space="0" w:color="auto"/>
            </w:tcBorders>
          </w:tcPr>
          <w:p w:rsidR="00443EC1" w:rsidRDefault="00443EC1">
            <w:pPr>
              <w:spacing w:before="0" w:after="0" w:line="280" w:lineRule="exact"/>
              <w:jc w:val="center"/>
              <w:rPr>
                <w:rStyle w:val="FootnoteReference"/>
                <w:rFonts w:hint="cs"/>
                <w:bCs w:val="0"/>
                <w:szCs w:val="24"/>
                <w:vertAlign w:val="baseline"/>
              </w:rPr>
            </w:pPr>
            <w:r>
              <w:rPr>
                <w:rFonts w:hint="cs"/>
                <w:szCs w:val="24"/>
                <w:rtl/>
              </w:rPr>
              <w:t>2000</w:t>
            </w:r>
          </w:p>
        </w:tc>
        <w:tc>
          <w:tcPr>
            <w:tcW w:w="1260" w:type="dxa"/>
            <w:tcBorders>
              <w:bottom w:val="single" w:sz="4" w:space="0" w:color="auto"/>
            </w:tcBorders>
          </w:tcPr>
          <w:p w:rsidR="00443EC1" w:rsidRDefault="00443EC1">
            <w:pPr>
              <w:spacing w:before="0" w:after="0" w:line="280" w:lineRule="exact"/>
              <w:jc w:val="center"/>
              <w:rPr>
                <w:rStyle w:val="FootnoteReference"/>
                <w:rFonts w:hint="cs"/>
                <w:bCs w:val="0"/>
                <w:szCs w:val="24"/>
                <w:vertAlign w:val="baseline"/>
              </w:rPr>
            </w:pPr>
            <w:r>
              <w:rPr>
                <w:rFonts w:hint="cs"/>
                <w:szCs w:val="24"/>
                <w:rtl/>
              </w:rPr>
              <w:t>2001</w:t>
            </w:r>
          </w:p>
        </w:tc>
        <w:tc>
          <w:tcPr>
            <w:tcW w:w="1080" w:type="dxa"/>
            <w:tcBorders>
              <w:bottom w:val="single" w:sz="4" w:space="0" w:color="auto"/>
            </w:tcBorders>
          </w:tcPr>
          <w:p w:rsidR="00443EC1" w:rsidRDefault="00443EC1">
            <w:pPr>
              <w:spacing w:before="0" w:after="0" w:line="280" w:lineRule="exact"/>
              <w:jc w:val="center"/>
              <w:rPr>
                <w:rStyle w:val="FootnoteReference"/>
                <w:rFonts w:hint="cs"/>
                <w:bCs w:val="0"/>
                <w:szCs w:val="24"/>
                <w:vertAlign w:val="baseline"/>
              </w:rPr>
            </w:pPr>
            <w:r>
              <w:rPr>
                <w:rFonts w:hint="cs"/>
                <w:szCs w:val="24"/>
                <w:rtl/>
              </w:rPr>
              <w:t>2002*</w:t>
            </w:r>
          </w:p>
        </w:tc>
      </w:tr>
      <w:tr w:rsidR="00443EC1" w:rsidTr="00443EC1">
        <w:tblPrEx>
          <w:tblCellMar>
            <w:top w:w="0" w:type="dxa"/>
            <w:bottom w:w="0" w:type="dxa"/>
          </w:tblCellMar>
        </w:tblPrEx>
        <w:trPr>
          <w:jc w:val="center"/>
        </w:trPr>
        <w:tc>
          <w:tcPr>
            <w:tcW w:w="1094" w:type="dxa"/>
            <w:tcBorders>
              <w:bottom w:val="nil"/>
            </w:tcBorders>
          </w:tcPr>
          <w:p w:rsidR="00443EC1" w:rsidRDefault="00443EC1">
            <w:pPr>
              <w:spacing w:before="0" w:after="0" w:line="280" w:lineRule="exact"/>
              <w:jc w:val="center"/>
              <w:rPr>
                <w:rFonts w:hint="cs"/>
                <w:szCs w:val="24"/>
                <w:rtl/>
              </w:rPr>
            </w:pPr>
            <w:r>
              <w:rPr>
                <w:rFonts w:hint="cs"/>
                <w:szCs w:val="24"/>
                <w:rtl/>
              </w:rPr>
              <w:t>الذكور</w:t>
            </w:r>
          </w:p>
        </w:tc>
        <w:tc>
          <w:tcPr>
            <w:tcW w:w="1066" w:type="dxa"/>
            <w:tcBorders>
              <w:bottom w:val="nil"/>
            </w:tcBorders>
          </w:tcPr>
          <w:p w:rsidR="00443EC1" w:rsidRDefault="00443EC1">
            <w:pPr>
              <w:spacing w:before="0" w:after="0" w:line="280" w:lineRule="exact"/>
              <w:jc w:val="center"/>
              <w:rPr>
                <w:rFonts w:hint="cs"/>
                <w:szCs w:val="24"/>
                <w:rtl/>
              </w:rPr>
            </w:pPr>
            <w:r>
              <w:rPr>
                <w:rFonts w:hint="cs"/>
                <w:szCs w:val="24"/>
                <w:rtl/>
              </w:rPr>
              <w:t>74.2</w:t>
            </w:r>
          </w:p>
        </w:tc>
        <w:tc>
          <w:tcPr>
            <w:tcW w:w="1080" w:type="dxa"/>
            <w:tcBorders>
              <w:bottom w:val="nil"/>
            </w:tcBorders>
          </w:tcPr>
          <w:p w:rsidR="00443EC1" w:rsidRDefault="00443EC1">
            <w:pPr>
              <w:spacing w:before="0" w:after="0" w:line="280" w:lineRule="exact"/>
              <w:jc w:val="center"/>
              <w:rPr>
                <w:rFonts w:hint="cs"/>
                <w:szCs w:val="24"/>
                <w:rtl/>
              </w:rPr>
            </w:pPr>
            <w:r>
              <w:rPr>
                <w:rFonts w:hint="cs"/>
                <w:szCs w:val="24"/>
                <w:rtl/>
              </w:rPr>
              <w:t>74.8</w:t>
            </w:r>
          </w:p>
        </w:tc>
        <w:tc>
          <w:tcPr>
            <w:tcW w:w="1260" w:type="dxa"/>
            <w:tcBorders>
              <w:bottom w:val="nil"/>
            </w:tcBorders>
          </w:tcPr>
          <w:p w:rsidR="00443EC1" w:rsidRDefault="00443EC1">
            <w:pPr>
              <w:spacing w:before="0" w:after="0" w:line="280" w:lineRule="exact"/>
              <w:jc w:val="center"/>
              <w:rPr>
                <w:rFonts w:hint="cs"/>
                <w:szCs w:val="24"/>
                <w:rtl/>
              </w:rPr>
            </w:pPr>
            <w:r>
              <w:rPr>
                <w:rFonts w:hint="cs"/>
                <w:szCs w:val="24"/>
                <w:rtl/>
              </w:rPr>
              <w:t>77.4</w:t>
            </w:r>
          </w:p>
        </w:tc>
        <w:tc>
          <w:tcPr>
            <w:tcW w:w="1260" w:type="dxa"/>
            <w:tcBorders>
              <w:bottom w:val="nil"/>
            </w:tcBorders>
          </w:tcPr>
          <w:p w:rsidR="00443EC1" w:rsidRDefault="00443EC1">
            <w:pPr>
              <w:spacing w:before="0" w:after="0" w:line="280" w:lineRule="exact"/>
              <w:jc w:val="center"/>
              <w:rPr>
                <w:rFonts w:hint="cs"/>
                <w:szCs w:val="24"/>
                <w:rtl/>
              </w:rPr>
            </w:pPr>
            <w:r>
              <w:rPr>
                <w:rFonts w:hint="cs"/>
                <w:szCs w:val="24"/>
                <w:rtl/>
              </w:rPr>
              <w:t>77.7</w:t>
            </w:r>
          </w:p>
        </w:tc>
        <w:tc>
          <w:tcPr>
            <w:tcW w:w="1080" w:type="dxa"/>
            <w:tcBorders>
              <w:bottom w:val="nil"/>
            </w:tcBorders>
          </w:tcPr>
          <w:p w:rsidR="00443EC1" w:rsidRDefault="00443EC1">
            <w:pPr>
              <w:spacing w:before="0" w:after="0" w:line="280" w:lineRule="exact"/>
              <w:jc w:val="center"/>
              <w:rPr>
                <w:rFonts w:hint="cs"/>
                <w:szCs w:val="24"/>
                <w:rtl/>
              </w:rPr>
            </w:pPr>
            <w:r>
              <w:rPr>
                <w:rFonts w:hint="cs"/>
                <w:szCs w:val="24"/>
                <w:rtl/>
              </w:rPr>
              <w:t>78.0</w:t>
            </w:r>
          </w:p>
        </w:tc>
        <w:tc>
          <w:tcPr>
            <w:tcW w:w="1260" w:type="dxa"/>
            <w:tcBorders>
              <w:bottom w:val="nil"/>
            </w:tcBorders>
          </w:tcPr>
          <w:p w:rsidR="00443EC1" w:rsidRDefault="00443EC1">
            <w:pPr>
              <w:spacing w:before="0" w:after="0" w:line="280" w:lineRule="exact"/>
              <w:jc w:val="center"/>
              <w:rPr>
                <w:rFonts w:hint="cs"/>
                <w:szCs w:val="24"/>
                <w:rtl/>
              </w:rPr>
            </w:pPr>
            <w:r>
              <w:rPr>
                <w:rFonts w:hint="cs"/>
                <w:szCs w:val="24"/>
                <w:rtl/>
              </w:rPr>
              <w:t>78.4</w:t>
            </w:r>
          </w:p>
        </w:tc>
        <w:tc>
          <w:tcPr>
            <w:tcW w:w="1080" w:type="dxa"/>
            <w:tcBorders>
              <w:bottom w:val="nil"/>
            </w:tcBorders>
          </w:tcPr>
          <w:p w:rsidR="00443EC1" w:rsidRDefault="00443EC1">
            <w:pPr>
              <w:spacing w:before="0" w:after="0" w:line="280" w:lineRule="exact"/>
              <w:jc w:val="center"/>
              <w:rPr>
                <w:rFonts w:hint="cs"/>
                <w:szCs w:val="24"/>
                <w:rtl/>
              </w:rPr>
            </w:pPr>
            <w:r>
              <w:rPr>
                <w:rFonts w:hint="cs"/>
                <w:szCs w:val="24"/>
                <w:rtl/>
              </w:rPr>
              <w:t>78.7</w:t>
            </w:r>
          </w:p>
        </w:tc>
      </w:tr>
      <w:tr w:rsidR="00443EC1" w:rsidTr="00443EC1">
        <w:tblPrEx>
          <w:tblCellMar>
            <w:top w:w="0" w:type="dxa"/>
            <w:bottom w:w="0" w:type="dxa"/>
          </w:tblCellMar>
        </w:tblPrEx>
        <w:trPr>
          <w:trHeight w:val="444"/>
          <w:jc w:val="center"/>
        </w:trPr>
        <w:tc>
          <w:tcPr>
            <w:tcW w:w="1094" w:type="dxa"/>
            <w:tcBorders>
              <w:top w:val="nil"/>
            </w:tcBorders>
          </w:tcPr>
          <w:p w:rsidR="00443EC1" w:rsidRDefault="00443EC1">
            <w:pPr>
              <w:spacing w:before="0" w:after="0" w:line="280" w:lineRule="exact"/>
              <w:jc w:val="center"/>
              <w:rPr>
                <w:rFonts w:hint="cs"/>
                <w:szCs w:val="24"/>
                <w:rtl/>
              </w:rPr>
            </w:pPr>
            <w:r>
              <w:rPr>
                <w:rFonts w:hint="cs"/>
                <w:szCs w:val="24"/>
                <w:rtl/>
              </w:rPr>
              <w:t>الإناث</w:t>
            </w:r>
          </w:p>
        </w:tc>
        <w:tc>
          <w:tcPr>
            <w:tcW w:w="1066" w:type="dxa"/>
            <w:tcBorders>
              <w:top w:val="nil"/>
            </w:tcBorders>
          </w:tcPr>
          <w:p w:rsidR="00443EC1" w:rsidRDefault="00443EC1">
            <w:pPr>
              <w:spacing w:before="0" w:after="0" w:line="280" w:lineRule="exact"/>
              <w:jc w:val="center"/>
              <w:rPr>
                <w:rFonts w:hint="cs"/>
                <w:szCs w:val="24"/>
                <w:rtl/>
              </w:rPr>
            </w:pPr>
            <w:r>
              <w:rPr>
                <w:rFonts w:hint="cs"/>
                <w:szCs w:val="24"/>
                <w:rtl/>
              </w:rPr>
              <w:t>79.7</w:t>
            </w:r>
          </w:p>
        </w:tc>
        <w:tc>
          <w:tcPr>
            <w:tcW w:w="1080" w:type="dxa"/>
            <w:tcBorders>
              <w:top w:val="nil"/>
            </w:tcBorders>
          </w:tcPr>
          <w:p w:rsidR="00443EC1" w:rsidRDefault="00443EC1">
            <w:pPr>
              <w:spacing w:before="0" w:after="0" w:line="280" w:lineRule="exact"/>
              <w:jc w:val="center"/>
              <w:rPr>
                <w:rFonts w:hint="cs"/>
                <w:szCs w:val="24"/>
                <w:rtl/>
              </w:rPr>
            </w:pPr>
            <w:r>
              <w:rPr>
                <w:rFonts w:hint="cs"/>
                <w:szCs w:val="24"/>
                <w:rtl/>
              </w:rPr>
              <w:t>80.7</w:t>
            </w:r>
          </w:p>
        </w:tc>
        <w:tc>
          <w:tcPr>
            <w:tcW w:w="1260" w:type="dxa"/>
            <w:tcBorders>
              <w:top w:val="nil"/>
            </w:tcBorders>
          </w:tcPr>
          <w:p w:rsidR="00443EC1" w:rsidRDefault="00443EC1">
            <w:pPr>
              <w:spacing w:before="0" w:after="0" w:line="280" w:lineRule="exact"/>
              <w:jc w:val="center"/>
              <w:rPr>
                <w:rFonts w:hint="cs"/>
                <w:szCs w:val="24"/>
                <w:rtl/>
              </w:rPr>
            </w:pPr>
            <w:r>
              <w:rPr>
                <w:rFonts w:hint="cs"/>
                <w:szCs w:val="24"/>
                <w:rtl/>
              </w:rPr>
              <w:t>83.0</w:t>
            </w:r>
          </w:p>
        </w:tc>
        <w:tc>
          <w:tcPr>
            <w:tcW w:w="1260" w:type="dxa"/>
            <w:tcBorders>
              <w:top w:val="nil"/>
            </w:tcBorders>
          </w:tcPr>
          <w:p w:rsidR="00443EC1" w:rsidRDefault="00443EC1">
            <w:pPr>
              <w:spacing w:before="0" w:after="0" w:line="280" w:lineRule="exact"/>
              <w:jc w:val="center"/>
              <w:rPr>
                <w:rFonts w:hint="cs"/>
                <w:szCs w:val="24"/>
                <w:rtl/>
              </w:rPr>
            </w:pPr>
            <w:r>
              <w:rPr>
                <w:rFonts w:hint="cs"/>
                <w:szCs w:val="24"/>
                <w:rtl/>
              </w:rPr>
              <w:t>83.2</w:t>
            </w:r>
          </w:p>
        </w:tc>
        <w:tc>
          <w:tcPr>
            <w:tcW w:w="1080" w:type="dxa"/>
            <w:tcBorders>
              <w:top w:val="nil"/>
            </w:tcBorders>
          </w:tcPr>
          <w:p w:rsidR="00443EC1" w:rsidRDefault="00443EC1">
            <w:pPr>
              <w:spacing w:before="0" w:after="0" w:line="280" w:lineRule="exact"/>
              <w:jc w:val="center"/>
              <w:rPr>
                <w:rFonts w:hint="cs"/>
                <w:szCs w:val="24"/>
                <w:rtl/>
              </w:rPr>
            </w:pPr>
            <w:r>
              <w:rPr>
                <w:rFonts w:hint="cs"/>
                <w:szCs w:val="24"/>
                <w:rtl/>
              </w:rPr>
              <w:t>83.9</w:t>
            </w:r>
          </w:p>
        </w:tc>
        <w:tc>
          <w:tcPr>
            <w:tcW w:w="1260" w:type="dxa"/>
            <w:tcBorders>
              <w:top w:val="nil"/>
            </w:tcBorders>
          </w:tcPr>
          <w:p w:rsidR="00443EC1" w:rsidRDefault="00443EC1">
            <w:pPr>
              <w:spacing w:before="0" w:after="0" w:line="280" w:lineRule="exact"/>
              <w:jc w:val="center"/>
              <w:rPr>
                <w:rFonts w:hint="cs"/>
                <w:szCs w:val="24"/>
                <w:rtl/>
              </w:rPr>
            </w:pPr>
            <w:r>
              <w:rPr>
                <w:rFonts w:hint="cs"/>
                <w:szCs w:val="24"/>
                <w:rtl/>
              </w:rPr>
              <w:t>84.6</w:t>
            </w:r>
          </w:p>
        </w:tc>
        <w:tc>
          <w:tcPr>
            <w:tcW w:w="1080" w:type="dxa"/>
            <w:tcBorders>
              <w:top w:val="nil"/>
            </w:tcBorders>
          </w:tcPr>
          <w:p w:rsidR="00443EC1" w:rsidRDefault="00443EC1">
            <w:pPr>
              <w:spacing w:before="0" w:after="0" w:line="280" w:lineRule="exact"/>
              <w:jc w:val="center"/>
              <w:rPr>
                <w:rFonts w:hint="cs"/>
                <w:szCs w:val="24"/>
                <w:rtl/>
              </w:rPr>
            </w:pPr>
            <w:r>
              <w:rPr>
                <w:rFonts w:hint="cs"/>
                <w:szCs w:val="24"/>
                <w:rtl/>
              </w:rPr>
              <w:t>84.7</w:t>
            </w:r>
          </w:p>
        </w:tc>
      </w:tr>
    </w:tbl>
    <w:p w:rsidR="00000000" w:rsidRDefault="00443EC1">
      <w:pPr>
        <w:spacing w:before="0" w:after="0" w:line="300" w:lineRule="exact"/>
        <w:jc w:val="both"/>
        <w:rPr>
          <w:rFonts w:hint="cs"/>
          <w:szCs w:val="24"/>
          <w:rtl/>
        </w:rPr>
      </w:pPr>
      <w:r>
        <w:rPr>
          <w:rFonts w:hint="cs"/>
          <w:szCs w:val="24"/>
          <w:rtl/>
        </w:rPr>
        <w:tab/>
        <w:t>*</w:t>
      </w:r>
      <w:r>
        <w:rPr>
          <w:rFonts w:hint="cs"/>
          <w:szCs w:val="24"/>
          <w:rtl/>
        </w:rPr>
        <w:tab/>
        <w:t>أرقام أولية.</w:t>
      </w:r>
    </w:p>
    <w:p w:rsidR="00000000" w:rsidRDefault="00443EC1">
      <w:pPr>
        <w:jc w:val="both"/>
        <w:rPr>
          <w:rFonts w:hint="cs"/>
          <w:b/>
          <w:bCs/>
          <w:rtl/>
        </w:rPr>
      </w:pPr>
      <w:r>
        <w:rPr>
          <w:rFonts w:hint="cs"/>
          <w:b/>
          <w:bCs/>
          <w:rtl/>
        </w:rPr>
        <w:t>معدل وفيات الرضّع (لكل 000 1 مولود حي)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0"/>
        <w:gridCol w:w="1080"/>
        <w:gridCol w:w="1080"/>
        <w:gridCol w:w="1080"/>
        <w:gridCol w:w="1080"/>
        <w:gridCol w:w="1080"/>
        <w:gridCol w:w="1080"/>
      </w:tblGrid>
      <w:tr w:rsidR="00443EC1" w:rsidTr="00443EC1">
        <w:tblPrEx>
          <w:tblCellMar>
            <w:top w:w="0" w:type="dxa"/>
            <w:bottom w:w="0" w:type="dxa"/>
          </w:tblCellMar>
        </w:tblPrEx>
        <w:trPr>
          <w:trHeight w:val="479"/>
          <w:jc w:val="center"/>
        </w:trPr>
        <w:tc>
          <w:tcPr>
            <w:tcW w:w="1260" w:type="dxa"/>
          </w:tcPr>
          <w:p w:rsidR="00443EC1" w:rsidRDefault="00443EC1">
            <w:pPr>
              <w:spacing w:before="0" w:after="0" w:line="300" w:lineRule="exact"/>
              <w:jc w:val="center"/>
              <w:rPr>
                <w:rStyle w:val="FootnoteReference"/>
                <w:rFonts w:hint="cs"/>
                <w:bCs w:val="0"/>
                <w:szCs w:val="24"/>
                <w:vertAlign w:val="baseline"/>
              </w:rPr>
            </w:pPr>
            <w:r>
              <w:rPr>
                <w:rFonts w:hint="cs"/>
                <w:szCs w:val="24"/>
                <w:rtl/>
              </w:rPr>
              <w:t>1987</w:t>
            </w:r>
          </w:p>
        </w:tc>
        <w:tc>
          <w:tcPr>
            <w:tcW w:w="1080" w:type="dxa"/>
          </w:tcPr>
          <w:p w:rsidR="00443EC1" w:rsidRDefault="00443EC1">
            <w:pPr>
              <w:spacing w:before="0" w:after="0" w:line="300" w:lineRule="exact"/>
              <w:jc w:val="center"/>
              <w:rPr>
                <w:rStyle w:val="FootnoteReference"/>
                <w:rFonts w:hint="cs"/>
                <w:bCs w:val="0"/>
                <w:szCs w:val="24"/>
                <w:vertAlign w:val="baseline"/>
              </w:rPr>
            </w:pPr>
            <w:r>
              <w:rPr>
                <w:rFonts w:hint="cs"/>
                <w:szCs w:val="24"/>
                <w:rtl/>
              </w:rPr>
              <w:t>1992</w:t>
            </w:r>
          </w:p>
        </w:tc>
        <w:tc>
          <w:tcPr>
            <w:tcW w:w="1080" w:type="dxa"/>
          </w:tcPr>
          <w:p w:rsidR="00443EC1" w:rsidRDefault="00443EC1">
            <w:pPr>
              <w:spacing w:before="0" w:after="0" w:line="300" w:lineRule="exact"/>
              <w:jc w:val="center"/>
              <w:rPr>
                <w:rStyle w:val="FootnoteReference"/>
                <w:rFonts w:hint="cs"/>
                <w:bCs w:val="0"/>
                <w:szCs w:val="24"/>
                <w:vertAlign w:val="baseline"/>
              </w:rPr>
            </w:pPr>
            <w:r>
              <w:rPr>
                <w:rFonts w:hint="cs"/>
                <w:szCs w:val="24"/>
                <w:rtl/>
              </w:rPr>
              <w:t>1998</w:t>
            </w:r>
          </w:p>
        </w:tc>
        <w:tc>
          <w:tcPr>
            <w:tcW w:w="1080" w:type="dxa"/>
          </w:tcPr>
          <w:p w:rsidR="00443EC1" w:rsidRDefault="00443EC1">
            <w:pPr>
              <w:spacing w:before="0" w:after="0" w:line="300" w:lineRule="exact"/>
              <w:jc w:val="center"/>
              <w:rPr>
                <w:rStyle w:val="FootnoteReference"/>
                <w:rFonts w:hint="cs"/>
                <w:bCs w:val="0"/>
                <w:szCs w:val="24"/>
                <w:vertAlign w:val="baseline"/>
              </w:rPr>
            </w:pPr>
            <w:r>
              <w:rPr>
                <w:rFonts w:hint="cs"/>
                <w:szCs w:val="24"/>
                <w:rtl/>
              </w:rPr>
              <w:t>1999</w:t>
            </w:r>
          </w:p>
        </w:tc>
        <w:tc>
          <w:tcPr>
            <w:tcW w:w="1080" w:type="dxa"/>
          </w:tcPr>
          <w:p w:rsidR="00443EC1" w:rsidRDefault="00443EC1">
            <w:pPr>
              <w:spacing w:before="0" w:after="0" w:line="300" w:lineRule="exact"/>
              <w:jc w:val="center"/>
              <w:rPr>
                <w:rStyle w:val="FootnoteReference"/>
                <w:bCs w:val="0"/>
                <w:szCs w:val="24"/>
                <w:vertAlign w:val="baseline"/>
              </w:rPr>
            </w:pPr>
            <w:r>
              <w:rPr>
                <w:rFonts w:hint="cs"/>
                <w:szCs w:val="24"/>
                <w:rtl/>
              </w:rPr>
              <w:t>2000</w:t>
            </w:r>
          </w:p>
        </w:tc>
        <w:tc>
          <w:tcPr>
            <w:tcW w:w="1080" w:type="dxa"/>
          </w:tcPr>
          <w:p w:rsidR="00443EC1" w:rsidRDefault="00443EC1">
            <w:pPr>
              <w:spacing w:before="0" w:after="0" w:line="300" w:lineRule="exact"/>
              <w:jc w:val="center"/>
              <w:rPr>
                <w:rStyle w:val="FootnoteReference"/>
                <w:rFonts w:hint="cs"/>
                <w:bCs w:val="0"/>
                <w:szCs w:val="24"/>
                <w:vertAlign w:val="baseline"/>
              </w:rPr>
            </w:pPr>
            <w:r>
              <w:rPr>
                <w:rFonts w:hint="cs"/>
                <w:szCs w:val="24"/>
                <w:rtl/>
              </w:rPr>
              <w:t>2001</w:t>
            </w:r>
          </w:p>
        </w:tc>
        <w:tc>
          <w:tcPr>
            <w:tcW w:w="1080" w:type="dxa"/>
          </w:tcPr>
          <w:p w:rsidR="00443EC1" w:rsidRDefault="00443EC1">
            <w:pPr>
              <w:spacing w:before="0" w:after="0" w:line="300" w:lineRule="exact"/>
              <w:jc w:val="center"/>
              <w:rPr>
                <w:rStyle w:val="FootnoteReference"/>
                <w:bCs w:val="0"/>
                <w:szCs w:val="24"/>
                <w:vertAlign w:val="baseline"/>
              </w:rPr>
            </w:pPr>
            <w:r>
              <w:rPr>
                <w:rFonts w:hint="cs"/>
                <w:szCs w:val="24"/>
                <w:rtl/>
              </w:rPr>
              <w:t>2002*</w:t>
            </w:r>
          </w:p>
        </w:tc>
      </w:tr>
      <w:tr w:rsidR="00443EC1" w:rsidTr="00443EC1">
        <w:tblPrEx>
          <w:tblCellMar>
            <w:top w:w="0" w:type="dxa"/>
            <w:bottom w:w="0" w:type="dxa"/>
          </w:tblCellMar>
        </w:tblPrEx>
        <w:trPr>
          <w:trHeight w:val="366"/>
          <w:jc w:val="center"/>
        </w:trPr>
        <w:tc>
          <w:tcPr>
            <w:tcW w:w="1260" w:type="dxa"/>
          </w:tcPr>
          <w:p w:rsidR="00443EC1" w:rsidRDefault="00443EC1">
            <w:pPr>
              <w:spacing w:before="0" w:after="0" w:line="300" w:lineRule="exact"/>
              <w:jc w:val="center"/>
              <w:rPr>
                <w:rFonts w:hint="cs"/>
                <w:szCs w:val="24"/>
                <w:rtl/>
              </w:rPr>
            </w:pPr>
            <w:r>
              <w:rPr>
                <w:rFonts w:hint="cs"/>
                <w:szCs w:val="24"/>
                <w:rtl/>
              </w:rPr>
              <w:t>7.4</w:t>
            </w:r>
          </w:p>
        </w:tc>
        <w:tc>
          <w:tcPr>
            <w:tcW w:w="1080" w:type="dxa"/>
          </w:tcPr>
          <w:p w:rsidR="00443EC1" w:rsidRDefault="00443EC1">
            <w:pPr>
              <w:spacing w:before="0" w:after="0" w:line="300" w:lineRule="exact"/>
              <w:jc w:val="center"/>
              <w:rPr>
                <w:rFonts w:hint="cs"/>
                <w:szCs w:val="24"/>
                <w:rtl/>
              </w:rPr>
            </w:pPr>
            <w:r>
              <w:rPr>
                <w:rFonts w:hint="cs"/>
                <w:szCs w:val="24"/>
                <w:rtl/>
              </w:rPr>
              <w:t>4.8</w:t>
            </w:r>
          </w:p>
        </w:tc>
        <w:tc>
          <w:tcPr>
            <w:tcW w:w="1080" w:type="dxa"/>
          </w:tcPr>
          <w:p w:rsidR="00443EC1" w:rsidRDefault="00443EC1">
            <w:pPr>
              <w:spacing w:before="0" w:after="0" w:line="300" w:lineRule="exact"/>
              <w:jc w:val="center"/>
              <w:rPr>
                <w:rFonts w:hint="cs"/>
                <w:szCs w:val="24"/>
                <w:rtl/>
              </w:rPr>
            </w:pPr>
            <w:r>
              <w:rPr>
                <w:rFonts w:hint="cs"/>
                <w:szCs w:val="24"/>
                <w:rtl/>
              </w:rPr>
              <w:t>3.2</w:t>
            </w:r>
          </w:p>
        </w:tc>
        <w:tc>
          <w:tcPr>
            <w:tcW w:w="1080" w:type="dxa"/>
          </w:tcPr>
          <w:p w:rsidR="00443EC1" w:rsidRDefault="00443EC1">
            <w:pPr>
              <w:spacing w:before="0" w:after="0" w:line="300" w:lineRule="exact"/>
              <w:jc w:val="center"/>
              <w:rPr>
                <w:rFonts w:hint="cs"/>
                <w:szCs w:val="24"/>
                <w:rtl/>
              </w:rPr>
            </w:pPr>
            <w:r>
              <w:rPr>
                <w:rFonts w:hint="cs"/>
                <w:szCs w:val="24"/>
                <w:rtl/>
              </w:rPr>
              <w:t>3.1</w:t>
            </w:r>
          </w:p>
        </w:tc>
        <w:tc>
          <w:tcPr>
            <w:tcW w:w="1080" w:type="dxa"/>
          </w:tcPr>
          <w:p w:rsidR="00443EC1" w:rsidRDefault="00443EC1">
            <w:pPr>
              <w:spacing w:before="0" w:after="0" w:line="300" w:lineRule="exact"/>
              <w:jc w:val="center"/>
              <w:rPr>
                <w:rFonts w:hint="cs"/>
                <w:szCs w:val="24"/>
                <w:rtl/>
              </w:rPr>
            </w:pPr>
            <w:r>
              <w:rPr>
                <w:rFonts w:hint="cs"/>
                <w:szCs w:val="24"/>
                <w:rtl/>
              </w:rPr>
              <w:t>3.0</w:t>
            </w:r>
          </w:p>
        </w:tc>
        <w:tc>
          <w:tcPr>
            <w:tcW w:w="1080" w:type="dxa"/>
          </w:tcPr>
          <w:p w:rsidR="00443EC1" w:rsidRDefault="00443EC1">
            <w:pPr>
              <w:spacing w:before="0" w:after="0" w:line="300" w:lineRule="exact"/>
              <w:jc w:val="center"/>
              <w:rPr>
                <w:rFonts w:hint="cs"/>
                <w:szCs w:val="24"/>
                <w:rtl/>
              </w:rPr>
            </w:pPr>
            <w:r>
              <w:rPr>
                <w:rFonts w:hint="cs"/>
                <w:szCs w:val="24"/>
                <w:rtl/>
              </w:rPr>
              <w:t>2.6</w:t>
            </w:r>
          </w:p>
        </w:tc>
        <w:tc>
          <w:tcPr>
            <w:tcW w:w="1080" w:type="dxa"/>
          </w:tcPr>
          <w:p w:rsidR="00443EC1" w:rsidRDefault="00443EC1">
            <w:pPr>
              <w:spacing w:before="0" w:after="0" w:line="300" w:lineRule="exact"/>
              <w:jc w:val="center"/>
              <w:rPr>
                <w:rFonts w:hint="cs"/>
                <w:szCs w:val="24"/>
                <w:rtl/>
              </w:rPr>
            </w:pPr>
            <w:r>
              <w:rPr>
                <w:rFonts w:hint="cs"/>
                <w:szCs w:val="24"/>
                <w:rtl/>
              </w:rPr>
              <w:t>2.4</w:t>
            </w:r>
          </w:p>
        </w:tc>
      </w:tr>
    </w:tbl>
    <w:p w:rsidR="00000000" w:rsidRDefault="00443EC1">
      <w:pPr>
        <w:spacing w:before="0" w:after="120" w:line="300" w:lineRule="exact"/>
        <w:jc w:val="both"/>
        <w:rPr>
          <w:rFonts w:hint="cs"/>
          <w:szCs w:val="24"/>
          <w:rtl/>
        </w:rPr>
      </w:pPr>
      <w:r>
        <w:rPr>
          <w:rFonts w:hint="cs"/>
          <w:szCs w:val="24"/>
          <w:rtl/>
        </w:rPr>
        <w:tab/>
      </w:r>
      <w:r>
        <w:rPr>
          <w:rFonts w:hint="cs"/>
          <w:szCs w:val="24"/>
          <w:rtl/>
        </w:rPr>
        <w:tab/>
        <w:t>*</w:t>
      </w:r>
      <w:r>
        <w:rPr>
          <w:rFonts w:hint="cs"/>
          <w:szCs w:val="24"/>
          <w:rtl/>
        </w:rPr>
        <w:tab/>
        <w:t>أرقام أولية.</w:t>
      </w:r>
    </w:p>
    <w:p w:rsidR="00000000" w:rsidRDefault="00443EC1">
      <w:pPr>
        <w:spacing w:after="360"/>
        <w:jc w:val="both"/>
        <w:rPr>
          <w:rStyle w:val="FootnoteReference"/>
          <w:b/>
          <w:bCs w:val="0"/>
          <w:vertAlign w:val="baseline"/>
          <w:rtl/>
        </w:rPr>
      </w:pPr>
      <w:r>
        <w:rPr>
          <w:rFonts w:hint="cs"/>
          <w:b/>
          <w:bCs/>
          <w:rtl/>
        </w:rPr>
        <w:t>معدل وفيات الأمهات (عدد الوفيات لكل 000 100 مولود حي مسجل)</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0"/>
        <w:gridCol w:w="1260"/>
        <w:gridCol w:w="1080"/>
        <w:gridCol w:w="1226"/>
        <w:gridCol w:w="1294"/>
        <w:gridCol w:w="1080"/>
        <w:gridCol w:w="1080"/>
      </w:tblGrid>
      <w:tr w:rsidR="00443EC1" w:rsidTr="00443EC1">
        <w:tblPrEx>
          <w:tblCellMar>
            <w:top w:w="0" w:type="dxa"/>
            <w:bottom w:w="0" w:type="dxa"/>
          </w:tblCellMar>
        </w:tblPrEx>
        <w:trPr>
          <w:jc w:val="center"/>
        </w:trPr>
        <w:tc>
          <w:tcPr>
            <w:tcW w:w="1260" w:type="dxa"/>
          </w:tcPr>
          <w:p w:rsidR="00443EC1" w:rsidRDefault="00443EC1">
            <w:pPr>
              <w:spacing w:before="0" w:after="0" w:line="320" w:lineRule="exact"/>
              <w:jc w:val="center"/>
              <w:rPr>
                <w:rStyle w:val="FootnoteReference"/>
                <w:rFonts w:hint="cs"/>
                <w:b/>
                <w:bCs w:val="0"/>
                <w:szCs w:val="24"/>
                <w:vertAlign w:val="baseline"/>
              </w:rPr>
            </w:pPr>
            <w:r>
              <w:rPr>
                <w:rFonts w:hint="cs"/>
                <w:b/>
                <w:szCs w:val="24"/>
                <w:rtl/>
              </w:rPr>
              <w:t>1987</w:t>
            </w:r>
          </w:p>
        </w:tc>
        <w:tc>
          <w:tcPr>
            <w:tcW w:w="1260" w:type="dxa"/>
          </w:tcPr>
          <w:p w:rsidR="00443EC1" w:rsidRDefault="00443EC1">
            <w:pPr>
              <w:spacing w:before="0" w:after="0" w:line="320" w:lineRule="exact"/>
              <w:jc w:val="center"/>
              <w:rPr>
                <w:rStyle w:val="FootnoteReference"/>
                <w:rFonts w:hint="cs"/>
                <w:b/>
                <w:bCs w:val="0"/>
                <w:szCs w:val="24"/>
                <w:vertAlign w:val="baseline"/>
              </w:rPr>
            </w:pPr>
            <w:r>
              <w:rPr>
                <w:rFonts w:hint="cs"/>
                <w:b/>
                <w:szCs w:val="24"/>
                <w:rtl/>
              </w:rPr>
              <w:t>1992</w:t>
            </w:r>
          </w:p>
        </w:tc>
        <w:tc>
          <w:tcPr>
            <w:tcW w:w="1080" w:type="dxa"/>
          </w:tcPr>
          <w:p w:rsidR="00443EC1" w:rsidRDefault="00443EC1">
            <w:pPr>
              <w:spacing w:before="0" w:after="0" w:line="320" w:lineRule="exact"/>
              <w:jc w:val="center"/>
              <w:rPr>
                <w:rStyle w:val="FootnoteReference"/>
                <w:rFonts w:hint="cs"/>
                <w:b/>
                <w:bCs w:val="0"/>
                <w:szCs w:val="24"/>
                <w:vertAlign w:val="baseline"/>
              </w:rPr>
            </w:pPr>
            <w:r>
              <w:rPr>
                <w:rFonts w:hint="cs"/>
                <w:b/>
                <w:szCs w:val="24"/>
                <w:rtl/>
              </w:rPr>
              <w:t>1998</w:t>
            </w:r>
          </w:p>
        </w:tc>
        <w:tc>
          <w:tcPr>
            <w:tcW w:w="1226" w:type="dxa"/>
          </w:tcPr>
          <w:p w:rsidR="00443EC1" w:rsidRDefault="00443EC1">
            <w:pPr>
              <w:spacing w:before="0" w:after="0" w:line="320" w:lineRule="exact"/>
              <w:jc w:val="center"/>
              <w:rPr>
                <w:rStyle w:val="FootnoteReference"/>
                <w:rFonts w:hint="cs"/>
                <w:b/>
                <w:bCs w:val="0"/>
                <w:szCs w:val="24"/>
                <w:vertAlign w:val="baseline"/>
              </w:rPr>
            </w:pPr>
            <w:r>
              <w:rPr>
                <w:rFonts w:hint="cs"/>
                <w:b/>
                <w:szCs w:val="24"/>
                <w:rtl/>
              </w:rPr>
              <w:t>1999</w:t>
            </w:r>
          </w:p>
        </w:tc>
        <w:tc>
          <w:tcPr>
            <w:tcW w:w="1294" w:type="dxa"/>
          </w:tcPr>
          <w:p w:rsidR="00443EC1" w:rsidRDefault="00443EC1">
            <w:pPr>
              <w:spacing w:before="0" w:after="0" w:line="320" w:lineRule="exact"/>
              <w:jc w:val="center"/>
              <w:rPr>
                <w:rStyle w:val="FootnoteReference"/>
                <w:rFonts w:hint="cs"/>
                <w:b/>
                <w:bCs w:val="0"/>
                <w:szCs w:val="24"/>
                <w:vertAlign w:val="baseline"/>
              </w:rPr>
            </w:pPr>
            <w:r>
              <w:rPr>
                <w:rFonts w:hint="cs"/>
                <w:b/>
                <w:szCs w:val="24"/>
                <w:rtl/>
              </w:rPr>
              <w:t>2000*</w:t>
            </w:r>
          </w:p>
        </w:tc>
        <w:tc>
          <w:tcPr>
            <w:tcW w:w="1080" w:type="dxa"/>
          </w:tcPr>
          <w:p w:rsidR="00443EC1" w:rsidRDefault="00443EC1">
            <w:pPr>
              <w:spacing w:before="0" w:after="0" w:line="320" w:lineRule="exact"/>
              <w:jc w:val="center"/>
              <w:rPr>
                <w:rStyle w:val="FootnoteReference"/>
                <w:rFonts w:hint="cs"/>
                <w:b/>
                <w:bCs w:val="0"/>
                <w:szCs w:val="24"/>
                <w:vertAlign w:val="baseline"/>
              </w:rPr>
            </w:pPr>
            <w:r>
              <w:rPr>
                <w:rFonts w:hint="cs"/>
                <w:b/>
                <w:szCs w:val="24"/>
                <w:rtl/>
              </w:rPr>
              <w:t>2001</w:t>
            </w:r>
          </w:p>
        </w:tc>
        <w:tc>
          <w:tcPr>
            <w:tcW w:w="1080" w:type="dxa"/>
          </w:tcPr>
          <w:p w:rsidR="00443EC1" w:rsidRDefault="00443EC1">
            <w:pPr>
              <w:spacing w:before="0" w:after="0" w:line="320" w:lineRule="exact"/>
              <w:jc w:val="right"/>
              <w:rPr>
                <w:rStyle w:val="FootnoteReference"/>
                <w:rFonts w:hint="cs"/>
                <w:b/>
                <w:bCs w:val="0"/>
                <w:szCs w:val="24"/>
                <w:vertAlign w:val="baseline"/>
              </w:rPr>
            </w:pPr>
            <w:r>
              <w:rPr>
                <w:rFonts w:hint="cs"/>
                <w:b/>
                <w:szCs w:val="24"/>
                <w:rtl/>
              </w:rPr>
              <w:t>2002**</w:t>
            </w:r>
          </w:p>
        </w:tc>
      </w:tr>
      <w:tr w:rsidR="00443EC1" w:rsidTr="00443EC1">
        <w:tblPrEx>
          <w:tblCellMar>
            <w:top w:w="0" w:type="dxa"/>
            <w:bottom w:w="0" w:type="dxa"/>
          </w:tblCellMar>
        </w:tblPrEx>
        <w:trPr>
          <w:jc w:val="center"/>
        </w:trPr>
        <w:tc>
          <w:tcPr>
            <w:tcW w:w="1260" w:type="dxa"/>
          </w:tcPr>
          <w:p w:rsidR="00443EC1" w:rsidRDefault="00443EC1">
            <w:pPr>
              <w:spacing w:before="0" w:after="0" w:line="320" w:lineRule="exact"/>
              <w:jc w:val="center"/>
              <w:rPr>
                <w:rStyle w:val="FootnoteReference"/>
                <w:rFonts w:hint="cs"/>
                <w:b/>
                <w:bCs w:val="0"/>
                <w:szCs w:val="24"/>
                <w:vertAlign w:val="baseline"/>
              </w:rPr>
            </w:pPr>
            <w:r>
              <w:rPr>
                <w:rFonts w:hint="cs"/>
                <w:b/>
                <w:szCs w:val="24"/>
                <w:rtl/>
              </w:rPr>
              <w:t>4.3</w:t>
            </w:r>
          </w:p>
        </w:tc>
        <w:tc>
          <w:tcPr>
            <w:tcW w:w="1260" w:type="dxa"/>
          </w:tcPr>
          <w:p w:rsidR="00443EC1" w:rsidRDefault="00443EC1">
            <w:pPr>
              <w:spacing w:before="0" w:after="0" w:line="320" w:lineRule="exact"/>
              <w:jc w:val="center"/>
              <w:rPr>
                <w:rStyle w:val="FootnoteReference"/>
                <w:rFonts w:hint="cs"/>
                <w:b/>
                <w:bCs w:val="0"/>
                <w:szCs w:val="24"/>
                <w:vertAlign w:val="baseline"/>
              </w:rPr>
            </w:pPr>
            <w:r>
              <w:rPr>
                <w:rFonts w:hint="cs"/>
                <w:b/>
                <w:szCs w:val="24"/>
                <w:rtl/>
              </w:rPr>
              <w:t>5.5</w:t>
            </w:r>
          </w:p>
        </w:tc>
        <w:tc>
          <w:tcPr>
            <w:tcW w:w="1080" w:type="dxa"/>
          </w:tcPr>
          <w:p w:rsidR="00443EC1" w:rsidRDefault="00443EC1">
            <w:pPr>
              <w:spacing w:before="0" w:after="0" w:line="320" w:lineRule="exact"/>
              <w:jc w:val="center"/>
              <w:rPr>
                <w:rStyle w:val="FootnoteReference"/>
                <w:rFonts w:hint="cs"/>
                <w:b/>
                <w:bCs w:val="0"/>
                <w:szCs w:val="24"/>
                <w:vertAlign w:val="baseline"/>
              </w:rPr>
            </w:pPr>
            <w:r>
              <w:rPr>
                <w:rFonts w:hint="cs"/>
                <w:b/>
                <w:szCs w:val="24"/>
                <w:rtl/>
              </w:rPr>
              <w:t>1.9</w:t>
            </w:r>
          </w:p>
        </w:tc>
        <w:tc>
          <w:tcPr>
            <w:tcW w:w="1226" w:type="dxa"/>
          </w:tcPr>
          <w:p w:rsidR="00443EC1" w:rsidRDefault="00443EC1">
            <w:pPr>
              <w:spacing w:before="0" w:after="0" w:line="320" w:lineRule="exact"/>
              <w:jc w:val="center"/>
              <w:rPr>
                <w:rStyle w:val="FootnoteReference"/>
                <w:rFonts w:hint="cs"/>
                <w:b/>
                <w:bCs w:val="0"/>
                <w:szCs w:val="24"/>
                <w:vertAlign w:val="baseline"/>
              </w:rPr>
            </w:pPr>
            <w:r>
              <w:rPr>
                <w:rFonts w:hint="cs"/>
                <w:b/>
                <w:szCs w:val="24"/>
                <w:rtl/>
              </w:rPr>
              <w:t>2.0</w:t>
            </w:r>
          </w:p>
        </w:tc>
        <w:tc>
          <w:tcPr>
            <w:tcW w:w="1294" w:type="dxa"/>
          </w:tcPr>
          <w:p w:rsidR="00443EC1" w:rsidRDefault="00443EC1">
            <w:pPr>
              <w:spacing w:before="0" w:after="0" w:line="320" w:lineRule="exact"/>
              <w:jc w:val="center"/>
              <w:rPr>
                <w:rStyle w:val="FootnoteReference"/>
                <w:rFonts w:hint="cs"/>
                <w:b/>
                <w:bCs w:val="0"/>
                <w:szCs w:val="24"/>
                <w:vertAlign w:val="baseline"/>
              </w:rPr>
            </w:pPr>
            <w:r>
              <w:rPr>
                <w:rFonts w:hint="cs"/>
                <w:b/>
                <w:szCs w:val="24"/>
                <w:rtl/>
              </w:rPr>
              <w:t>5.6</w:t>
            </w:r>
          </w:p>
        </w:tc>
        <w:tc>
          <w:tcPr>
            <w:tcW w:w="1080" w:type="dxa"/>
          </w:tcPr>
          <w:p w:rsidR="00443EC1" w:rsidRDefault="00443EC1">
            <w:pPr>
              <w:spacing w:before="0" w:after="0" w:line="320" w:lineRule="exact"/>
              <w:jc w:val="center"/>
              <w:rPr>
                <w:rStyle w:val="FootnoteReference"/>
                <w:rFonts w:hint="cs"/>
                <w:b/>
                <w:bCs w:val="0"/>
                <w:szCs w:val="24"/>
                <w:vertAlign w:val="baseline"/>
              </w:rPr>
            </w:pPr>
            <w:r>
              <w:rPr>
                <w:rFonts w:hint="cs"/>
                <w:b/>
                <w:szCs w:val="24"/>
                <w:rtl/>
              </w:rPr>
              <w:t>2.0</w:t>
            </w:r>
          </w:p>
        </w:tc>
        <w:tc>
          <w:tcPr>
            <w:tcW w:w="1080" w:type="dxa"/>
          </w:tcPr>
          <w:p w:rsidR="00443EC1" w:rsidRDefault="00443EC1">
            <w:pPr>
              <w:spacing w:before="0" w:after="0" w:line="320" w:lineRule="exact"/>
              <w:jc w:val="center"/>
              <w:rPr>
                <w:rStyle w:val="FootnoteReference"/>
                <w:rFonts w:hint="cs"/>
                <w:b/>
                <w:bCs w:val="0"/>
                <w:szCs w:val="24"/>
                <w:vertAlign w:val="baseline"/>
              </w:rPr>
            </w:pPr>
            <w:r>
              <w:rPr>
                <w:rFonts w:hint="cs"/>
                <w:b/>
                <w:szCs w:val="24"/>
                <w:rtl/>
              </w:rPr>
              <w:t>4.2</w:t>
            </w:r>
          </w:p>
        </w:tc>
      </w:tr>
    </w:tbl>
    <w:p w:rsidR="00000000" w:rsidRDefault="00443EC1">
      <w:pPr>
        <w:spacing w:before="0" w:after="0" w:line="360" w:lineRule="exact"/>
        <w:ind w:left="533" w:right="539"/>
        <w:jc w:val="both"/>
        <w:rPr>
          <w:rFonts w:hint="cs"/>
          <w:b/>
          <w:spacing w:val="0"/>
          <w:szCs w:val="24"/>
          <w:rtl/>
        </w:rPr>
      </w:pPr>
      <w:r>
        <w:rPr>
          <w:rFonts w:hint="cs"/>
          <w:b/>
          <w:szCs w:val="24"/>
          <w:rtl/>
        </w:rPr>
        <w:t xml:space="preserve">       *      </w:t>
      </w:r>
      <w:r>
        <w:rPr>
          <w:rFonts w:hint="cs"/>
          <w:b/>
          <w:spacing w:val="0"/>
          <w:szCs w:val="24"/>
          <w:rtl/>
        </w:rPr>
        <w:t>تعد الزيادة الكبيرة ظاهرياً التي طرأت في عام 2000 نتيجةً للانخفاض الشديد في عدد الوفيات. ففي عا</w:t>
      </w:r>
      <w:r>
        <w:rPr>
          <w:rFonts w:hint="cs"/>
          <w:b/>
          <w:spacing w:val="0"/>
          <w:szCs w:val="24"/>
          <w:rtl/>
        </w:rPr>
        <w:t>م 1999</w:t>
      </w:r>
      <w:r>
        <w:rPr>
          <w:rFonts w:hint="cs"/>
          <w:b/>
          <w:szCs w:val="24"/>
          <w:rtl/>
        </w:rPr>
        <w:t xml:space="preserve">، </w:t>
      </w:r>
      <w:r>
        <w:rPr>
          <w:rFonts w:hint="cs"/>
          <w:b/>
          <w:spacing w:val="0"/>
          <w:szCs w:val="24"/>
          <w:rtl/>
        </w:rPr>
        <w:t>سجلت 513 50 حالة ولادة وحالة وفاةٍ واحدة. وفي عام 2000، سجلت 720 53 حالة ولادة وثلاث حالات وفيات. وفي عام 2001، سجلت 144 49 حالة ولادة وحالة وفاةٍ واحدة. وفي عام 2002، سجلت 119 48 حالة ولادة وحالتا وفاة.</w:t>
      </w:r>
    </w:p>
    <w:p w:rsidR="00000000" w:rsidRDefault="00443EC1">
      <w:pPr>
        <w:spacing w:before="0" w:after="80" w:line="300" w:lineRule="exact"/>
        <w:ind w:left="533" w:right="539"/>
        <w:jc w:val="both"/>
        <w:rPr>
          <w:rFonts w:hint="cs"/>
          <w:b/>
          <w:szCs w:val="24"/>
          <w:rtl/>
        </w:rPr>
      </w:pPr>
      <w:r>
        <w:rPr>
          <w:rFonts w:hint="cs"/>
          <w:b/>
          <w:szCs w:val="24"/>
          <w:rtl/>
        </w:rPr>
        <w:t xml:space="preserve">       **     أرقام أولية.</w:t>
      </w:r>
    </w:p>
    <w:p w:rsidR="00000000" w:rsidRDefault="00443EC1">
      <w:pPr>
        <w:spacing w:after="360"/>
        <w:jc w:val="both"/>
        <w:rPr>
          <w:rFonts w:hint="cs"/>
          <w:b/>
          <w:bCs/>
          <w:rtl/>
        </w:rPr>
      </w:pPr>
      <w:r>
        <w:rPr>
          <w:rFonts w:hint="cs"/>
          <w:b/>
          <w:bCs/>
          <w:rtl/>
        </w:rPr>
        <w:t>معدل الخصوبة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20"/>
        <w:gridCol w:w="900"/>
        <w:gridCol w:w="900"/>
        <w:gridCol w:w="1080"/>
        <w:gridCol w:w="900"/>
        <w:gridCol w:w="900"/>
        <w:gridCol w:w="900"/>
      </w:tblGrid>
      <w:tr w:rsidR="00443EC1" w:rsidTr="00443EC1">
        <w:tblPrEx>
          <w:tblCellMar>
            <w:top w:w="0" w:type="dxa"/>
            <w:bottom w:w="0" w:type="dxa"/>
          </w:tblCellMar>
        </w:tblPrEx>
        <w:trPr>
          <w:trHeight w:val="331"/>
          <w:jc w:val="center"/>
        </w:trPr>
        <w:tc>
          <w:tcPr>
            <w:tcW w:w="3420" w:type="dxa"/>
          </w:tcPr>
          <w:p w:rsidR="00443EC1" w:rsidRDefault="00443EC1">
            <w:pPr>
              <w:spacing w:before="0" w:after="0" w:line="240" w:lineRule="exact"/>
              <w:jc w:val="both"/>
              <w:rPr>
                <w:rStyle w:val="FootnoteReference"/>
                <w:rFonts w:hint="cs"/>
                <w:b/>
                <w:bCs w:val="0"/>
                <w:szCs w:val="24"/>
                <w:vertAlign w:val="baseline"/>
              </w:rPr>
            </w:pPr>
          </w:p>
        </w:tc>
        <w:tc>
          <w:tcPr>
            <w:tcW w:w="900" w:type="dxa"/>
          </w:tcPr>
          <w:p w:rsidR="00443EC1" w:rsidRDefault="00443EC1">
            <w:pPr>
              <w:spacing w:before="0" w:after="0" w:line="240" w:lineRule="exact"/>
              <w:jc w:val="center"/>
              <w:rPr>
                <w:rStyle w:val="FootnoteReference"/>
                <w:rFonts w:hint="cs"/>
                <w:b/>
                <w:bCs w:val="0"/>
                <w:szCs w:val="24"/>
                <w:vertAlign w:val="baseline"/>
              </w:rPr>
            </w:pPr>
            <w:r>
              <w:rPr>
                <w:rFonts w:hint="cs"/>
                <w:b/>
                <w:szCs w:val="24"/>
                <w:rtl/>
              </w:rPr>
              <w:t>1987</w:t>
            </w:r>
          </w:p>
        </w:tc>
        <w:tc>
          <w:tcPr>
            <w:tcW w:w="900" w:type="dxa"/>
          </w:tcPr>
          <w:p w:rsidR="00443EC1" w:rsidRDefault="00443EC1">
            <w:pPr>
              <w:spacing w:before="0" w:after="0" w:line="240" w:lineRule="exact"/>
              <w:jc w:val="center"/>
              <w:rPr>
                <w:rStyle w:val="FootnoteReference"/>
                <w:rFonts w:hint="cs"/>
                <w:b/>
                <w:bCs w:val="0"/>
                <w:szCs w:val="24"/>
                <w:vertAlign w:val="baseline"/>
              </w:rPr>
            </w:pPr>
            <w:r>
              <w:rPr>
                <w:rFonts w:hint="cs"/>
                <w:b/>
                <w:szCs w:val="24"/>
                <w:rtl/>
              </w:rPr>
              <w:t>1992</w:t>
            </w:r>
          </w:p>
        </w:tc>
        <w:tc>
          <w:tcPr>
            <w:tcW w:w="1080" w:type="dxa"/>
          </w:tcPr>
          <w:p w:rsidR="00443EC1" w:rsidRDefault="00443EC1">
            <w:pPr>
              <w:spacing w:before="0" w:after="0" w:line="240" w:lineRule="exact"/>
              <w:jc w:val="center"/>
              <w:rPr>
                <w:rStyle w:val="FootnoteReference"/>
                <w:rFonts w:hint="cs"/>
                <w:b/>
                <w:bCs w:val="0"/>
                <w:szCs w:val="24"/>
                <w:vertAlign w:val="baseline"/>
              </w:rPr>
            </w:pPr>
            <w:r>
              <w:rPr>
                <w:rFonts w:hint="cs"/>
                <w:b/>
                <w:szCs w:val="24"/>
                <w:rtl/>
              </w:rPr>
              <w:t>1998</w:t>
            </w:r>
          </w:p>
        </w:tc>
        <w:tc>
          <w:tcPr>
            <w:tcW w:w="900" w:type="dxa"/>
          </w:tcPr>
          <w:p w:rsidR="00443EC1" w:rsidRDefault="00443EC1">
            <w:pPr>
              <w:spacing w:before="0" w:after="0" w:line="240" w:lineRule="exact"/>
              <w:jc w:val="center"/>
              <w:rPr>
                <w:rStyle w:val="FootnoteReference"/>
                <w:rFonts w:hint="cs"/>
                <w:b/>
                <w:bCs w:val="0"/>
                <w:szCs w:val="24"/>
                <w:vertAlign w:val="baseline"/>
              </w:rPr>
            </w:pPr>
            <w:r>
              <w:rPr>
                <w:rFonts w:hint="cs"/>
                <w:b/>
                <w:szCs w:val="24"/>
                <w:rtl/>
              </w:rPr>
              <w:t>1999</w:t>
            </w:r>
          </w:p>
        </w:tc>
        <w:tc>
          <w:tcPr>
            <w:tcW w:w="900" w:type="dxa"/>
          </w:tcPr>
          <w:p w:rsidR="00443EC1" w:rsidRDefault="00443EC1">
            <w:pPr>
              <w:spacing w:before="0" w:after="0" w:line="240" w:lineRule="exact"/>
              <w:jc w:val="center"/>
              <w:rPr>
                <w:rStyle w:val="FootnoteReference"/>
                <w:rFonts w:hint="cs"/>
                <w:b/>
                <w:bCs w:val="0"/>
                <w:szCs w:val="24"/>
                <w:vertAlign w:val="baseline"/>
              </w:rPr>
            </w:pPr>
            <w:r>
              <w:rPr>
                <w:rFonts w:hint="cs"/>
                <w:b/>
                <w:szCs w:val="24"/>
                <w:rtl/>
              </w:rPr>
              <w:t>2000</w:t>
            </w:r>
          </w:p>
        </w:tc>
        <w:tc>
          <w:tcPr>
            <w:tcW w:w="900" w:type="dxa"/>
          </w:tcPr>
          <w:p w:rsidR="00443EC1" w:rsidRDefault="00443EC1">
            <w:pPr>
              <w:spacing w:before="0" w:after="0" w:line="240" w:lineRule="exact"/>
              <w:jc w:val="right"/>
              <w:rPr>
                <w:rStyle w:val="FootnoteReference"/>
                <w:rFonts w:hint="cs"/>
                <w:b/>
                <w:bCs w:val="0"/>
                <w:szCs w:val="24"/>
                <w:vertAlign w:val="baseline"/>
              </w:rPr>
            </w:pPr>
            <w:r>
              <w:rPr>
                <w:rFonts w:hint="cs"/>
                <w:b/>
                <w:szCs w:val="24"/>
                <w:rtl/>
              </w:rPr>
              <w:t>2001*</w:t>
            </w:r>
          </w:p>
        </w:tc>
      </w:tr>
      <w:tr w:rsidR="00443EC1" w:rsidTr="00443EC1">
        <w:tblPrEx>
          <w:tblCellMar>
            <w:top w:w="0" w:type="dxa"/>
            <w:bottom w:w="0" w:type="dxa"/>
          </w:tblCellMar>
        </w:tblPrEx>
        <w:trPr>
          <w:trHeight w:val="813"/>
          <w:jc w:val="center"/>
        </w:trPr>
        <w:tc>
          <w:tcPr>
            <w:tcW w:w="3420" w:type="dxa"/>
          </w:tcPr>
          <w:p w:rsidR="00443EC1" w:rsidRDefault="00443EC1">
            <w:pPr>
              <w:spacing w:before="0" w:after="0" w:line="240" w:lineRule="exact"/>
              <w:jc w:val="left"/>
              <w:rPr>
                <w:rStyle w:val="FootnoteReference"/>
                <w:rFonts w:hint="cs"/>
                <w:b/>
                <w:bCs w:val="0"/>
                <w:spacing w:val="0"/>
                <w:szCs w:val="24"/>
                <w:vertAlign w:val="baseline"/>
              </w:rPr>
            </w:pPr>
            <w:r>
              <w:rPr>
                <w:rFonts w:hint="cs"/>
                <w:b/>
                <w:spacing w:val="0"/>
                <w:szCs w:val="24"/>
                <w:rtl/>
              </w:rPr>
              <w:t>معدل الخصوبة العام</w:t>
            </w:r>
            <w:r>
              <w:rPr>
                <w:b/>
                <w:spacing w:val="0"/>
                <w:szCs w:val="24"/>
                <w:rtl/>
              </w:rPr>
              <w:br/>
            </w:r>
            <w:r>
              <w:rPr>
                <w:rFonts w:hint="cs"/>
                <w:b/>
                <w:spacing w:val="0"/>
                <w:szCs w:val="24"/>
                <w:rtl/>
              </w:rPr>
              <w:t>(لكـل 000 1 امـرأة - باسـتثناء الخادمـات الأجنبيات - تبلغ من العمر ما بين 15 و49 سنة)</w:t>
            </w:r>
          </w:p>
        </w:tc>
        <w:tc>
          <w:tcPr>
            <w:tcW w:w="900" w:type="dxa"/>
          </w:tcPr>
          <w:p w:rsidR="00443EC1" w:rsidRDefault="00443EC1">
            <w:pPr>
              <w:spacing w:before="0" w:after="0" w:line="240" w:lineRule="exact"/>
              <w:jc w:val="center"/>
              <w:rPr>
                <w:rFonts w:hint="cs"/>
                <w:b/>
                <w:szCs w:val="24"/>
                <w:rtl/>
              </w:rPr>
            </w:pPr>
            <w:r>
              <w:rPr>
                <w:rFonts w:hint="cs"/>
                <w:b/>
                <w:szCs w:val="24"/>
                <w:rtl/>
              </w:rPr>
              <w:t>47.9</w:t>
            </w:r>
          </w:p>
        </w:tc>
        <w:tc>
          <w:tcPr>
            <w:tcW w:w="900" w:type="dxa"/>
          </w:tcPr>
          <w:p w:rsidR="00443EC1" w:rsidRDefault="00443EC1">
            <w:pPr>
              <w:spacing w:before="0" w:after="0" w:line="240" w:lineRule="exact"/>
              <w:jc w:val="center"/>
              <w:rPr>
                <w:rFonts w:hint="cs"/>
                <w:b/>
                <w:szCs w:val="24"/>
                <w:rtl/>
              </w:rPr>
            </w:pPr>
            <w:r>
              <w:rPr>
                <w:rFonts w:hint="cs"/>
                <w:b/>
                <w:szCs w:val="24"/>
                <w:rtl/>
              </w:rPr>
              <w:t>46.3</w:t>
            </w:r>
          </w:p>
        </w:tc>
        <w:tc>
          <w:tcPr>
            <w:tcW w:w="1080" w:type="dxa"/>
          </w:tcPr>
          <w:p w:rsidR="00443EC1" w:rsidRDefault="00443EC1">
            <w:pPr>
              <w:spacing w:before="0" w:after="0" w:line="240" w:lineRule="exact"/>
              <w:jc w:val="center"/>
              <w:rPr>
                <w:rFonts w:hint="cs"/>
                <w:b/>
                <w:szCs w:val="24"/>
                <w:rtl/>
              </w:rPr>
            </w:pPr>
            <w:r>
              <w:rPr>
                <w:rFonts w:hint="cs"/>
                <w:b/>
                <w:szCs w:val="24"/>
                <w:rtl/>
              </w:rPr>
              <w:t>29.3</w:t>
            </w:r>
          </w:p>
        </w:tc>
        <w:tc>
          <w:tcPr>
            <w:tcW w:w="900" w:type="dxa"/>
          </w:tcPr>
          <w:p w:rsidR="00443EC1" w:rsidRDefault="00443EC1">
            <w:pPr>
              <w:spacing w:before="0" w:after="0" w:line="240" w:lineRule="exact"/>
              <w:jc w:val="center"/>
              <w:rPr>
                <w:rFonts w:hint="cs"/>
                <w:b/>
                <w:szCs w:val="24"/>
                <w:rtl/>
              </w:rPr>
            </w:pPr>
            <w:r>
              <w:rPr>
                <w:rFonts w:hint="cs"/>
                <w:b/>
                <w:szCs w:val="24"/>
                <w:rtl/>
              </w:rPr>
              <w:t>28.1</w:t>
            </w:r>
          </w:p>
        </w:tc>
        <w:tc>
          <w:tcPr>
            <w:tcW w:w="900" w:type="dxa"/>
          </w:tcPr>
          <w:p w:rsidR="00443EC1" w:rsidRDefault="00443EC1">
            <w:pPr>
              <w:spacing w:before="0" w:after="0" w:line="240" w:lineRule="exact"/>
              <w:jc w:val="center"/>
              <w:rPr>
                <w:rFonts w:hint="cs"/>
                <w:b/>
                <w:szCs w:val="24"/>
                <w:rtl/>
              </w:rPr>
            </w:pPr>
            <w:r>
              <w:rPr>
                <w:rFonts w:hint="cs"/>
                <w:b/>
                <w:szCs w:val="24"/>
                <w:rtl/>
              </w:rPr>
              <w:t>29.5</w:t>
            </w:r>
          </w:p>
        </w:tc>
        <w:tc>
          <w:tcPr>
            <w:tcW w:w="900" w:type="dxa"/>
          </w:tcPr>
          <w:p w:rsidR="00443EC1" w:rsidRDefault="00443EC1">
            <w:pPr>
              <w:spacing w:before="0" w:after="0" w:line="240" w:lineRule="exact"/>
              <w:jc w:val="center"/>
              <w:rPr>
                <w:rFonts w:hint="cs"/>
                <w:b/>
                <w:szCs w:val="24"/>
                <w:rtl/>
              </w:rPr>
            </w:pPr>
            <w:r>
              <w:rPr>
                <w:rFonts w:hint="cs"/>
                <w:b/>
                <w:szCs w:val="24"/>
                <w:rtl/>
              </w:rPr>
              <w:t>26.2</w:t>
            </w:r>
          </w:p>
        </w:tc>
      </w:tr>
    </w:tbl>
    <w:p w:rsidR="00000000" w:rsidRDefault="00443EC1">
      <w:pPr>
        <w:spacing w:before="0" w:after="80" w:line="360" w:lineRule="exact"/>
        <w:ind w:right="360"/>
        <w:jc w:val="both"/>
        <w:rPr>
          <w:rFonts w:hint="cs"/>
          <w:b/>
          <w:spacing w:val="0"/>
          <w:szCs w:val="24"/>
          <w:rtl/>
        </w:rPr>
      </w:pPr>
      <w:r>
        <w:rPr>
          <w:rFonts w:hint="cs"/>
          <w:b/>
          <w:spacing w:val="0"/>
          <w:szCs w:val="24"/>
          <w:rtl/>
        </w:rPr>
        <w:tab/>
        <w:t>*</w:t>
      </w:r>
      <w:r>
        <w:rPr>
          <w:rFonts w:hint="cs"/>
          <w:b/>
          <w:spacing w:val="0"/>
          <w:szCs w:val="24"/>
          <w:rtl/>
        </w:rPr>
        <w:tab/>
        <w:t>ارتبط الانخفاض في معدل الخصوبة العام خلال الفترة 1987-2001 بعددٍ من العوامل مثل تأجيل ال</w:t>
      </w:r>
      <w:r>
        <w:rPr>
          <w:rFonts w:hint="cs"/>
          <w:b/>
          <w:spacing w:val="0"/>
          <w:szCs w:val="24"/>
          <w:rtl/>
        </w:rPr>
        <w:t>زواج، وإرجاء الولادات وتخفيض عددها ووتيرة الولادات، والمناخ الاقتصادي غير المواتي. أما الأرقام عن عام 2002، فهي غير متوفرة.</w:t>
      </w:r>
    </w:p>
    <w:p w:rsidR="00000000" w:rsidRDefault="00443EC1">
      <w:pPr>
        <w:jc w:val="both"/>
        <w:rPr>
          <w:rFonts w:hint="cs"/>
          <w:b/>
          <w:bCs/>
          <w:rtl/>
        </w:rPr>
      </w:pPr>
      <w:r>
        <w:rPr>
          <w:rFonts w:hint="cs"/>
          <w:b/>
          <w:bCs/>
          <w:rtl/>
        </w:rPr>
        <w:t xml:space="preserve">النسبة المئوية لأرباب الأسر المعيشية حسب الجنس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0"/>
        <w:gridCol w:w="1206"/>
        <w:gridCol w:w="1314"/>
        <w:gridCol w:w="1260"/>
        <w:gridCol w:w="1080"/>
      </w:tblGrid>
      <w:tr w:rsidR="00443EC1" w:rsidTr="00443EC1">
        <w:tblPrEx>
          <w:tblCellMar>
            <w:top w:w="0" w:type="dxa"/>
            <w:bottom w:w="0" w:type="dxa"/>
          </w:tblCellMar>
        </w:tblPrEx>
        <w:trPr>
          <w:trHeight w:val="422"/>
          <w:jc w:val="center"/>
        </w:trPr>
        <w:tc>
          <w:tcPr>
            <w:tcW w:w="1440" w:type="dxa"/>
            <w:tcBorders>
              <w:bottom w:val="single" w:sz="4" w:space="0" w:color="auto"/>
            </w:tcBorders>
          </w:tcPr>
          <w:p w:rsidR="00443EC1" w:rsidRDefault="00443EC1">
            <w:pPr>
              <w:spacing w:before="0" w:after="0" w:line="280" w:lineRule="exact"/>
              <w:jc w:val="center"/>
              <w:rPr>
                <w:rStyle w:val="FootnoteReference"/>
                <w:rFonts w:hint="cs"/>
                <w:bCs w:val="0"/>
                <w:szCs w:val="24"/>
                <w:vertAlign w:val="baseline"/>
              </w:rPr>
            </w:pPr>
            <w:r>
              <w:rPr>
                <w:rFonts w:hint="cs"/>
                <w:szCs w:val="24"/>
                <w:rtl/>
              </w:rPr>
              <w:t>الجنس</w:t>
            </w:r>
          </w:p>
        </w:tc>
        <w:tc>
          <w:tcPr>
            <w:tcW w:w="1206" w:type="dxa"/>
            <w:tcBorders>
              <w:bottom w:val="single" w:sz="4" w:space="0" w:color="auto"/>
            </w:tcBorders>
          </w:tcPr>
          <w:p w:rsidR="00443EC1" w:rsidRDefault="00443EC1">
            <w:pPr>
              <w:spacing w:before="0" w:after="0" w:line="280" w:lineRule="exact"/>
              <w:jc w:val="center"/>
              <w:rPr>
                <w:rStyle w:val="FootnoteReference"/>
                <w:rFonts w:hint="cs"/>
                <w:bCs w:val="0"/>
                <w:szCs w:val="24"/>
                <w:vertAlign w:val="baseline"/>
              </w:rPr>
            </w:pPr>
            <w:r>
              <w:rPr>
                <w:rFonts w:hint="cs"/>
                <w:szCs w:val="24"/>
                <w:rtl/>
              </w:rPr>
              <w:t>1986</w:t>
            </w:r>
          </w:p>
        </w:tc>
        <w:tc>
          <w:tcPr>
            <w:tcW w:w="1314" w:type="dxa"/>
            <w:tcBorders>
              <w:bottom w:val="single" w:sz="4" w:space="0" w:color="auto"/>
            </w:tcBorders>
          </w:tcPr>
          <w:p w:rsidR="00443EC1" w:rsidRDefault="00443EC1">
            <w:pPr>
              <w:spacing w:before="0" w:after="0" w:line="280" w:lineRule="exact"/>
              <w:jc w:val="center"/>
              <w:rPr>
                <w:rStyle w:val="FootnoteReference"/>
                <w:rFonts w:hint="cs"/>
                <w:bCs w:val="0"/>
                <w:szCs w:val="24"/>
                <w:vertAlign w:val="baseline"/>
              </w:rPr>
            </w:pPr>
            <w:r>
              <w:rPr>
                <w:rFonts w:hint="cs"/>
                <w:szCs w:val="24"/>
                <w:rtl/>
              </w:rPr>
              <w:t>1991</w:t>
            </w:r>
          </w:p>
        </w:tc>
        <w:tc>
          <w:tcPr>
            <w:tcW w:w="1260" w:type="dxa"/>
            <w:tcBorders>
              <w:bottom w:val="single" w:sz="4" w:space="0" w:color="auto"/>
            </w:tcBorders>
          </w:tcPr>
          <w:p w:rsidR="00443EC1" w:rsidRDefault="00443EC1">
            <w:pPr>
              <w:spacing w:before="0" w:after="0" w:line="280" w:lineRule="exact"/>
              <w:jc w:val="center"/>
              <w:rPr>
                <w:rStyle w:val="FootnoteReference"/>
                <w:rFonts w:hint="cs"/>
                <w:bCs w:val="0"/>
                <w:szCs w:val="24"/>
                <w:vertAlign w:val="baseline"/>
              </w:rPr>
            </w:pPr>
            <w:r>
              <w:rPr>
                <w:rFonts w:hint="cs"/>
                <w:szCs w:val="24"/>
                <w:rtl/>
              </w:rPr>
              <w:t>1996</w:t>
            </w:r>
          </w:p>
        </w:tc>
        <w:tc>
          <w:tcPr>
            <w:tcW w:w="1080" w:type="dxa"/>
            <w:tcBorders>
              <w:bottom w:val="single" w:sz="4" w:space="0" w:color="auto"/>
            </w:tcBorders>
          </w:tcPr>
          <w:p w:rsidR="00443EC1" w:rsidRDefault="00443EC1">
            <w:pPr>
              <w:spacing w:before="0" w:after="0" w:line="280" w:lineRule="exact"/>
              <w:jc w:val="center"/>
              <w:rPr>
                <w:rStyle w:val="FootnoteReference"/>
                <w:rFonts w:hint="cs"/>
                <w:bCs w:val="0"/>
                <w:szCs w:val="24"/>
                <w:vertAlign w:val="baseline"/>
              </w:rPr>
            </w:pPr>
            <w:r>
              <w:rPr>
                <w:rFonts w:hint="cs"/>
                <w:szCs w:val="24"/>
                <w:rtl/>
              </w:rPr>
              <w:t>2001*</w:t>
            </w:r>
          </w:p>
        </w:tc>
      </w:tr>
      <w:tr w:rsidR="00443EC1" w:rsidTr="00443EC1">
        <w:tblPrEx>
          <w:tblCellMar>
            <w:top w:w="0" w:type="dxa"/>
            <w:bottom w:w="0" w:type="dxa"/>
          </w:tblCellMar>
        </w:tblPrEx>
        <w:trPr>
          <w:jc w:val="center"/>
        </w:trPr>
        <w:tc>
          <w:tcPr>
            <w:tcW w:w="1440" w:type="dxa"/>
            <w:tcBorders>
              <w:bottom w:val="nil"/>
            </w:tcBorders>
          </w:tcPr>
          <w:p w:rsidR="00443EC1" w:rsidRDefault="00443EC1">
            <w:pPr>
              <w:spacing w:before="0" w:after="0" w:line="280" w:lineRule="exact"/>
              <w:jc w:val="both"/>
              <w:rPr>
                <w:rFonts w:hint="cs"/>
                <w:szCs w:val="24"/>
                <w:rtl/>
              </w:rPr>
            </w:pPr>
            <w:r>
              <w:rPr>
                <w:rFonts w:hint="cs"/>
                <w:szCs w:val="24"/>
                <w:rtl/>
              </w:rPr>
              <w:t>الذكور</w:t>
            </w:r>
          </w:p>
        </w:tc>
        <w:tc>
          <w:tcPr>
            <w:tcW w:w="1206" w:type="dxa"/>
            <w:tcBorders>
              <w:bottom w:val="nil"/>
            </w:tcBorders>
          </w:tcPr>
          <w:p w:rsidR="00443EC1" w:rsidRDefault="00443EC1">
            <w:pPr>
              <w:spacing w:before="0" w:after="0" w:line="280" w:lineRule="exact"/>
              <w:jc w:val="center"/>
              <w:rPr>
                <w:rFonts w:hint="cs"/>
                <w:szCs w:val="24"/>
                <w:rtl/>
              </w:rPr>
            </w:pPr>
            <w:r>
              <w:rPr>
                <w:rFonts w:hint="cs"/>
                <w:szCs w:val="24"/>
                <w:rtl/>
              </w:rPr>
              <w:t>73.0</w:t>
            </w:r>
          </w:p>
        </w:tc>
        <w:tc>
          <w:tcPr>
            <w:tcW w:w="1314" w:type="dxa"/>
            <w:tcBorders>
              <w:bottom w:val="nil"/>
            </w:tcBorders>
          </w:tcPr>
          <w:p w:rsidR="00443EC1" w:rsidRDefault="00443EC1">
            <w:pPr>
              <w:spacing w:before="0" w:after="0" w:line="280" w:lineRule="exact"/>
              <w:jc w:val="center"/>
              <w:rPr>
                <w:rFonts w:hint="cs"/>
                <w:szCs w:val="24"/>
                <w:rtl/>
              </w:rPr>
            </w:pPr>
            <w:r>
              <w:rPr>
                <w:rFonts w:hint="cs"/>
                <w:szCs w:val="24"/>
                <w:rtl/>
              </w:rPr>
              <w:t>74.3</w:t>
            </w:r>
          </w:p>
        </w:tc>
        <w:tc>
          <w:tcPr>
            <w:tcW w:w="1260" w:type="dxa"/>
            <w:tcBorders>
              <w:bottom w:val="nil"/>
            </w:tcBorders>
          </w:tcPr>
          <w:p w:rsidR="00443EC1" w:rsidRDefault="00443EC1">
            <w:pPr>
              <w:spacing w:before="0" w:after="0" w:line="280" w:lineRule="exact"/>
              <w:jc w:val="center"/>
              <w:rPr>
                <w:rFonts w:hint="cs"/>
                <w:szCs w:val="24"/>
                <w:rtl/>
              </w:rPr>
            </w:pPr>
            <w:r>
              <w:rPr>
                <w:rFonts w:hint="cs"/>
                <w:szCs w:val="24"/>
                <w:rtl/>
              </w:rPr>
              <w:t>72.8</w:t>
            </w:r>
          </w:p>
        </w:tc>
        <w:tc>
          <w:tcPr>
            <w:tcW w:w="1080" w:type="dxa"/>
            <w:tcBorders>
              <w:bottom w:val="nil"/>
            </w:tcBorders>
          </w:tcPr>
          <w:p w:rsidR="00443EC1" w:rsidRDefault="00443EC1">
            <w:pPr>
              <w:spacing w:before="0" w:after="0" w:line="280" w:lineRule="exact"/>
              <w:jc w:val="center"/>
              <w:rPr>
                <w:rFonts w:hint="cs"/>
                <w:szCs w:val="24"/>
                <w:rtl/>
              </w:rPr>
            </w:pPr>
            <w:r>
              <w:rPr>
                <w:rFonts w:hint="cs"/>
                <w:szCs w:val="24"/>
                <w:rtl/>
              </w:rPr>
              <w:t>71.2</w:t>
            </w:r>
          </w:p>
        </w:tc>
      </w:tr>
      <w:tr w:rsidR="00443EC1" w:rsidTr="00443EC1">
        <w:tblPrEx>
          <w:tblCellMar>
            <w:top w:w="0" w:type="dxa"/>
            <w:bottom w:w="0" w:type="dxa"/>
          </w:tblCellMar>
        </w:tblPrEx>
        <w:trPr>
          <w:trHeight w:val="365"/>
          <w:jc w:val="center"/>
        </w:trPr>
        <w:tc>
          <w:tcPr>
            <w:tcW w:w="1440" w:type="dxa"/>
            <w:tcBorders>
              <w:top w:val="nil"/>
            </w:tcBorders>
          </w:tcPr>
          <w:p w:rsidR="00443EC1" w:rsidRDefault="00443EC1">
            <w:pPr>
              <w:spacing w:before="0" w:after="0" w:line="280" w:lineRule="exact"/>
              <w:jc w:val="both"/>
              <w:rPr>
                <w:rFonts w:hint="cs"/>
                <w:szCs w:val="24"/>
                <w:rtl/>
              </w:rPr>
            </w:pPr>
            <w:r>
              <w:rPr>
                <w:rFonts w:hint="cs"/>
                <w:szCs w:val="24"/>
                <w:rtl/>
              </w:rPr>
              <w:t>الإناث</w:t>
            </w:r>
          </w:p>
        </w:tc>
        <w:tc>
          <w:tcPr>
            <w:tcW w:w="1206" w:type="dxa"/>
            <w:tcBorders>
              <w:top w:val="nil"/>
            </w:tcBorders>
          </w:tcPr>
          <w:p w:rsidR="00443EC1" w:rsidRDefault="00443EC1">
            <w:pPr>
              <w:spacing w:before="0" w:after="0" w:line="280" w:lineRule="exact"/>
              <w:jc w:val="center"/>
              <w:rPr>
                <w:rFonts w:hint="cs"/>
                <w:szCs w:val="24"/>
                <w:rtl/>
              </w:rPr>
            </w:pPr>
            <w:r>
              <w:rPr>
                <w:rFonts w:hint="cs"/>
                <w:szCs w:val="24"/>
                <w:rtl/>
              </w:rPr>
              <w:t>27.0</w:t>
            </w:r>
          </w:p>
        </w:tc>
        <w:tc>
          <w:tcPr>
            <w:tcW w:w="1314" w:type="dxa"/>
            <w:tcBorders>
              <w:top w:val="nil"/>
            </w:tcBorders>
          </w:tcPr>
          <w:p w:rsidR="00443EC1" w:rsidRDefault="00443EC1">
            <w:pPr>
              <w:spacing w:before="0" w:after="0" w:line="280" w:lineRule="exact"/>
              <w:jc w:val="center"/>
              <w:rPr>
                <w:rFonts w:hint="cs"/>
                <w:szCs w:val="24"/>
                <w:rtl/>
              </w:rPr>
            </w:pPr>
            <w:r>
              <w:rPr>
                <w:rFonts w:hint="cs"/>
                <w:szCs w:val="24"/>
                <w:rtl/>
              </w:rPr>
              <w:t>25.7</w:t>
            </w:r>
          </w:p>
        </w:tc>
        <w:tc>
          <w:tcPr>
            <w:tcW w:w="1260" w:type="dxa"/>
            <w:tcBorders>
              <w:top w:val="nil"/>
            </w:tcBorders>
          </w:tcPr>
          <w:p w:rsidR="00443EC1" w:rsidRDefault="00443EC1">
            <w:pPr>
              <w:spacing w:before="0" w:after="0" w:line="280" w:lineRule="exact"/>
              <w:jc w:val="center"/>
              <w:rPr>
                <w:rFonts w:hint="cs"/>
                <w:szCs w:val="24"/>
                <w:rtl/>
              </w:rPr>
            </w:pPr>
            <w:r>
              <w:rPr>
                <w:rFonts w:hint="cs"/>
                <w:szCs w:val="24"/>
                <w:rtl/>
              </w:rPr>
              <w:t>27.2</w:t>
            </w:r>
          </w:p>
        </w:tc>
        <w:tc>
          <w:tcPr>
            <w:tcW w:w="1080" w:type="dxa"/>
            <w:tcBorders>
              <w:top w:val="nil"/>
            </w:tcBorders>
          </w:tcPr>
          <w:p w:rsidR="00443EC1" w:rsidRDefault="00443EC1">
            <w:pPr>
              <w:spacing w:before="0" w:after="0" w:line="280" w:lineRule="exact"/>
              <w:jc w:val="center"/>
              <w:rPr>
                <w:rFonts w:hint="cs"/>
                <w:szCs w:val="24"/>
                <w:rtl/>
              </w:rPr>
            </w:pPr>
            <w:r>
              <w:rPr>
                <w:rFonts w:hint="cs"/>
                <w:szCs w:val="24"/>
                <w:rtl/>
              </w:rPr>
              <w:t>28.8</w:t>
            </w:r>
          </w:p>
        </w:tc>
      </w:tr>
    </w:tbl>
    <w:p w:rsidR="00000000" w:rsidRDefault="00443EC1">
      <w:pPr>
        <w:spacing w:before="0" w:after="0" w:line="360" w:lineRule="exact"/>
        <w:ind w:left="1072"/>
        <w:jc w:val="both"/>
        <w:rPr>
          <w:rFonts w:hint="cs"/>
          <w:szCs w:val="24"/>
          <w:rtl/>
        </w:rPr>
      </w:pPr>
      <w:r>
        <w:rPr>
          <w:rStyle w:val="FootnoteReference"/>
          <w:rFonts w:hint="cs"/>
          <w:bCs w:val="0"/>
          <w:sz w:val="20"/>
          <w:szCs w:val="22"/>
          <w:vertAlign w:val="baseline"/>
          <w:rtl/>
        </w:rPr>
        <w:tab/>
      </w:r>
      <w:r>
        <w:rPr>
          <w:rFonts w:hint="cs"/>
          <w:szCs w:val="24"/>
          <w:rtl/>
        </w:rPr>
        <w:t>*</w:t>
      </w:r>
      <w:r>
        <w:rPr>
          <w:rFonts w:hint="cs"/>
          <w:szCs w:val="24"/>
          <w:rtl/>
        </w:rPr>
        <w:tab/>
        <w:t>الأرقام عن العام 2002 غير متوفرة.</w:t>
      </w:r>
    </w:p>
    <w:p w:rsidR="00000000" w:rsidRDefault="00443EC1">
      <w:pPr>
        <w:spacing w:before="160" w:after="160"/>
        <w:jc w:val="both"/>
        <w:rPr>
          <w:rFonts w:hint="cs"/>
          <w:b/>
          <w:bCs/>
          <w:rtl/>
        </w:rPr>
      </w:pPr>
      <w:r>
        <w:rPr>
          <w:rFonts w:hint="cs"/>
          <w:b/>
          <w:bCs/>
          <w:rtl/>
        </w:rPr>
        <w:t>معدل البطالة (</w:t>
      </w:r>
      <w:r>
        <w:rPr>
          <w:rFonts w:cs="Mudir MT" w:hint="cs"/>
          <w:b/>
          <w:bCs/>
          <w:sz w:val="24"/>
          <w:szCs w:val="24"/>
          <w:rtl/>
          <w:lang w:eastAsia="en-US"/>
        </w:rPr>
        <w:t>بالنسبة المئوية</w:t>
      </w:r>
      <w:r>
        <w:rPr>
          <w:rFonts w:hint="cs"/>
          <w:b/>
          <w:bCs/>
          <w:rtl/>
        </w:rPr>
        <w:t>)*</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0"/>
        <w:gridCol w:w="1012"/>
        <w:gridCol w:w="1148"/>
        <w:gridCol w:w="1080"/>
        <w:gridCol w:w="1080"/>
        <w:gridCol w:w="1080"/>
        <w:gridCol w:w="1080"/>
      </w:tblGrid>
      <w:tr w:rsidR="00443EC1" w:rsidTr="00443EC1">
        <w:tblPrEx>
          <w:tblCellMar>
            <w:top w:w="0" w:type="dxa"/>
            <w:bottom w:w="0" w:type="dxa"/>
          </w:tblCellMar>
        </w:tblPrEx>
        <w:trPr>
          <w:trHeight w:val="414"/>
          <w:jc w:val="center"/>
        </w:trPr>
        <w:tc>
          <w:tcPr>
            <w:tcW w:w="1080" w:type="dxa"/>
          </w:tcPr>
          <w:p w:rsidR="00443EC1" w:rsidRDefault="00443EC1">
            <w:pPr>
              <w:spacing w:before="0" w:after="0" w:line="280" w:lineRule="exact"/>
              <w:jc w:val="center"/>
              <w:rPr>
                <w:rStyle w:val="FootnoteReference"/>
                <w:rFonts w:hint="cs"/>
                <w:b/>
                <w:bCs w:val="0"/>
                <w:szCs w:val="24"/>
                <w:vertAlign w:val="baseline"/>
              </w:rPr>
            </w:pPr>
            <w:r>
              <w:rPr>
                <w:rFonts w:hint="cs"/>
                <w:b/>
                <w:szCs w:val="24"/>
                <w:rtl/>
              </w:rPr>
              <w:t>1987</w:t>
            </w:r>
          </w:p>
        </w:tc>
        <w:tc>
          <w:tcPr>
            <w:tcW w:w="1012" w:type="dxa"/>
          </w:tcPr>
          <w:p w:rsidR="00443EC1" w:rsidRDefault="00443EC1">
            <w:pPr>
              <w:spacing w:before="0" w:after="0" w:line="280" w:lineRule="exact"/>
              <w:jc w:val="center"/>
              <w:rPr>
                <w:rStyle w:val="FootnoteReference"/>
                <w:rFonts w:hint="cs"/>
                <w:b/>
                <w:bCs w:val="0"/>
                <w:szCs w:val="24"/>
                <w:vertAlign w:val="baseline"/>
              </w:rPr>
            </w:pPr>
            <w:r>
              <w:rPr>
                <w:rFonts w:hint="cs"/>
                <w:b/>
                <w:szCs w:val="24"/>
                <w:rtl/>
              </w:rPr>
              <w:t>1992</w:t>
            </w:r>
          </w:p>
        </w:tc>
        <w:tc>
          <w:tcPr>
            <w:tcW w:w="1148" w:type="dxa"/>
          </w:tcPr>
          <w:p w:rsidR="00443EC1" w:rsidRDefault="00443EC1">
            <w:pPr>
              <w:spacing w:before="0" w:after="0" w:line="280" w:lineRule="exact"/>
              <w:jc w:val="center"/>
              <w:rPr>
                <w:rStyle w:val="FootnoteReference"/>
                <w:rFonts w:hint="cs"/>
                <w:b/>
                <w:bCs w:val="0"/>
                <w:szCs w:val="24"/>
                <w:vertAlign w:val="baseline"/>
              </w:rPr>
            </w:pPr>
            <w:r>
              <w:rPr>
                <w:rFonts w:hint="cs"/>
                <w:b/>
                <w:szCs w:val="24"/>
                <w:rtl/>
              </w:rPr>
              <w:t>1998</w:t>
            </w:r>
          </w:p>
        </w:tc>
        <w:tc>
          <w:tcPr>
            <w:tcW w:w="1080" w:type="dxa"/>
          </w:tcPr>
          <w:p w:rsidR="00443EC1" w:rsidRDefault="00443EC1">
            <w:pPr>
              <w:spacing w:before="0" w:after="0" w:line="280" w:lineRule="exact"/>
              <w:jc w:val="center"/>
              <w:rPr>
                <w:rStyle w:val="FootnoteReference"/>
                <w:rFonts w:hint="cs"/>
                <w:b/>
                <w:bCs w:val="0"/>
                <w:szCs w:val="24"/>
                <w:vertAlign w:val="baseline"/>
              </w:rPr>
            </w:pPr>
            <w:r>
              <w:rPr>
                <w:rFonts w:hint="cs"/>
                <w:b/>
                <w:szCs w:val="24"/>
                <w:rtl/>
              </w:rPr>
              <w:t>1999</w:t>
            </w:r>
          </w:p>
        </w:tc>
        <w:tc>
          <w:tcPr>
            <w:tcW w:w="1080" w:type="dxa"/>
          </w:tcPr>
          <w:p w:rsidR="00443EC1" w:rsidRDefault="00443EC1">
            <w:pPr>
              <w:spacing w:before="0" w:after="0" w:line="280" w:lineRule="exact"/>
              <w:jc w:val="center"/>
              <w:rPr>
                <w:rStyle w:val="FootnoteReference"/>
                <w:rFonts w:hint="cs"/>
                <w:b/>
                <w:bCs w:val="0"/>
                <w:szCs w:val="24"/>
                <w:vertAlign w:val="baseline"/>
              </w:rPr>
            </w:pPr>
            <w:r>
              <w:rPr>
                <w:rFonts w:hint="cs"/>
                <w:b/>
                <w:szCs w:val="24"/>
                <w:rtl/>
              </w:rPr>
              <w:t>2000</w:t>
            </w:r>
          </w:p>
        </w:tc>
        <w:tc>
          <w:tcPr>
            <w:tcW w:w="1080" w:type="dxa"/>
          </w:tcPr>
          <w:p w:rsidR="00443EC1" w:rsidRDefault="00443EC1">
            <w:pPr>
              <w:spacing w:before="0" w:after="0" w:line="280" w:lineRule="exact"/>
              <w:jc w:val="center"/>
              <w:rPr>
                <w:rStyle w:val="FootnoteReference"/>
                <w:rFonts w:hint="cs"/>
                <w:b/>
                <w:bCs w:val="0"/>
                <w:szCs w:val="24"/>
                <w:vertAlign w:val="baseline"/>
              </w:rPr>
            </w:pPr>
            <w:r>
              <w:rPr>
                <w:rFonts w:hint="cs"/>
                <w:b/>
                <w:szCs w:val="24"/>
                <w:rtl/>
              </w:rPr>
              <w:t>2001</w:t>
            </w:r>
          </w:p>
        </w:tc>
        <w:tc>
          <w:tcPr>
            <w:tcW w:w="1080" w:type="dxa"/>
          </w:tcPr>
          <w:p w:rsidR="00443EC1" w:rsidRDefault="00443EC1">
            <w:pPr>
              <w:spacing w:before="0" w:after="0" w:line="280" w:lineRule="exact"/>
              <w:jc w:val="center"/>
              <w:rPr>
                <w:rStyle w:val="FootnoteReference"/>
                <w:rFonts w:hint="cs"/>
                <w:b/>
                <w:bCs w:val="0"/>
                <w:szCs w:val="24"/>
                <w:vertAlign w:val="baseline"/>
              </w:rPr>
            </w:pPr>
            <w:r>
              <w:rPr>
                <w:rFonts w:hint="cs"/>
                <w:b/>
                <w:szCs w:val="24"/>
                <w:rtl/>
              </w:rPr>
              <w:t>2002</w:t>
            </w:r>
          </w:p>
        </w:tc>
      </w:tr>
      <w:tr w:rsidR="00443EC1" w:rsidTr="00443EC1">
        <w:tblPrEx>
          <w:tblCellMar>
            <w:top w:w="0" w:type="dxa"/>
            <w:bottom w:w="0" w:type="dxa"/>
          </w:tblCellMar>
        </w:tblPrEx>
        <w:trPr>
          <w:trHeight w:val="245"/>
          <w:jc w:val="center"/>
        </w:trPr>
        <w:tc>
          <w:tcPr>
            <w:tcW w:w="1080" w:type="dxa"/>
          </w:tcPr>
          <w:p w:rsidR="00443EC1" w:rsidRDefault="00443EC1">
            <w:pPr>
              <w:spacing w:before="0" w:after="0" w:line="280" w:lineRule="exact"/>
              <w:jc w:val="center"/>
              <w:rPr>
                <w:rFonts w:hint="cs"/>
                <w:b/>
                <w:szCs w:val="24"/>
                <w:rtl/>
              </w:rPr>
            </w:pPr>
            <w:r>
              <w:rPr>
                <w:rFonts w:hint="cs"/>
                <w:b/>
                <w:szCs w:val="24"/>
                <w:rtl/>
              </w:rPr>
              <w:t>1.7</w:t>
            </w:r>
          </w:p>
        </w:tc>
        <w:tc>
          <w:tcPr>
            <w:tcW w:w="1012" w:type="dxa"/>
          </w:tcPr>
          <w:p w:rsidR="00443EC1" w:rsidRDefault="00443EC1">
            <w:pPr>
              <w:spacing w:before="0" w:after="0" w:line="280" w:lineRule="exact"/>
              <w:jc w:val="center"/>
              <w:rPr>
                <w:rFonts w:hint="cs"/>
                <w:b/>
                <w:szCs w:val="24"/>
                <w:rtl/>
              </w:rPr>
            </w:pPr>
            <w:r>
              <w:rPr>
                <w:rFonts w:hint="cs"/>
                <w:b/>
                <w:szCs w:val="24"/>
                <w:rtl/>
              </w:rPr>
              <w:t>2.0</w:t>
            </w:r>
          </w:p>
        </w:tc>
        <w:tc>
          <w:tcPr>
            <w:tcW w:w="1148" w:type="dxa"/>
          </w:tcPr>
          <w:p w:rsidR="00443EC1" w:rsidRDefault="00443EC1">
            <w:pPr>
              <w:spacing w:before="0" w:after="0" w:line="280" w:lineRule="exact"/>
              <w:jc w:val="center"/>
              <w:rPr>
                <w:rFonts w:hint="cs"/>
                <w:b/>
                <w:szCs w:val="24"/>
                <w:rtl/>
              </w:rPr>
            </w:pPr>
            <w:r>
              <w:rPr>
                <w:rFonts w:hint="cs"/>
                <w:b/>
                <w:szCs w:val="24"/>
                <w:rtl/>
              </w:rPr>
              <w:t>4.7</w:t>
            </w:r>
          </w:p>
        </w:tc>
        <w:tc>
          <w:tcPr>
            <w:tcW w:w="1080" w:type="dxa"/>
          </w:tcPr>
          <w:p w:rsidR="00443EC1" w:rsidRDefault="00443EC1">
            <w:pPr>
              <w:spacing w:before="0" w:after="0" w:line="280" w:lineRule="exact"/>
              <w:jc w:val="center"/>
              <w:rPr>
                <w:rFonts w:hint="cs"/>
                <w:b/>
                <w:szCs w:val="24"/>
                <w:rtl/>
              </w:rPr>
            </w:pPr>
            <w:r>
              <w:rPr>
                <w:rFonts w:hint="cs"/>
                <w:b/>
                <w:szCs w:val="24"/>
                <w:rtl/>
              </w:rPr>
              <w:t>6.2</w:t>
            </w:r>
          </w:p>
        </w:tc>
        <w:tc>
          <w:tcPr>
            <w:tcW w:w="1080" w:type="dxa"/>
          </w:tcPr>
          <w:p w:rsidR="00443EC1" w:rsidRDefault="00443EC1">
            <w:pPr>
              <w:spacing w:before="0" w:after="0" w:line="280" w:lineRule="exact"/>
              <w:jc w:val="center"/>
              <w:rPr>
                <w:rFonts w:hint="cs"/>
                <w:b/>
                <w:szCs w:val="24"/>
                <w:rtl/>
              </w:rPr>
            </w:pPr>
            <w:r>
              <w:rPr>
                <w:rFonts w:hint="cs"/>
                <w:b/>
                <w:szCs w:val="24"/>
                <w:rtl/>
              </w:rPr>
              <w:t>4.9</w:t>
            </w:r>
          </w:p>
        </w:tc>
        <w:tc>
          <w:tcPr>
            <w:tcW w:w="1080" w:type="dxa"/>
          </w:tcPr>
          <w:p w:rsidR="00443EC1" w:rsidRDefault="00443EC1">
            <w:pPr>
              <w:spacing w:before="0" w:after="0" w:line="280" w:lineRule="exact"/>
              <w:jc w:val="center"/>
              <w:rPr>
                <w:rFonts w:hint="cs"/>
                <w:b/>
                <w:szCs w:val="24"/>
                <w:rtl/>
              </w:rPr>
            </w:pPr>
            <w:r>
              <w:rPr>
                <w:rFonts w:hint="cs"/>
                <w:b/>
                <w:szCs w:val="24"/>
                <w:rtl/>
              </w:rPr>
              <w:t>5.1</w:t>
            </w:r>
          </w:p>
        </w:tc>
        <w:tc>
          <w:tcPr>
            <w:tcW w:w="1080" w:type="dxa"/>
          </w:tcPr>
          <w:p w:rsidR="00443EC1" w:rsidRDefault="00443EC1">
            <w:pPr>
              <w:spacing w:before="0" w:after="0" w:line="280" w:lineRule="exact"/>
              <w:jc w:val="center"/>
              <w:rPr>
                <w:rFonts w:hint="cs"/>
                <w:b/>
                <w:szCs w:val="24"/>
                <w:rtl/>
              </w:rPr>
            </w:pPr>
            <w:r>
              <w:rPr>
                <w:rFonts w:hint="cs"/>
                <w:b/>
                <w:szCs w:val="24"/>
                <w:rtl/>
              </w:rPr>
              <w:t>7.3</w:t>
            </w:r>
          </w:p>
        </w:tc>
      </w:tr>
    </w:tbl>
    <w:p w:rsidR="00000000" w:rsidRDefault="00443EC1">
      <w:pPr>
        <w:spacing w:before="0" w:after="120" w:line="360" w:lineRule="exact"/>
        <w:ind w:left="533" w:right="1259"/>
        <w:jc w:val="both"/>
        <w:rPr>
          <w:rFonts w:hint="cs"/>
          <w:b/>
          <w:szCs w:val="24"/>
          <w:rtl/>
        </w:rPr>
      </w:pPr>
      <w:r>
        <w:rPr>
          <w:rFonts w:hint="cs"/>
          <w:b/>
          <w:szCs w:val="24"/>
          <w:rtl/>
        </w:rPr>
        <w:tab/>
        <w:t xml:space="preserve">    *</w:t>
      </w:r>
      <w:r>
        <w:rPr>
          <w:rFonts w:hint="cs"/>
          <w:b/>
          <w:szCs w:val="24"/>
          <w:rtl/>
        </w:rPr>
        <w:tab/>
        <w:t>متوسطات التقديرات المستقاة من الدراسة الاستقصائية الفصلية العامة للأسر المعيشية التي تشمل فصول السنة الأربعة.</w:t>
      </w:r>
    </w:p>
    <w:p w:rsidR="00000000" w:rsidRDefault="00443EC1">
      <w:pPr>
        <w:spacing w:before="160" w:after="160"/>
        <w:jc w:val="both"/>
        <w:rPr>
          <w:rFonts w:hint="cs"/>
          <w:b/>
          <w:bCs/>
          <w:rtl/>
        </w:rPr>
      </w:pPr>
      <w:r>
        <w:rPr>
          <w:rFonts w:hint="cs"/>
          <w:b/>
          <w:bCs/>
          <w:rtl/>
        </w:rPr>
        <w:t xml:space="preserve">معدل </w:t>
      </w:r>
      <w:r>
        <w:rPr>
          <w:rFonts w:hint="cs"/>
          <w:b/>
          <w:bCs/>
          <w:rtl/>
        </w:rPr>
        <w:t>التضخم</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0"/>
        <w:gridCol w:w="4860"/>
      </w:tblGrid>
      <w:tr w:rsidR="00443EC1" w:rsidTr="00443EC1">
        <w:tblPrEx>
          <w:tblCellMar>
            <w:top w:w="0" w:type="dxa"/>
            <w:bottom w:w="0" w:type="dxa"/>
          </w:tblCellMar>
        </w:tblPrEx>
        <w:trPr>
          <w:cantSplit/>
          <w:trHeight w:val="233"/>
          <w:jc w:val="center"/>
        </w:trPr>
        <w:tc>
          <w:tcPr>
            <w:tcW w:w="6840" w:type="dxa"/>
            <w:gridSpan w:val="2"/>
          </w:tcPr>
          <w:p w:rsidR="00000000" w:rsidRDefault="00443EC1">
            <w:pPr>
              <w:spacing w:before="0" w:after="0" w:line="260" w:lineRule="exact"/>
              <w:jc w:val="center"/>
              <w:rPr>
                <w:rStyle w:val="FootnoteReference"/>
                <w:rFonts w:hint="cs"/>
                <w:szCs w:val="24"/>
              </w:rPr>
            </w:pPr>
            <w:r>
              <w:rPr>
                <w:rFonts w:hint="cs"/>
                <w:szCs w:val="24"/>
                <w:rtl/>
              </w:rPr>
              <w:t>الرقم القياسي المركب للأسعار الاستهلاكية*</w:t>
            </w:r>
          </w:p>
        </w:tc>
      </w:tr>
      <w:tr w:rsidR="00443EC1" w:rsidTr="00443EC1">
        <w:tblPrEx>
          <w:tblCellMar>
            <w:top w:w="0" w:type="dxa"/>
            <w:bottom w:w="0" w:type="dxa"/>
          </w:tblCellMar>
        </w:tblPrEx>
        <w:trPr>
          <w:trHeight w:val="353"/>
          <w:jc w:val="center"/>
        </w:trPr>
        <w:tc>
          <w:tcPr>
            <w:tcW w:w="1980" w:type="dxa"/>
            <w:tcBorders>
              <w:bottom w:val="single" w:sz="4" w:space="0" w:color="auto"/>
            </w:tcBorders>
          </w:tcPr>
          <w:p w:rsidR="00443EC1" w:rsidRDefault="00443EC1">
            <w:pPr>
              <w:spacing w:before="0" w:after="0" w:line="260" w:lineRule="exact"/>
              <w:jc w:val="center"/>
              <w:rPr>
                <w:rStyle w:val="FootnoteReference"/>
                <w:rFonts w:hint="cs"/>
                <w:bCs w:val="0"/>
                <w:szCs w:val="24"/>
                <w:vertAlign w:val="baseline"/>
                <w:rtl/>
              </w:rPr>
            </w:pPr>
            <w:r>
              <w:rPr>
                <w:rFonts w:hint="cs"/>
                <w:szCs w:val="24"/>
                <w:rtl/>
              </w:rPr>
              <w:t>السنة</w:t>
            </w:r>
          </w:p>
        </w:tc>
        <w:tc>
          <w:tcPr>
            <w:tcW w:w="4860" w:type="dxa"/>
            <w:tcBorders>
              <w:bottom w:val="single" w:sz="4" w:space="0" w:color="auto"/>
            </w:tcBorders>
          </w:tcPr>
          <w:p w:rsidR="00443EC1" w:rsidRDefault="00443EC1">
            <w:pPr>
              <w:spacing w:before="0" w:after="0" w:line="260" w:lineRule="exact"/>
              <w:jc w:val="center"/>
              <w:rPr>
                <w:rStyle w:val="FootnoteReference"/>
                <w:rFonts w:hint="cs"/>
                <w:bCs w:val="0"/>
                <w:szCs w:val="24"/>
                <w:vertAlign w:val="baseline"/>
              </w:rPr>
            </w:pPr>
            <w:r>
              <w:rPr>
                <w:rFonts w:hint="cs"/>
                <w:szCs w:val="24"/>
                <w:rtl/>
              </w:rPr>
              <w:t>معدل التغير السنوي في الرقم القياسي للأسعار الاستهلاكية (</w:t>
            </w:r>
            <w:r>
              <w:rPr>
                <w:rFonts w:cs="Mudir MT" w:hint="cs"/>
                <w:sz w:val="24"/>
                <w:szCs w:val="24"/>
                <w:rtl/>
                <w:lang w:eastAsia="en-US"/>
              </w:rPr>
              <w:t>%</w:t>
            </w:r>
            <w:r>
              <w:rPr>
                <w:rFonts w:hint="cs"/>
                <w:szCs w:val="24"/>
                <w:rtl/>
              </w:rPr>
              <w:t>)</w:t>
            </w:r>
          </w:p>
        </w:tc>
      </w:tr>
      <w:tr w:rsidR="00443EC1" w:rsidTr="00443EC1">
        <w:tblPrEx>
          <w:tblCellMar>
            <w:top w:w="0" w:type="dxa"/>
            <w:bottom w:w="0" w:type="dxa"/>
          </w:tblCellMar>
        </w:tblPrEx>
        <w:trPr>
          <w:jc w:val="center"/>
        </w:trPr>
        <w:tc>
          <w:tcPr>
            <w:tcW w:w="1980" w:type="dxa"/>
            <w:tcBorders>
              <w:bottom w:val="nil"/>
            </w:tcBorders>
          </w:tcPr>
          <w:p w:rsidR="00443EC1" w:rsidRDefault="00443EC1">
            <w:pPr>
              <w:spacing w:before="0" w:after="0" w:line="240" w:lineRule="exact"/>
              <w:jc w:val="center"/>
              <w:rPr>
                <w:rFonts w:hint="cs"/>
                <w:szCs w:val="24"/>
                <w:rtl/>
              </w:rPr>
            </w:pPr>
            <w:r>
              <w:rPr>
                <w:rFonts w:hint="cs"/>
                <w:szCs w:val="24"/>
                <w:rtl/>
              </w:rPr>
              <w:t>1990</w:t>
            </w:r>
          </w:p>
        </w:tc>
        <w:tc>
          <w:tcPr>
            <w:tcW w:w="4860" w:type="dxa"/>
            <w:tcBorders>
              <w:bottom w:val="nil"/>
            </w:tcBorders>
          </w:tcPr>
          <w:p w:rsidR="00443EC1" w:rsidRDefault="00443EC1">
            <w:pPr>
              <w:spacing w:before="0" w:after="0" w:line="240" w:lineRule="exact"/>
              <w:ind w:left="1701" w:right="1701"/>
              <w:jc w:val="both"/>
              <w:rPr>
                <w:rFonts w:hint="cs"/>
                <w:szCs w:val="24"/>
                <w:rtl/>
              </w:rPr>
            </w:pPr>
            <w:r>
              <w:rPr>
                <w:rFonts w:hint="cs"/>
                <w:szCs w:val="24"/>
                <w:rtl/>
              </w:rPr>
              <w:t>10.2</w:t>
            </w:r>
          </w:p>
        </w:tc>
      </w:tr>
      <w:tr w:rsidR="00443EC1" w:rsidTr="00443EC1">
        <w:tblPrEx>
          <w:tblCellMar>
            <w:top w:w="0" w:type="dxa"/>
            <w:bottom w:w="0" w:type="dxa"/>
          </w:tblCellMar>
        </w:tblPrEx>
        <w:trPr>
          <w:jc w:val="center"/>
        </w:trPr>
        <w:tc>
          <w:tcPr>
            <w:tcW w:w="1980" w:type="dxa"/>
            <w:tcBorders>
              <w:top w:val="nil"/>
              <w:bottom w:val="nil"/>
            </w:tcBorders>
          </w:tcPr>
          <w:p w:rsidR="00443EC1" w:rsidRDefault="00443EC1">
            <w:pPr>
              <w:spacing w:before="0" w:after="0" w:line="240" w:lineRule="exact"/>
              <w:jc w:val="center"/>
              <w:rPr>
                <w:rFonts w:hint="cs"/>
                <w:szCs w:val="24"/>
                <w:rtl/>
              </w:rPr>
            </w:pPr>
            <w:r>
              <w:rPr>
                <w:rFonts w:hint="cs"/>
                <w:szCs w:val="24"/>
                <w:rtl/>
              </w:rPr>
              <w:t>1991</w:t>
            </w:r>
          </w:p>
        </w:tc>
        <w:tc>
          <w:tcPr>
            <w:tcW w:w="4860" w:type="dxa"/>
            <w:tcBorders>
              <w:top w:val="nil"/>
              <w:bottom w:val="nil"/>
            </w:tcBorders>
          </w:tcPr>
          <w:p w:rsidR="00443EC1" w:rsidRDefault="00443EC1">
            <w:pPr>
              <w:spacing w:before="0" w:after="0" w:line="240" w:lineRule="exact"/>
              <w:ind w:left="1701" w:right="1701"/>
              <w:jc w:val="both"/>
              <w:rPr>
                <w:rFonts w:hint="cs"/>
                <w:szCs w:val="24"/>
                <w:rtl/>
              </w:rPr>
            </w:pPr>
            <w:r>
              <w:rPr>
                <w:rFonts w:hint="cs"/>
                <w:szCs w:val="24"/>
                <w:rtl/>
              </w:rPr>
              <w:t>11.6</w:t>
            </w:r>
          </w:p>
        </w:tc>
      </w:tr>
      <w:tr w:rsidR="00443EC1" w:rsidTr="00443EC1">
        <w:tblPrEx>
          <w:tblCellMar>
            <w:top w:w="0" w:type="dxa"/>
            <w:bottom w:w="0" w:type="dxa"/>
          </w:tblCellMar>
        </w:tblPrEx>
        <w:trPr>
          <w:jc w:val="center"/>
        </w:trPr>
        <w:tc>
          <w:tcPr>
            <w:tcW w:w="1980" w:type="dxa"/>
            <w:tcBorders>
              <w:top w:val="nil"/>
              <w:bottom w:val="nil"/>
            </w:tcBorders>
          </w:tcPr>
          <w:p w:rsidR="00443EC1" w:rsidRDefault="00443EC1">
            <w:pPr>
              <w:spacing w:before="0" w:after="0" w:line="240" w:lineRule="exact"/>
              <w:jc w:val="center"/>
              <w:rPr>
                <w:rFonts w:hint="cs"/>
                <w:szCs w:val="24"/>
                <w:rtl/>
              </w:rPr>
            </w:pPr>
            <w:r>
              <w:rPr>
                <w:rFonts w:hint="cs"/>
                <w:szCs w:val="24"/>
                <w:rtl/>
              </w:rPr>
              <w:t>1992</w:t>
            </w:r>
          </w:p>
        </w:tc>
        <w:tc>
          <w:tcPr>
            <w:tcW w:w="4860" w:type="dxa"/>
            <w:tcBorders>
              <w:top w:val="nil"/>
              <w:bottom w:val="nil"/>
            </w:tcBorders>
          </w:tcPr>
          <w:p w:rsidR="00443EC1" w:rsidRDefault="00443EC1">
            <w:pPr>
              <w:spacing w:before="0" w:after="0" w:line="240" w:lineRule="exact"/>
              <w:ind w:left="1701" w:right="1701"/>
              <w:jc w:val="both"/>
              <w:rPr>
                <w:rFonts w:hint="cs"/>
                <w:szCs w:val="24"/>
                <w:rtl/>
              </w:rPr>
            </w:pPr>
            <w:r>
              <w:rPr>
                <w:rFonts w:hint="cs"/>
                <w:szCs w:val="24"/>
                <w:rtl/>
              </w:rPr>
              <w:t>9.6</w:t>
            </w:r>
          </w:p>
        </w:tc>
      </w:tr>
      <w:tr w:rsidR="00443EC1" w:rsidTr="00443EC1">
        <w:tblPrEx>
          <w:tblCellMar>
            <w:top w:w="0" w:type="dxa"/>
            <w:bottom w:w="0" w:type="dxa"/>
          </w:tblCellMar>
        </w:tblPrEx>
        <w:trPr>
          <w:jc w:val="center"/>
        </w:trPr>
        <w:tc>
          <w:tcPr>
            <w:tcW w:w="1980" w:type="dxa"/>
            <w:tcBorders>
              <w:top w:val="nil"/>
              <w:bottom w:val="nil"/>
            </w:tcBorders>
          </w:tcPr>
          <w:p w:rsidR="00443EC1" w:rsidRDefault="00443EC1">
            <w:pPr>
              <w:spacing w:before="0" w:after="0" w:line="240" w:lineRule="exact"/>
              <w:jc w:val="center"/>
              <w:rPr>
                <w:rFonts w:hint="cs"/>
                <w:szCs w:val="24"/>
                <w:rtl/>
              </w:rPr>
            </w:pPr>
            <w:r>
              <w:rPr>
                <w:rFonts w:hint="cs"/>
                <w:szCs w:val="24"/>
                <w:rtl/>
              </w:rPr>
              <w:t>1993</w:t>
            </w:r>
          </w:p>
        </w:tc>
        <w:tc>
          <w:tcPr>
            <w:tcW w:w="4860" w:type="dxa"/>
            <w:tcBorders>
              <w:top w:val="nil"/>
              <w:bottom w:val="nil"/>
            </w:tcBorders>
          </w:tcPr>
          <w:p w:rsidR="00443EC1" w:rsidRDefault="00443EC1">
            <w:pPr>
              <w:spacing w:before="0" w:after="0" w:line="240" w:lineRule="exact"/>
              <w:ind w:left="1701" w:right="1701"/>
              <w:jc w:val="both"/>
              <w:rPr>
                <w:rFonts w:hint="cs"/>
                <w:szCs w:val="24"/>
                <w:rtl/>
              </w:rPr>
            </w:pPr>
            <w:r>
              <w:rPr>
                <w:rFonts w:hint="cs"/>
                <w:szCs w:val="24"/>
                <w:rtl/>
              </w:rPr>
              <w:t>8.8</w:t>
            </w:r>
          </w:p>
        </w:tc>
      </w:tr>
      <w:tr w:rsidR="00443EC1" w:rsidTr="00443EC1">
        <w:tblPrEx>
          <w:tblCellMar>
            <w:top w:w="0" w:type="dxa"/>
            <w:bottom w:w="0" w:type="dxa"/>
          </w:tblCellMar>
        </w:tblPrEx>
        <w:trPr>
          <w:jc w:val="center"/>
        </w:trPr>
        <w:tc>
          <w:tcPr>
            <w:tcW w:w="1980" w:type="dxa"/>
            <w:tcBorders>
              <w:top w:val="nil"/>
              <w:bottom w:val="nil"/>
            </w:tcBorders>
          </w:tcPr>
          <w:p w:rsidR="00443EC1" w:rsidRDefault="00443EC1">
            <w:pPr>
              <w:spacing w:before="0" w:after="0" w:line="240" w:lineRule="exact"/>
              <w:jc w:val="center"/>
              <w:rPr>
                <w:rFonts w:hint="cs"/>
                <w:szCs w:val="24"/>
                <w:rtl/>
              </w:rPr>
            </w:pPr>
            <w:r>
              <w:rPr>
                <w:rFonts w:hint="cs"/>
                <w:szCs w:val="24"/>
                <w:rtl/>
              </w:rPr>
              <w:t>1994</w:t>
            </w:r>
          </w:p>
        </w:tc>
        <w:tc>
          <w:tcPr>
            <w:tcW w:w="4860" w:type="dxa"/>
            <w:tcBorders>
              <w:top w:val="nil"/>
              <w:bottom w:val="nil"/>
            </w:tcBorders>
          </w:tcPr>
          <w:p w:rsidR="00443EC1" w:rsidRDefault="00443EC1">
            <w:pPr>
              <w:spacing w:before="0" w:after="0" w:line="240" w:lineRule="exact"/>
              <w:ind w:left="1701" w:right="1701"/>
              <w:jc w:val="both"/>
              <w:rPr>
                <w:rFonts w:hint="cs"/>
                <w:szCs w:val="24"/>
                <w:rtl/>
              </w:rPr>
            </w:pPr>
            <w:r>
              <w:rPr>
                <w:rFonts w:hint="cs"/>
                <w:szCs w:val="24"/>
                <w:rtl/>
              </w:rPr>
              <w:t>8.8</w:t>
            </w:r>
          </w:p>
        </w:tc>
      </w:tr>
      <w:tr w:rsidR="00443EC1" w:rsidTr="00443EC1">
        <w:tblPrEx>
          <w:tblCellMar>
            <w:top w:w="0" w:type="dxa"/>
            <w:bottom w:w="0" w:type="dxa"/>
          </w:tblCellMar>
        </w:tblPrEx>
        <w:trPr>
          <w:jc w:val="center"/>
        </w:trPr>
        <w:tc>
          <w:tcPr>
            <w:tcW w:w="1980" w:type="dxa"/>
            <w:tcBorders>
              <w:top w:val="nil"/>
              <w:bottom w:val="nil"/>
            </w:tcBorders>
          </w:tcPr>
          <w:p w:rsidR="00443EC1" w:rsidRDefault="00443EC1">
            <w:pPr>
              <w:spacing w:before="0" w:after="0" w:line="240" w:lineRule="exact"/>
              <w:jc w:val="center"/>
              <w:rPr>
                <w:rFonts w:hint="cs"/>
                <w:szCs w:val="24"/>
                <w:rtl/>
              </w:rPr>
            </w:pPr>
            <w:r>
              <w:rPr>
                <w:rFonts w:hint="cs"/>
                <w:szCs w:val="24"/>
                <w:rtl/>
              </w:rPr>
              <w:t>1995</w:t>
            </w:r>
          </w:p>
        </w:tc>
        <w:tc>
          <w:tcPr>
            <w:tcW w:w="4860" w:type="dxa"/>
            <w:tcBorders>
              <w:top w:val="nil"/>
              <w:bottom w:val="nil"/>
            </w:tcBorders>
          </w:tcPr>
          <w:p w:rsidR="00443EC1" w:rsidRDefault="00443EC1">
            <w:pPr>
              <w:spacing w:before="0" w:after="0" w:line="240" w:lineRule="exact"/>
              <w:ind w:left="1701" w:right="1701"/>
              <w:jc w:val="both"/>
              <w:rPr>
                <w:rFonts w:hint="cs"/>
                <w:szCs w:val="24"/>
                <w:rtl/>
              </w:rPr>
            </w:pPr>
            <w:r>
              <w:rPr>
                <w:rFonts w:hint="cs"/>
                <w:szCs w:val="24"/>
                <w:rtl/>
              </w:rPr>
              <w:t>9.1</w:t>
            </w:r>
          </w:p>
        </w:tc>
      </w:tr>
      <w:tr w:rsidR="00443EC1" w:rsidTr="00443EC1">
        <w:tblPrEx>
          <w:tblCellMar>
            <w:top w:w="0" w:type="dxa"/>
            <w:bottom w:w="0" w:type="dxa"/>
          </w:tblCellMar>
        </w:tblPrEx>
        <w:trPr>
          <w:jc w:val="center"/>
        </w:trPr>
        <w:tc>
          <w:tcPr>
            <w:tcW w:w="1980" w:type="dxa"/>
            <w:tcBorders>
              <w:top w:val="nil"/>
              <w:bottom w:val="nil"/>
            </w:tcBorders>
          </w:tcPr>
          <w:p w:rsidR="00443EC1" w:rsidRDefault="00443EC1">
            <w:pPr>
              <w:spacing w:before="0" w:after="0" w:line="240" w:lineRule="exact"/>
              <w:jc w:val="center"/>
              <w:rPr>
                <w:rFonts w:hint="cs"/>
                <w:szCs w:val="24"/>
                <w:rtl/>
              </w:rPr>
            </w:pPr>
            <w:r>
              <w:rPr>
                <w:rFonts w:hint="cs"/>
                <w:szCs w:val="24"/>
                <w:rtl/>
              </w:rPr>
              <w:t>1996</w:t>
            </w:r>
          </w:p>
        </w:tc>
        <w:tc>
          <w:tcPr>
            <w:tcW w:w="4860" w:type="dxa"/>
            <w:tcBorders>
              <w:top w:val="nil"/>
              <w:bottom w:val="nil"/>
            </w:tcBorders>
          </w:tcPr>
          <w:p w:rsidR="00443EC1" w:rsidRDefault="00443EC1">
            <w:pPr>
              <w:spacing w:before="0" w:after="0" w:line="240" w:lineRule="exact"/>
              <w:ind w:left="1701" w:right="1701"/>
              <w:jc w:val="both"/>
              <w:rPr>
                <w:rFonts w:hint="cs"/>
                <w:szCs w:val="24"/>
                <w:rtl/>
              </w:rPr>
            </w:pPr>
            <w:r>
              <w:rPr>
                <w:rFonts w:hint="cs"/>
                <w:szCs w:val="24"/>
                <w:rtl/>
              </w:rPr>
              <w:t>6.3</w:t>
            </w:r>
          </w:p>
        </w:tc>
      </w:tr>
      <w:tr w:rsidR="00443EC1" w:rsidTr="00443EC1">
        <w:tblPrEx>
          <w:tblCellMar>
            <w:top w:w="0" w:type="dxa"/>
            <w:bottom w:w="0" w:type="dxa"/>
          </w:tblCellMar>
        </w:tblPrEx>
        <w:trPr>
          <w:jc w:val="center"/>
        </w:trPr>
        <w:tc>
          <w:tcPr>
            <w:tcW w:w="1980" w:type="dxa"/>
            <w:tcBorders>
              <w:top w:val="nil"/>
              <w:bottom w:val="nil"/>
            </w:tcBorders>
          </w:tcPr>
          <w:p w:rsidR="00443EC1" w:rsidRDefault="00443EC1">
            <w:pPr>
              <w:spacing w:before="0" w:after="0" w:line="240" w:lineRule="exact"/>
              <w:jc w:val="center"/>
              <w:rPr>
                <w:rFonts w:hint="cs"/>
                <w:szCs w:val="24"/>
                <w:rtl/>
              </w:rPr>
            </w:pPr>
            <w:r>
              <w:rPr>
                <w:rFonts w:hint="cs"/>
                <w:szCs w:val="24"/>
                <w:rtl/>
              </w:rPr>
              <w:t>1997</w:t>
            </w:r>
          </w:p>
        </w:tc>
        <w:tc>
          <w:tcPr>
            <w:tcW w:w="4860" w:type="dxa"/>
            <w:tcBorders>
              <w:top w:val="nil"/>
              <w:bottom w:val="nil"/>
            </w:tcBorders>
          </w:tcPr>
          <w:p w:rsidR="00443EC1" w:rsidRDefault="00443EC1">
            <w:pPr>
              <w:spacing w:before="0" w:after="0" w:line="240" w:lineRule="exact"/>
              <w:ind w:left="1701" w:right="1701"/>
              <w:jc w:val="both"/>
              <w:rPr>
                <w:rFonts w:hint="cs"/>
                <w:szCs w:val="24"/>
                <w:rtl/>
              </w:rPr>
            </w:pPr>
            <w:r>
              <w:rPr>
                <w:rFonts w:hint="cs"/>
                <w:szCs w:val="24"/>
                <w:rtl/>
              </w:rPr>
              <w:t>5.8</w:t>
            </w:r>
          </w:p>
        </w:tc>
      </w:tr>
      <w:tr w:rsidR="00443EC1" w:rsidTr="00443EC1">
        <w:tblPrEx>
          <w:tblCellMar>
            <w:top w:w="0" w:type="dxa"/>
            <w:bottom w:w="0" w:type="dxa"/>
          </w:tblCellMar>
        </w:tblPrEx>
        <w:trPr>
          <w:jc w:val="center"/>
        </w:trPr>
        <w:tc>
          <w:tcPr>
            <w:tcW w:w="1980" w:type="dxa"/>
            <w:tcBorders>
              <w:top w:val="nil"/>
              <w:bottom w:val="nil"/>
            </w:tcBorders>
          </w:tcPr>
          <w:p w:rsidR="00443EC1" w:rsidRDefault="00443EC1">
            <w:pPr>
              <w:spacing w:before="0" w:after="0" w:line="240" w:lineRule="exact"/>
              <w:jc w:val="center"/>
              <w:rPr>
                <w:rFonts w:hint="cs"/>
                <w:szCs w:val="24"/>
                <w:rtl/>
              </w:rPr>
            </w:pPr>
            <w:r>
              <w:rPr>
                <w:rFonts w:hint="cs"/>
                <w:szCs w:val="24"/>
                <w:rtl/>
              </w:rPr>
              <w:t>1998</w:t>
            </w:r>
          </w:p>
        </w:tc>
        <w:tc>
          <w:tcPr>
            <w:tcW w:w="4860" w:type="dxa"/>
            <w:tcBorders>
              <w:top w:val="nil"/>
              <w:bottom w:val="nil"/>
            </w:tcBorders>
          </w:tcPr>
          <w:p w:rsidR="00443EC1" w:rsidRDefault="00443EC1">
            <w:pPr>
              <w:spacing w:before="0" w:after="0" w:line="240" w:lineRule="exact"/>
              <w:ind w:left="1701" w:right="1701"/>
              <w:jc w:val="both"/>
              <w:rPr>
                <w:rFonts w:hint="cs"/>
                <w:szCs w:val="24"/>
                <w:rtl/>
              </w:rPr>
            </w:pPr>
            <w:r>
              <w:rPr>
                <w:rFonts w:hint="cs"/>
                <w:szCs w:val="24"/>
                <w:rtl/>
              </w:rPr>
              <w:t>2.8</w:t>
            </w:r>
          </w:p>
        </w:tc>
      </w:tr>
      <w:tr w:rsidR="00443EC1" w:rsidTr="00443EC1">
        <w:tblPrEx>
          <w:tblCellMar>
            <w:top w:w="0" w:type="dxa"/>
            <w:bottom w:w="0" w:type="dxa"/>
          </w:tblCellMar>
        </w:tblPrEx>
        <w:trPr>
          <w:jc w:val="center"/>
        </w:trPr>
        <w:tc>
          <w:tcPr>
            <w:tcW w:w="1980" w:type="dxa"/>
            <w:tcBorders>
              <w:top w:val="nil"/>
              <w:bottom w:val="nil"/>
            </w:tcBorders>
          </w:tcPr>
          <w:p w:rsidR="00443EC1" w:rsidRDefault="00443EC1">
            <w:pPr>
              <w:spacing w:before="0" w:after="0" w:line="240" w:lineRule="exact"/>
              <w:jc w:val="center"/>
              <w:rPr>
                <w:rFonts w:hint="cs"/>
                <w:szCs w:val="24"/>
                <w:rtl/>
              </w:rPr>
            </w:pPr>
            <w:r>
              <w:rPr>
                <w:rFonts w:hint="cs"/>
                <w:szCs w:val="24"/>
                <w:rtl/>
              </w:rPr>
              <w:t>1999</w:t>
            </w:r>
          </w:p>
        </w:tc>
        <w:tc>
          <w:tcPr>
            <w:tcW w:w="4860" w:type="dxa"/>
            <w:tcBorders>
              <w:top w:val="nil"/>
              <w:bottom w:val="nil"/>
            </w:tcBorders>
          </w:tcPr>
          <w:p w:rsidR="00443EC1" w:rsidRDefault="00443EC1">
            <w:pPr>
              <w:spacing w:before="0" w:after="0" w:line="240" w:lineRule="exact"/>
              <w:ind w:left="1588" w:right="1588"/>
              <w:jc w:val="both"/>
              <w:rPr>
                <w:rFonts w:hint="cs"/>
                <w:szCs w:val="24"/>
                <w:rtl/>
              </w:rPr>
            </w:pPr>
            <w:r>
              <w:rPr>
                <w:rFonts w:hint="cs"/>
                <w:szCs w:val="24"/>
                <w:rtl/>
              </w:rPr>
              <w:t>-4.0</w:t>
            </w:r>
          </w:p>
        </w:tc>
      </w:tr>
      <w:tr w:rsidR="00443EC1" w:rsidTr="00443EC1">
        <w:tblPrEx>
          <w:tblCellMar>
            <w:top w:w="0" w:type="dxa"/>
            <w:bottom w:w="0" w:type="dxa"/>
          </w:tblCellMar>
        </w:tblPrEx>
        <w:trPr>
          <w:jc w:val="center"/>
        </w:trPr>
        <w:tc>
          <w:tcPr>
            <w:tcW w:w="1980" w:type="dxa"/>
            <w:tcBorders>
              <w:top w:val="nil"/>
              <w:bottom w:val="nil"/>
            </w:tcBorders>
          </w:tcPr>
          <w:p w:rsidR="00443EC1" w:rsidRDefault="00443EC1">
            <w:pPr>
              <w:spacing w:before="0" w:after="0" w:line="240" w:lineRule="exact"/>
              <w:jc w:val="center"/>
              <w:rPr>
                <w:rFonts w:hint="cs"/>
                <w:szCs w:val="24"/>
                <w:rtl/>
              </w:rPr>
            </w:pPr>
            <w:r>
              <w:rPr>
                <w:rFonts w:hint="cs"/>
                <w:szCs w:val="24"/>
                <w:rtl/>
              </w:rPr>
              <w:t>2000</w:t>
            </w:r>
          </w:p>
        </w:tc>
        <w:tc>
          <w:tcPr>
            <w:tcW w:w="4860" w:type="dxa"/>
            <w:tcBorders>
              <w:top w:val="nil"/>
              <w:bottom w:val="nil"/>
            </w:tcBorders>
          </w:tcPr>
          <w:p w:rsidR="00443EC1" w:rsidRDefault="00443EC1">
            <w:pPr>
              <w:spacing w:before="0" w:after="0" w:line="240" w:lineRule="exact"/>
              <w:ind w:left="1588" w:right="1588"/>
              <w:jc w:val="both"/>
              <w:rPr>
                <w:rFonts w:hint="cs"/>
                <w:szCs w:val="24"/>
                <w:rtl/>
              </w:rPr>
            </w:pPr>
            <w:r>
              <w:rPr>
                <w:rFonts w:hint="cs"/>
                <w:szCs w:val="24"/>
                <w:rtl/>
              </w:rPr>
              <w:t>-3.8</w:t>
            </w:r>
          </w:p>
        </w:tc>
      </w:tr>
      <w:tr w:rsidR="00443EC1" w:rsidTr="00443EC1">
        <w:tblPrEx>
          <w:tblCellMar>
            <w:top w:w="0" w:type="dxa"/>
            <w:bottom w:w="0" w:type="dxa"/>
          </w:tblCellMar>
        </w:tblPrEx>
        <w:trPr>
          <w:jc w:val="center"/>
        </w:trPr>
        <w:tc>
          <w:tcPr>
            <w:tcW w:w="1980" w:type="dxa"/>
            <w:tcBorders>
              <w:top w:val="nil"/>
              <w:bottom w:val="nil"/>
            </w:tcBorders>
          </w:tcPr>
          <w:p w:rsidR="00443EC1" w:rsidRDefault="00443EC1">
            <w:pPr>
              <w:spacing w:before="0" w:after="0" w:line="240" w:lineRule="exact"/>
              <w:jc w:val="center"/>
              <w:rPr>
                <w:rFonts w:hint="cs"/>
                <w:szCs w:val="24"/>
                <w:rtl/>
              </w:rPr>
            </w:pPr>
            <w:r>
              <w:rPr>
                <w:rFonts w:hint="cs"/>
                <w:szCs w:val="24"/>
                <w:rtl/>
              </w:rPr>
              <w:t>2001</w:t>
            </w:r>
          </w:p>
        </w:tc>
        <w:tc>
          <w:tcPr>
            <w:tcW w:w="4860" w:type="dxa"/>
            <w:tcBorders>
              <w:top w:val="nil"/>
              <w:bottom w:val="nil"/>
            </w:tcBorders>
          </w:tcPr>
          <w:p w:rsidR="00443EC1" w:rsidRDefault="00443EC1">
            <w:pPr>
              <w:spacing w:before="0" w:after="0" w:line="240" w:lineRule="exact"/>
              <w:ind w:left="1588" w:right="1588"/>
              <w:jc w:val="both"/>
              <w:rPr>
                <w:rFonts w:hint="cs"/>
                <w:szCs w:val="24"/>
                <w:rtl/>
              </w:rPr>
            </w:pPr>
            <w:r>
              <w:rPr>
                <w:rFonts w:hint="cs"/>
                <w:szCs w:val="24"/>
                <w:rtl/>
              </w:rPr>
              <w:t>-1.6</w:t>
            </w:r>
          </w:p>
        </w:tc>
      </w:tr>
      <w:tr w:rsidR="00443EC1" w:rsidTr="00443EC1">
        <w:tblPrEx>
          <w:tblCellMar>
            <w:top w:w="0" w:type="dxa"/>
            <w:bottom w:w="0" w:type="dxa"/>
          </w:tblCellMar>
        </w:tblPrEx>
        <w:trPr>
          <w:jc w:val="center"/>
        </w:trPr>
        <w:tc>
          <w:tcPr>
            <w:tcW w:w="1980" w:type="dxa"/>
            <w:tcBorders>
              <w:top w:val="nil"/>
            </w:tcBorders>
          </w:tcPr>
          <w:p w:rsidR="00443EC1" w:rsidRDefault="00443EC1">
            <w:pPr>
              <w:spacing w:before="0" w:after="0" w:line="240" w:lineRule="exact"/>
              <w:jc w:val="center"/>
              <w:rPr>
                <w:rFonts w:hint="cs"/>
                <w:szCs w:val="24"/>
                <w:rtl/>
              </w:rPr>
            </w:pPr>
            <w:r>
              <w:rPr>
                <w:rFonts w:hint="cs"/>
                <w:szCs w:val="24"/>
                <w:rtl/>
              </w:rPr>
              <w:t>2002</w:t>
            </w:r>
          </w:p>
        </w:tc>
        <w:tc>
          <w:tcPr>
            <w:tcW w:w="4860" w:type="dxa"/>
            <w:tcBorders>
              <w:top w:val="nil"/>
            </w:tcBorders>
          </w:tcPr>
          <w:p w:rsidR="00443EC1" w:rsidRDefault="00443EC1">
            <w:pPr>
              <w:spacing w:before="0" w:after="0" w:line="240" w:lineRule="exact"/>
              <w:ind w:left="1588" w:right="1588"/>
              <w:jc w:val="both"/>
              <w:rPr>
                <w:rFonts w:hint="cs"/>
                <w:szCs w:val="24"/>
                <w:rtl/>
              </w:rPr>
            </w:pPr>
            <w:r>
              <w:rPr>
                <w:rFonts w:hint="cs"/>
                <w:szCs w:val="24"/>
                <w:rtl/>
              </w:rPr>
              <w:t>-3.0</w:t>
            </w:r>
          </w:p>
        </w:tc>
      </w:tr>
    </w:tbl>
    <w:p w:rsidR="00000000" w:rsidRDefault="00443EC1">
      <w:pPr>
        <w:spacing w:before="0" w:after="120" w:line="360" w:lineRule="exact"/>
        <w:ind w:left="714" w:right="1800"/>
        <w:jc w:val="both"/>
        <w:rPr>
          <w:rFonts w:hint="cs"/>
          <w:sz w:val="24"/>
          <w:szCs w:val="24"/>
          <w:rtl/>
        </w:rPr>
      </w:pPr>
      <w:r>
        <w:rPr>
          <w:rFonts w:hint="cs"/>
          <w:sz w:val="24"/>
          <w:szCs w:val="24"/>
          <w:rtl/>
        </w:rPr>
        <w:tab/>
        <w:t xml:space="preserve">  </w:t>
      </w:r>
      <w:r>
        <w:rPr>
          <w:rFonts w:hint="cs"/>
          <w:sz w:val="24"/>
          <w:szCs w:val="24"/>
          <w:rtl/>
        </w:rPr>
        <w:t xml:space="preserve">  *</w:t>
      </w:r>
      <w:r>
        <w:rPr>
          <w:rFonts w:hint="cs"/>
          <w:sz w:val="24"/>
          <w:szCs w:val="24"/>
          <w:rtl/>
        </w:rPr>
        <w:tab/>
        <w:t xml:space="preserve">يحسب الرقم القياسي المركب للأسعار الاستهلاكية على أساس أنماط الإنفاق لدى نسبة90 </w:t>
      </w:r>
      <w:r>
        <w:rPr>
          <w:rFonts w:hint="cs"/>
          <w:spacing w:val="0"/>
          <w:sz w:val="24"/>
          <w:szCs w:val="24"/>
          <w:rtl/>
        </w:rPr>
        <w:t>في المائة تقريباً من الأسر المعيشـية في هونغ كونغ، التي كان متوسـط إنفاقها الشـهري يتراوح بين 500</w:t>
      </w:r>
      <w:r>
        <w:rPr>
          <w:rFonts w:hint="cs"/>
          <w:sz w:val="24"/>
          <w:szCs w:val="24"/>
          <w:rtl/>
        </w:rPr>
        <w:t xml:space="preserve"> 4 و999 65 دولاراً من دولارات هونغ كونغ في فترة الأساس الممتدة من تشرين الأ</w:t>
      </w:r>
      <w:r>
        <w:rPr>
          <w:rFonts w:hint="cs"/>
          <w:sz w:val="24"/>
          <w:szCs w:val="24"/>
          <w:rtl/>
        </w:rPr>
        <w:t>ول/أكتوبر 1999 إلى أيلول/سبتمبر 2000. ويعادل ذلك تقريباً نفقاتٍ شهرية تتراوح بين 300 4 و700 62 دولار من دولارات هونغ كونغ بأسعار عام 2002.</w:t>
      </w:r>
    </w:p>
    <w:p w:rsidR="00000000" w:rsidRDefault="00443EC1">
      <w:pPr>
        <w:spacing w:before="0" w:after="120" w:line="360" w:lineRule="exact"/>
        <w:ind w:left="714" w:right="1800"/>
        <w:jc w:val="both"/>
        <w:rPr>
          <w:rFonts w:hint="cs"/>
          <w:sz w:val="24"/>
          <w:szCs w:val="24"/>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08"/>
        <w:gridCol w:w="2132"/>
        <w:gridCol w:w="2160"/>
      </w:tblGrid>
      <w:tr w:rsidR="00443EC1" w:rsidTr="00443EC1">
        <w:tblPrEx>
          <w:tblCellMar>
            <w:top w:w="0" w:type="dxa"/>
            <w:bottom w:w="0" w:type="dxa"/>
          </w:tblCellMar>
        </w:tblPrEx>
        <w:trPr>
          <w:cantSplit/>
          <w:trHeight w:val="291"/>
          <w:jc w:val="center"/>
        </w:trPr>
        <w:tc>
          <w:tcPr>
            <w:tcW w:w="6300" w:type="dxa"/>
            <w:gridSpan w:val="3"/>
          </w:tcPr>
          <w:p w:rsidR="00000000" w:rsidRDefault="00443EC1">
            <w:pPr>
              <w:spacing w:before="0" w:after="0" w:line="260" w:lineRule="exact"/>
              <w:jc w:val="center"/>
              <w:rPr>
                <w:rStyle w:val="FootnoteReference"/>
                <w:rFonts w:hint="cs"/>
                <w:szCs w:val="24"/>
              </w:rPr>
            </w:pPr>
            <w:r>
              <w:rPr>
                <w:rFonts w:hint="cs"/>
                <w:szCs w:val="24"/>
                <w:rtl/>
              </w:rPr>
              <w:t>مخفض الأسعار الضمني للناتج المحلي الإجمالي</w:t>
            </w:r>
          </w:p>
        </w:tc>
      </w:tr>
      <w:tr w:rsidR="00443EC1" w:rsidTr="00443EC1">
        <w:tblPrEx>
          <w:tblCellMar>
            <w:top w:w="0" w:type="dxa"/>
            <w:bottom w:w="0" w:type="dxa"/>
          </w:tblCellMar>
        </w:tblPrEx>
        <w:trPr>
          <w:trHeight w:val="246"/>
          <w:jc w:val="center"/>
        </w:trPr>
        <w:tc>
          <w:tcPr>
            <w:tcW w:w="2008" w:type="dxa"/>
            <w:tcBorders>
              <w:bottom w:val="single" w:sz="4" w:space="0" w:color="auto"/>
            </w:tcBorders>
          </w:tcPr>
          <w:p w:rsidR="00443EC1" w:rsidRDefault="00443EC1">
            <w:pPr>
              <w:spacing w:before="0" w:after="0" w:line="260" w:lineRule="exact"/>
              <w:jc w:val="center"/>
              <w:rPr>
                <w:rStyle w:val="FootnoteReference"/>
                <w:rFonts w:hint="cs"/>
                <w:bCs w:val="0"/>
                <w:szCs w:val="24"/>
                <w:vertAlign w:val="baseline"/>
              </w:rPr>
            </w:pPr>
            <w:r>
              <w:rPr>
                <w:rFonts w:hint="cs"/>
                <w:szCs w:val="24"/>
                <w:rtl/>
              </w:rPr>
              <w:t>سنة المخفض</w:t>
            </w:r>
          </w:p>
        </w:tc>
        <w:tc>
          <w:tcPr>
            <w:tcW w:w="2132" w:type="dxa"/>
            <w:tcBorders>
              <w:bottom w:val="single" w:sz="4" w:space="0" w:color="auto"/>
            </w:tcBorders>
          </w:tcPr>
          <w:p w:rsidR="00443EC1" w:rsidRDefault="00443EC1">
            <w:pPr>
              <w:spacing w:before="0" w:after="0" w:line="260" w:lineRule="exact"/>
              <w:jc w:val="center"/>
              <w:rPr>
                <w:rStyle w:val="FootnoteReference"/>
                <w:rFonts w:hint="cs"/>
                <w:bCs w:val="0"/>
                <w:szCs w:val="24"/>
                <w:vertAlign w:val="baseline"/>
              </w:rPr>
            </w:pPr>
            <w:r>
              <w:rPr>
                <w:rFonts w:hint="cs"/>
                <w:szCs w:val="24"/>
                <w:rtl/>
              </w:rPr>
              <w:t>(2000 = 100)</w:t>
            </w:r>
          </w:p>
        </w:tc>
        <w:tc>
          <w:tcPr>
            <w:tcW w:w="2160" w:type="dxa"/>
            <w:tcBorders>
              <w:bottom w:val="single" w:sz="4" w:space="0" w:color="auto"/>
            </w:tcBorders>
          </w:tcPr>
          <w:p w:rsidR="00443EC1" w:rsidRDefault="00443EC1">
            <w:pPr>
              <w:spacing w:before="0" w:after="0" w:line="260" w:lineRule="exact"/>
              <w:jc w:val="center"/>
              <w:rPr>
                <w:rStyle w:val="FootnoteReference"/>
                <w:rFonts w:hint="cs"/>
                <w:bCs w:val="0"/>
                <w:szCs w:val="24"/>
                <w:vertAlign w:val="baseline"/>
              </w:rPr>
            </w:pPr>
            <w:r>
              <w:rPr>
                <w:rFonts w:hint="cs"/>
                <w:szCs w:val="24"/>
                <w:rtl/>
              </w:rPr>
              <w:t>معدل التغير السنوي (</w:t>
            </w:r>
            <w:r>
              <w:rPr>
                <w:rFonts w:cs="Mudir MT" w:hint="cs"/>
                <w:sz w:val="24"/>
                <w:szCs w:val="24"/>
                <w:rtl/>
                <w:lang w:eastAsia="en-US"/>
              </w:rPr>
              <w:t>%</w:t>
            </w:r>
            <w:r>
              <w:rPr>
                <w:rFonts w:hint="cs"/>
                <w:szCs w:val="24"/>
                <w:rtl/>
              </w:rPr>
              <w:t>)</w:t>
            </w:r>
          </w:p>
        </w:tc>
      </w:tr>
      <w:tr w:rsidR="00443EC1" w:rsidTr="00443EC1">
        <w:tblPrEx>
          <w:tblCellMar>
            <w:top w:w="0" w:type="dxa"/>
            <w:bottom w:w="0" w:type="dxa"/>
          </w:tblCellMar>
        </w:tblPrEx>
        <w:trPr>
          <w:trHeight w:val="139"/>
          <w:jc w:val="center"/>
        </w:trPr>
        <w:tc>
          <w:tcPr>
            <w:tcW w:w="2008" w:type="dxa"/>
            <w:tcBorders>
              <w:bottom w:val="nil"/>
            </w:tcBorders>
          </w:tcPr>
          <w:p w:rsidR="00443EC1" w:rsidRDefault="00443EC1">
            <w:pPr>
              <w:spacing w:before="0" w:after="0" w:line="240" w:lineRule="exact"/>
              <w:ind w:left="567" w:right="567"/>
              <w:jc w:val="center"/>
              <w:rPr>
                <w:rFonts w:hint="cs"/>
                <w:szCs w:val="24"/>
                <w:rtl/>
              </w:rPr>
            </w:pPr>
            <w:r>
              <w:rPr>
                <w:rFonts w:hint="cs"/>
                <w:szCs w:val="24"/>
                <w:rtl/>
              </w:rPr>
              <w:t>1990</w:t>
            </w:r>
          </w:p>
        </w:tc>
        <w:tc>
          <w:tcPr>
            <w:tcW w:w="2132" w:type="dxa"/>
            <w:tcBorders>
              <w:bottom w:val="nil"/>
            </w:tcBorders>
          </w:tcPr>
          <w:p w:rsidR="00443EC1" w:rsidRDefault="00443EC1">
            <w:pPr>
              <w:spacing w:before="0" w:after="0" w:line="240" w:lineRule="exact"/>
              <w:ind w:left="567" w:right="567"/>
              <w:jc w:val="left"/>
              <w:rPr>
                <w:rFonts w:hint="cs"/>
                <w:szCs w:val="24"/>
                <w:rtl/>
              </w:rPr>
            </w:pPr>
            <w:r>
              <w:rPr>
                <w:rFonts w:hint="cs"/>
                <w:szCs w:val="24"/>
                <w:rtl/>
              </w:rPr>
              <w:t>71.0</w:t>
            </w:r>
          </w:p>
        </w:tc>
        <w:tc>
          <w:tcPr>
            <w:tcW w:w="2160" w:type="dxa"/>
            <w:tcBorders>
              <w:bottom w:val="nil"/>
            </w:tcBorders>
          </w:tcPr>
          <w:p w:rsidR="00443EC1" w:rsidRDefault="00443EC1">
            <w:pPr>
              <w:spacing w:before="0" w:after="0" w:line="240" w:lineRule="exact"/>
              <w:ind w:left="567" w:right="567"/>
              <w:jc w:val="left"/>
              <w:rPr>
                <w:rFonts w:hint="cs"/>
                <w:szCs w:val="24"/>
                <w:rtl/>
              </w:rPr>
            </w:pPr>
            <w:r>
              <w:rPr>
                <w:rFonts w:hint="cs"/>
                <w:szCs w:val="24"/>
                <w:rtl/>
              </w:rPr>
              <w:t>7.4</w:t>
            </w:r>
          </w:p>
        </w:tc>
      </w:tr>
      <w:tr w:rsidR="00443EC1" w:rsidTr="00443EC1">
        <w:tblPrEx>
          <w:tblCellMar>
            <w:top w:w="0" w:type="dxa"/>
            <w:bottom w:w="0" w:type="dxa"/>
          </w:tblCellMar>
        </w:tblPrEx>
        <w:trPr>
          <w:trHeight w:val="108"/>
          <w:jc w:val="center"/>
        </w:trPr>
        <w:tc>
          <w:tcPr>
            <w:tcW w:w="2008" w:type="dxa"/>
            <w:tcBorders>
              <w:top w:val="nil"/>
              <w:bottom w:val="nil"/>
            </w:tcBorders>
          </w:tcPr>
          <w:p w:rsidR="00443EC1" w:rsidRDefault="00443EC1">
            <w:pPr>
              <w:spacing w:before="0" w:after="0" w:line="240" w:lineRule="exact"/>
              <w:ind w:left="567" w:right="567"/>
              <w:jc w:val="center"/>
              <w:rPr>
                <w:rFonts w:hint="cs"/>
                <w:szCs w:val="24"/>
                <w:rtl/>
              </w:rPr>
            </w:pPr>
            <w:r>
              <w:rPr>
                <w:rFonts w:hint="cs"/>
                <w:szCs w:val="24"/>
                <w:rtl/>
              </w:rPr>
              <w:t>1991</w:t>
            </w:r>
          </w:p>
        </w:tc>
        <w:tc>
          <w:tcPr>
            <w:tcW w:w="2132" w:type="dxa"/>
            <w:tcBorders>
              <w:top w:val="nil"/>
              <w:bottom w:val="nil"/>
            </w:tcBorders>
          </w:tcPr>
          <w:p w:rsidR="00443EC1" w:rsidRDefault="00443EC1">
            <w:pPr>
              <w:spacing w:before="0" w:after="0" w:line="240" w:lineRule="exact"/>
              <w:ind w:left="567" w:right="567"/>
              <w:jc w:val="left"/>
              <w:rPr>
                <w:rFonts w:hint="cs"/>
                <w:szCs w:val="24"/>
                <w:rtl/>
              </w:rPr>
            </w:pPr>
            <w:r>
              <w:rPr>
                <w:rFonts w:hint="cs"/>
                <w:szCs w:val="24"/>
                <w:rtl/>
              </w:rPr>
              <w:t>77.5</w:t>
            </w:r>
          </w:p>
        </w:tc>
        <w:tc>
          <w:tcPr>
            <w:tcW w:w="2160" w:type="dxa"/>
            <w:tcBorders>
              <w:top w:val="nil"/>
              <w:bottom w:val="nil"/>
            </w:tcBorders>
          </w:tcPr>
          <w:p w:rsidR="00443EC1" w:rsidRDefault="00443EC1">
            <w:pPr>
              <w:spacing w:before="0" w:after="0" w:line="240" w:lineRule="exact"/>
              <w:ind w:left="567" w:right="567"/>
              <w:jc w:val="left"/>
              <w:rPr>
                <w:rFonts w:hint="cs"/>
                <w:szCs w:val="24"/>
                <w:rtl/>
              </w:rPr>
            </w:pPr>
            <w:r>
              <w:rPr>
                <w:rFonts w:hint="cs"/>
                <w:szCs w:val="24"/>
                <w:rtl/>
              </w:rPr>
              <w:t>9.2</w:t>
            </w:r>
          </w:p>
        </w:tc>
      </w:tr>
      <w:tr w:rsidR="00443EC1" w:rsidTr="00443EC1">
        <w:tblPrEx>
          <w:tblCellMar>
            <w:top w:w="0" w:type="dxa"/>
            <w:bottom w:w="0" w:type="dxa"/>
          </w:tblCellMar>
        </w:tblPrEx>
        <w:trPr>
          <w:trHeight w:val="79"/>
          <w:jc w:val="center"/>
        </w:trPr>
        <w:tc>
          <w:tcPr>
            <w:tcW w:w="2008" w:type="dxa"/>
            <w:tcBorders>
              <w:top w:val="nil"/>
              <w:bottom w:val="nil"/>
            </w:tcBorders>
          </w:tcPr>
          <w:p w:rsidR="00443EC1" w:rsidRDefault="00443EC1">
            <w:pPr>
              <w:spacing w:before="0" w:after="0" w:line="240" w:lineRule="exact"/>
              <w:ind w:left="567" w:right="567"/>
              <w:jc w:val="center"/>
              <w:rPr>
                <w:rFonts w:hint="cs"/>
                <w:szCs w:val="24"/>
                <w:rtl/>
              </w:rPr>
            </w:pPr>
            <w:r>
              <w:rPr>
                <w:rFonts w:hint="cs"/>
                <w:szCs w:val="24"/>
                <w:rtl/>
              </w:rPr>
              <w:t>1992</w:t>
            </w:r>
          </w:p>
        </w:tc>
        <w:tc>
          <w:tcPr>
            <w:tcW w:w="2132" w:type="dxa"/>
            <w:tcBorders>
              <w:top w:val="nil"/>
              <w:bottom w:val="nil"/>
            </w:tcBorders>
          </w:tcPr>
          <w:p w:rsidR="00443EC1" w:rsidRDefault="00443EC1">
            <w:pPr>
              <w:spacing w:before="0" w:after="0" w:line="240" w:lineRule="exact"/>
              <w:ind w:left="567" w:right="567"/>
              <w:jc w:val="left"/>
              <w:rPr>
                <w:rFonts w:hint="cs"/>
                <w:szCs w:val="24"/>
                <w:rtl/>
              </w:rPr>
            </w:pPr>
            <w:r>
              <w:rPr>
                <w:rFonts w:hint="cs"/>
                <w:szCs w:val="24"/>
                <w:rtl/>
              </w:rPr>
              <w:t>84.9</w:t>
            </w:r>
          </w:p>
        </w:tc>
        <w:tc>
          <w:tcPr>
            <w:tcW w:w="2160" w:type="dxa"/>
            <w:tcBorders>
              <w:top w:val="nil"/>
              <w:bottom w:val="nil"/>
            </w:tcBorders>
          </w:tcPr>
          <w:p w:rsidR="00443EC1" w:rsidRDefault="00443EC1">
            <w:pPr>
              <w:spacing w:before="0" w:after="0" w:line="240" w:lineRule="exact"/>
              <w:ind w:left="567" w:right="567"/>
              <w:jc w:val="left"/>
              <w:rPr>
                <w:rFonts w:hint="cs"/>
                <w:szCs w:val="24"/>
                <w:rtl/>
              </w:rPr>
            </w:pPr>
            <w:r>
              <w:rPr>
                <w:rFonts w:hint="cs"/>
                <w:szCs w:val="24"/>
                <w:rtl/>
              </w:rPr>
              <w:t>9.5</w:t>
            </w:r>
          </w:p>
        </w:tc>
      </w:tr>
      <w:tr w:rsidR="00443EC1" w:rsidTr="00443EC1">
        <w:tblPrEx>
          <w:tblCellMar>
            <w:top w:w="0" w:type="dxa"/>
            <w:bottom w:w="0" w:type="dxa"/>
          </w:tblCellMar>
        </w:tblPrEx>
        <w:trPr>
          <w:trHeight w:val="70"/>
          <w:jc w:val="center"/>
        </w:trPr>
        <w:tc>
          <w:tcPr>
            <w:tcW w:w="2008" w:type="dxa"/>
            <w:tcBorders>
              <w:top w:val="nil"/>
              <w:bottom w:val="nil"/>
            </w:tcBorders>
          </w:tcPr>
          <w:p w:rsidR="00443EC1" w:rsidRDefault="00443EC1">
            <w:pPr>
              <w:spacing w:before="0" w:after="0" w:line="240" w:lineRule="exact"/>
              <w:ind w:left="567" w:right="567"/>
              <w:jc w:val="center"/>
              <w:rPr>
                <w:rFonts w:hint="cs"/>
                <w:szCs w:val="24"/>
                <w:rtl/>
              </w:rPr>
            </w:pPr>
            <w:r>
              <w:rPr>
                <w:rFonts w:hint="cs"/>
                <w:szCs w:val="24"/>
                <w:rtl/>
              </w:rPr>
              <w:t>1993</w:t>
            </w:r>
          </w:p>
        </w:tc>
        <w:tc>
          <w:tcPr>
            <w:tcW w:w="2132" w:type="dxa"/>
            <w:tcBorders>
              <w:top w:val="nil"/>
              <w:bottom w:val="nil"/>
            </w:tcBorders>
          </w:tcPr>
          <w:p w:rsidR="00443EC1" w:rsidRDefault="00443EC1">
            <w:pPr>
              <w:spacing w:before="0" w:after="0" w:line="240" w:lineRule="exact"/>
              <w:ind w:left="567" w:right="567"/>
              <w:jc w:val="left"/>
              <w:rPr>
                <w:rFonts w:hint="cs"/>
                <w:szCs w:val="24"/>
                <w:rtl/>
              </w:rPr>
            </w:pPr>
            <w:r>
              <w:rPr>
                <w:rFonts w:hint="cs"/>
                <w:szCs w:val="24"/>
                <w:rtl/>
              </w:rPr>
              <w:t>92.1</w:t>
            </w:r>
          </w:p>
        </w:tc>
        <w:tc>
          <w:tcPr>
            <w:tcW w:w="2160" w:type="dxa"/>
            <w:tcBorders>
              <w:top w:val="nil"/>
              <w:bottom w:val="nil"/>
            </w:tcBorders>
          </w:tcPr>
          <w:p w:rsidR="00443EC1" w:rsidRDefault="00443EC1">
            <w:pPr>
              <w:spacing w:before="0" w:after="0" w:line="240" w:lineRule="exact"/>
              <w:ind w:left="567" w:right="567"/>
              <w:jc w:val="left"/>
              <w:rPr>
                <w:rFonts w:hint="cs"/>
                <w:szCs w:val="24"/>
                <w:rtl/>
              </w:rPr>
            </w:pPr>
            <w:r>
              <w:rPr>
                <w:rFonts w:hint="cs"/>
                <w:szCs w:val="24"/>
                <w:rtl/>
              </w:rPr>
              <w:t>8.5</w:t>
            </w:r>
          </w:p>
        </w:tc>
      </w:tr>
      <w:tr w:rsidR="00443EC1" w:rsidTr="00443EC1">
        <w:tblPrEx>
          <w:tblCellMar>
            <w:top w:w="0" w:type="dxa"/>
            <w:bottom w:w="0" w:type="dxa"/>
          </w:tblCellMar>
        </w:tblPrEx>
        <w:trPr>
          <w:trHeight w:val="198"/>
          <w:jc w:val="center"/>
        </w:trPr>
        <w:tc>
          <w:tcPr>
            <w:tcW w:w="2008" w:type="dxa"/>
            <w:tcBorders>
              <w:top w:val="nil"/>
              <w:bottom w:val="nil"/>
            </w:tcBorders>
          </w:tcPr>
          <w:p w:rsidR="00443EC1" w:rsidRDefault="00443EC1">
            <w:pPr>
              <w:spacing w:before="0" w:after="0" w:line="240" w:lineRule="exact"/>
              <w:ind w:left="567" w:right="567"/>
              <w:jc w:val="center"/>
              <w:rPr>
                <w:rFonts w:hint="cs"/>
                <w:szCs w:val="24"/>
                <w:rtl/>
              </w:rPr>
            </w:pPr>
            <w:r>
              <w:rPr>
                <w:rFonts w:hint="cs"/>
                <w:szCs w:val="24"/>
                <w:rtl/>
              </w:rPr>
              <w:t>1994</w:t>
            </w:r>
          </w:p>
        </w:tc>
        <w:tc>
          <w:tcPr>
            <w:tcW w:w="2132" w:type="dxa"/>
            <w:tcBorders>
              <w:top w:val="nil"/>
              <w:bottom w:val="nil"/>
            </w:tcBorders>
          </w:tcPr>
          <w:p w:rsidR="00443EC1" w:rsidRDefault="00443EC1">
            <w:pPr>
              <w:spacing w:before="0" w:after="0" w:line="240" w:lineRule="exact"/>
              <w:ind w:left="567" w:right="567"/>
              <w:jc w:val="left"/>
              <w:rPr>
                <w:rFonts w:hint="cs"/>
                <w:szCs w:val="24"/>
                <w:rtl/>
              </w:rPr>
            </w:pPr>
            <w:r>
              <w:rPr>
                <w:rFonts w:hint="cs"/>
                <w:szCs w:val="24"/>
                <w:rtl/>
              </w:rPr>
              <w:t>98.5</w:t>
            </w:r>
          </w:p>
        </w:tc>
        <w:tc>
          <w:tcPr>
            <w:tcW w:w="2160" w:type="dxa"/>
            <w:tcBorders>
              <w:top w:val="nil"/>
              <w:bottom w:val="nil"/>
            </w:tcBorders>
          </w:tcPr>
          <w:p w:rsidR="00443EC1" w:rsidRDefault="00443EC1">
            <w:pPr>
              <w:spacing w:before="0" w:after="0" w:line="240" w:lineRule="exact"/>
              <w:ind w:left="567" w:right="567"/>
              <w:jc w:val="left"/>
              <w:rPr>
                <w:rFonts w:hint="cs"/>
                <w:szCs w:val="24"/>
                <w:rtl/>
              </w:rPr>
            </w:pPr>
            <w:r>
              <w:rPr>
                <w:rFonts w:hint="cs"/>
                <w:szCs w:val="24"/>
                <w:rtl/>
              </w:rPr>
              <w:t>6.9</w:t>
            </w:r>
          </w:p>
        </w:tc>
      </w:tr>
      <w:tr w:rsidR="00443EC1" w:rsidTr="00443EC1">
        <w:tblPrEx>
          <w:tblCellMar>
            <w:top w:w="0" w:type="dxa"/>
            <w:bottom w:w="0" w:type="dxa"/>
          </w:tblCellMar>
        </w:tblPrEx>
        <w:trPr>
          <w:trHeight w:val="168"/>
          <w:jc w:val="center"/>
        </w:trPr>
        <w:tc>
          <w:tcPr>
            <w:tcW w:w="2008" w:type="dxa"/>
            <w:tcBorders>
              <w:top w:val="nil"/>
              <w:bottom w:val="nil"/>
            </w:tcBorders>
          </w:tcPr>
          <w:p w:rsidR="00443EC1" w:rsidRDefault="00443EC1">
            <w:pPr>
              <w:spacing w:before="0" w:after="0" w:line="240" w:lineRule="exact"/>
              <w:ind w:left="567" w:right="567"/>
              <w:jc w:val="center"/>
              <w:rPr>
                <w:rFonts w:hint="cs"/>
                <w:szCs w:val="24"/>
                <w:rtl/>
              </w:rPr>
            </w:pPr>
            <w:r>
              <w:rPr>
                <w:rFonts w:hint="cs"/>
                <w:szCs w:val="24"/>
                <w:rtl/>
              </w:rPr>
              <w:t>1995</w:t>
            </w:r>
          </w:p>
        </w:tc>
        <w:tc>
          <w:tcPr>
            <w:tcW w:w="2132" w:type="dxa"/>
            <w:tcBorders>
              <w:top w:val="nil"/>
              <w:bottom w:val="nil"/>
            </w:tcBorders>
          </w:tcPr>
          <w:p w:rsidR="00443EC1" w:rsidRDefault="00443EC1">
            <w:pPr>
              <w:spacing w:before="0" w:after="0" w:line="240" w:lineRule="exact"/>
              <w:ind w:left="567" w:right="567"/>
              <w:jc w:val="left"/>
              <w:rPr>
                <w:rFonts w:hint="cs"/>
                <w:szCs w:val="24"/>
                <w:rtl/>
              </w:rPr>
            </w:pPr>
            <w:r>
              <w:rPr>
                <w:rFonts w:hint="cs"/>
                <w:szCs w:val="24"/>
                <w:rtl/>
              </w:rPr>
              <w:t>101.0</w:t>
            </w:r>
          </w:p>
        </w:tc>
        <w:tc>
          <w:tcPr>
            <w:tcW w:w="2160" w:type="dxa"/>
            <w:tcBorders>
              <w:top w:val="nil"/>
              <w:bottom w:val="nil"/>
            </w:tcBorders>
          </w:tcPr>
          <w:p w:rsidR="00443EC1" w:rsidRDefault="00443EC1">
            <w:pPr>
              <w:spacing w:before="0" w:after="0" w:line="240" w:lineRule="exact"/>
              <w:ind w:left="567" w:right="567"/>
              <w:jc w:val="left"/>
              <w:rPr>
                <w:rFonts w:hint="cs"/>
                <w:szCs w:val="24"/>
                <w:rtl/>
              </w:rPr>
            </w:pPr>
            <w:r>
              <w:rPr>
                <w:rFonts w:hint="cs"/>
                <w:szCs w:val="24"/>
                <w:rtl/>
              </w:rPr>
              <w:t>2.5</w:t>
            </w:r>
          </w:p>
        </w:tc>
      </w:tr>
      <w:tr w:rsidR="00443EC1" w:rsidTr="00443EC1">
        <w:tblPrEx>
          <w:tblCellMar>
            <w:top w:w="0" w:type="dxa"/>
            <w:bottom w:w="0" w:type="dxa"/>
          </w:tblCellMar>
        </w:tblPrEx>
        <w:trPr>
          <w:trHeight w:val="138"/>
          <w:jc w:val="center"/>
        </w:trPr>
        <w:tc>
          <w:tcPr>
            <w:tcW w:w="2008" w:type="dxa"/>
            <w:tcBorders>
              <w:top w:val="nil"/>
              <w:bottom w:val="nil"/>
            </w:tcBorders>
          </w:tcPr>
          <w:p w:rsidR="00443EC1" w:rsidRDefault="00443EC1">
            <w:pPr>
              <w:spacing w:before="0" w:after="0" w:line="240" w:lineRule="exact"/>
              <w:ind w:left="567" w:right="567"/>
              <w:jc w:val="center"/>
              <w:rPr>
                <w:rFonts w:hint="cs"/>
                <w:szCs w:val="24"/>
                <w:rtl/>
              </w:rPr>
            </w:pPr>
            <w:r>
              <w:rPr>
                <w:rFonts w:hint="cs"/>
                <w:szCs w:val="24"/>
                <w:rtl/>
              </w:rPr>
              <w:t>1996</w:t>
            </w:r>
          </w:p>
        </w:tc>
        <w:tc>
          <w:tcPr>
            <w:tcW w:w="2132" w:type="dxa"/>
            <w:tcBorders>
              <w:top w:val="nil"/>
              <w:bottom w:val="nil"/>
            </w:tcBorders>
          </w:tcPr>
          <w:p w:rsidR="00443EC1" w:rsidRDefault="00443EC1">
            <w:pPr>
              <w:spacing w:before="0" w:after="0" w:line="240" w:lineRule="exact"/>
              <w:ind w:left="567" w:right="567"/>
              <w:jc w:val="left"/>
              <w:rPr>
                <w:rFonts w:hint="cs"/>
                <w:szCs w:val="24"/>
                <w:rtl/>
              </w:rPr>
            </w:pPr>
            <w:r>
              <w:rPr>
                <w:rFonts w:hint="cs"/>
                <w:szCs w:val="24"/>
                <w:rtl/>
              </w:rPr>
              <w:t>106.9</w:t>
            </w:r>
          </w:p>
        </w:tc>
        <w:tc>
          <w:tcPr>
            <w:tcW w:w="2160" w:type="dxa"/>
            <w:tcBorders>
              <w:top w:val="nil"/>
              <w:bottom w:val="nil"/>
            </w:tcBorders>
          </w:tcPr>
          <w:p w:rsidR="00443EC1" w:rsidRDefault="00443EC1">
            <w:pPr>
              <w:spacing w:before="0" w:after="0" w:line="240" w:lineRule="exact"/>
              <w:ind w:left="567" w:right="567"/>
              <w:jc w:val="left"/>
              <w:rPr>
                <w:rFonts w:hint="cs"/>
                <w:szCs w:val="24"/>
                <w:rtl/>
              </w:rPr>
            </w:pPr>
            <w:r>
              <w:rPr>
                <w:rFonts w:hint="cs"/>
                <w:szCs w:val="24"/>
                <w:rtl/>
              </w:rPr>
              <w:t>5.8</w:t>
            </w:r>
          </w:p>
        </w:tc>
      </w:tr>
      <w:tr w:rsidR="00443EC1" w:rsidTr="00443EC1">
        <w:tblPrEx>
          <w:tblCellMar>
            <w:top w:w="0" w:type="dxa"/>
            <w:bottom w:w="0" w:type="dxa"/>
          </w:tblCellMar>
        </w:tblPrEx>
        <w:trPr>
          <w:trHeight w:val="107"/>
          <w:jc w:val="center"/>
        </w:trPr>
        <w:tc>
          <w:tcPr>
            <w:tcW w:w="2008" w:type="dxa"/>
            <w:tcBorders>
              <w:top w:val="nil"/>
              <w:bottom w:val="nil"/>
            </w:tcBorders>
          </w:tcPr>
          <w:p w:rsidR="00443EC1" w:rsidRDefault="00443EC1">
            <w:pPr>
              <w:spacing w:before="0" w:after="0" w:line="240" w:lineRule="exact"/>
              <w:ind w:left="567" w:right="567"/>
              <w:jc w:val="center"/>
              <w:rPr>
                <w:rFonts w:hint="cs"/>
                <w:szCs w:val="24"/>
                <w:rtl/>
              </w:rPr>
            </w:pPr>
            <w:r>
              <w:rPr>
                <w:rFonts w:hint="cs"/>
                <w:szCs w:val="24"/>
                <w:rtl/>
              </w:rPr>
              <w:t>1997</w:t>
            </w:r>
          </w:p>
        </w:tc>
        <w:tc>
          <w:tcPr>
            <w:tcW w:w="2132" w:type="dxa"/>
            <w:tcBorders>
              <w:top w:val="nil"/>
              <w:bottom w:val="nil"/>
            </w:tcBorders>
          </w:tcPr>
          <w:p w:rsidR="00443EC1" w:rsidRDefault="00443EC1">
            <w:pPr>
              <w:spacing w:before="0" w:after="0" w:line="240" w:lineRule="exact"/>
              <w:ind w:left="567" w:right="567"/>
              <w:jc w:val="left"/>
              <w:rPr>
                <w:rFonts w:hint="cs"/>
                <w:szCs w:val="24"/>
                <w:rtl/>
              </w:rPr>
            </w:pPr>
            <w:r>
              <w:rPr>
                <w:rFonts w:hint="cs"/>
                <w:szCs w:val="24"/>
                <w:rtl/>
              </w:rPr>
              <w:t>113.0</w:t>
            </w:r>
          </w:p>
        </w:tc>
        <w:tc>
          <w:tcPr>
            <w:tcW w:w="2160" w:type="dxa"/>
            <w:tcBorders>
              <w:top w:val="nil"/>
              <w:bottom w:val="nil"/>
            </w:tcBorders>
          </w:tcPr>
          <w:p w:rsidR="00443EC1" w:rsidRDefault="00443EC1">
            <w:pPr>
              <w:spacing w:before="0" w:after="0" w:line="240" w:lineRule="exact"/>
              <w:ind w:left="567" w:right="567"/>
              <w:jc w:val="left"/>
              <w:rPr>
                <w:rFonts w:hint="cs"/>
                <w:szCs w:val="24"/>
                <w:rtl/>
              </w:rPr>
            </w:pPr>
            <w:r>
              <w:rPr>
                <w:rFonts w:hint="cs"/>
                <w:szCs w:val="24"/>
                <w:rtl/>
              </w:rPr>
              <w:t>5.7</w:t>
            </w:r>
          </w:p>
        </w:tc>
      </w:tr>
      <w:tr w:rsidR="00443EC1" w:rsidTr="00443EC1">
        <w:tblPrEx>
          <w:tblCellMar>
            <w:top w:w="0" w:type="dxa"/>
            <w:bottom w:w="0" w:type="dxa"/>
          </w:tblCellMar>
        </w:tblPrEx>
        <w:trPr>
          <w:trHeight w:val="78"/>
          <w:jc w:val="center"/>
        </w:trPr>
        <w:tc>
          <w:tcPr>
            <w:tcW w:w="2008" w:type="dxa"/>
            <w:tcBorders>
              <w:top w:val="nil"/>
              <w:bottom w:val="nil"/>
            </w:tcBorders>
          </w:tcPr>
          <w:p w:rsidR="00443EC1" w:rsidRDefault="00443EC1">
            <w:pPr>
              <w:spacing w:before="0" w:after="0" w:line="240" w:lineRule="exact"/>
              <w:ind w:left="567" w:right="567"/>
              <w:jc w:val="center"/>
              <w:rPr>
                <w:rFonts w:hint="cs"/>
                <w:szCs w:val="24"/>
                <w:rtl/>
              </w:rPr>
            </w:pPr>
            <w:r>
              <w:rPr>
                <w:rFonts w:hint="cs"/>
                <w:szCs w:val="24"/>
                <w:rtl/>
              </w:rPr>
              <w:t>1998</w:t>
            </w:r>
          </w:p>
        </w:tc>
        <w:tc>
          <w:tcPr>
            <w:tcW w:w="2132" w:type="dxa"/>
            <w:tcBorders>
              <w:top w:val="nil"/>
              <w:bottom w:val="nil"/>
            </w:tcBorders>
          </w:tcPr>
          <w:p w:rsidR="00443EC1" w:rsidRDefault="00443EC1">
            <w:pPr>
              <w:spacing w:before="0" w:after="0" w:line="240" w:lineRule="exact"/>
              <w:ind w:left="567" w:right="567"/>
              <w:jc w:val="left"/>
              <w:rPr>
                <w:rFonts w:hint="cs"/>
                <w:szCs w:val="24"/>
                <w:rtl/>
              </w:rPr>
            </w:pPr>
            <w:r>
              <w:rPr>
                <w:rFonts w:hint="cs"/>
                <w:szCs w:val="24"/>
                <w:rtl/>
              </w:rPr>
              <w:t>113.2</w:t>
            </w:r>
          </w:p>
        </w:tc>
        <w:tc>
          <w:tcPr>
            <w:tcW w:w="2160" w:type="dxa"/>
            <w:tcBorders>
              <w:top w:val="nil"/>
              <w:bottom w:val="nil"/>
            </w:tcBorders>
          </w:tcPr>
          <w:p w:rsidR="00443EC1" w:rsidRDefault="00443EC1">
            <w:pPr>
              <w:spacing w:before="0" w:after="0" w:line="240" w:lineRule="exact"/>
              <w:ind w:left="567" w:right="567"/>
              <w:jc w:val="left"/>
              <w:rPr>
                <w:rFonts w:hint="cs"/>
                <w:szCs w:val="24"/>
                <w:rtl/>
              </w:rPr>
            </w:pPr>
            <w:r>
              <w:rPr>
                <w:rFonts w:hint="cs"/>
                <w:szCs w:val="24"/>
                <w:rtl/>
              </w:rPr>
              <w:t>0.2</w:t>
            </w:r>
          </w:p>
        </w:tc>
      </w:tr>
      <w:tr w:rsidR="00443EC1" w:rsidTr="00443EC1">
        <w:tblPrEx>
          <w:tblCellMar>
            <w:top w:w="0" w:type="dxa"/>
            <w:bottom w:w="0" w:type="dxa"/>
          </w:tblCellMar>
        </w:tblPrEx>
        <w:trPr>
          <w:trHeight w:val="70"/>
          <w:jc w:val="center"/>
        </w:trPr>
        <w:tc>
          <w:tcPr>
            <w:tcW w:w="2008" w:type="dxa"/>
            <w:tcBorders>
              <w:top w:val="nil"/>
              <w:bottom w:val="nil"/>
            </w:tcBorders>
          </w:tcPr>
          <w:p w:rsidR="00443EC1" w:rsidRDefault="00443EC1">
            <w:pPr>
              <w:spacing w:before="0" w:after="0" w:line="240" w:lineRule="exact"/>
              <w:ind w:left="567" w:right="567"/>
              <w:jc w:val="center"/>
              <w:rPr>
                <w:rFonts w:hint="cs"/>
                <w:szCs w:val="24"/>
                <w:rtl/>
              </w:rPr>
            </w:pPr>
            <w:r>
              <w:rPr>
                <w:rFonts w:hint="cs"/>
                <w:szCs w:val="24"/>
                <w:rtl/>
              </w:rPr>
              <w:t>1999</w:t>
            </w:r>
          </w:p>
        </w:tc>
        <w:tc>
          <w:tcPr>
            <w:tcW w:w="2132" w:type="dxa"/>
            <w:tcBorders>
              <w:top w:val="nil"/>
              <w:bottom w:val="nil"/>
            </w:tcBorders>
          </w:tcPr>
          <w:p w:rsidR="00443EC1" w:rsidRDefault="00443EC1">
            <w:pPr>
              <w:spacing w:before="0" w:after="0" w:line="240" w:lineRule="exact"/>
              <w:ind w:left="567" w:right="567"/>
              <w:jc w:val="left"/>
              <w:rPr>
                <w:rFonts w:hint="cs"/>
                <w:szCs w:val="24"/>
                <w:rtl/>
              </w:rPr>
            </w:pPr>
            <w:r>
              <w:rPr>
                <w:rFonts w:hint="cs"/>
                <w:szCs w:val="24"/>
                <w:rtl/>
              </w:rPr>
              <w:t>106.6</w:t>
            </w:r>
          </w:p>
        </w:tc>
        <w:tc>
          <w:tcPr>
            <w:tcW w:w="2160" w:type="dxa"/>
            <w:tcBorders>
              <w:top w:val="nil"/>
              <w:bottom w:val="nil"/>
            </w:tcBorders>
          </w:tcPr>
          <w:p w:rsidR="00443EC1" w:rsidRDefault="00443EC1">
            <w:pPr>
              <w:spacing w:before="0" w:after="0" w:line="240" w:lineRule="exact"/>
              <w:ind w:left="454" w:right="454"/>
              <w:jc w:val="left"/>
              <w:rPr>
                <w:rFonts w:hint="cs"/>
                <w:szCs w:val="24"/>
                <w:rtl/>
              </w:rPr>
            </w:pPr>
            <w:r>
              <w:rPr>
                <w:rFonts w:hint="cs"/>
                <w:szCs w:val="24"/>
                <w:rtl/>
              </w:rPr>
              <w:t>-5.8</w:t>
            </w:r>
          </w:p>
        </w:tc>
      </w:tr>
      <w:tr w:rsidR="00443EC1" w:rsidTr="00443EC1">
        <w:tblPrEx>
          <w:tblCellMar>
            <w:top w:w="0" w:type="dxa"/>
            <w:bottom w:w="0" w:type="dxa"/>
          </w:tblCellMar>
        </w:tblPrEx>
        <w:trPr>
          <w:trHeight w:val="198"/>
          <w:jc w:val="center"/>
        </w:trPr>
        <w:tc>
          <w:tcPr>
            <w:tcW w:w="2008" w:type="dxa"/>
            <w:tcBorders>
              <w:top w:val="nil"/>
              <w:bottom w:val="nil"/>
            </w:tcBorders>
          </w:tcPr>
          <w:p w:rsidR="00443EC1" w:rsidRDefault="00443EC1">
            <w:pPr>
              <w:spacing w:before="0" w:after="0" w:line="240" w:lineRule="exact"/>
              <w:ind w:left="567" w:right="567"/>
              <w:jc w:val="center"/>
              <w:rPr>
                <w:rFonts w:hint="cs"/>
                <w:szCs w:val="24"/>
                <w:rtl/>
              </w:rPr>
            </w:pPr>
            <w:r>
              <w:rPr>
                <w:rFonts w:hint="cs"/>
                <w:szCs w:val="24"/>
                <w:rtl/>
              </w:rPr>
              <w:t>2000</w:t>
            </w:r>
          </w:p>
        </w:tc>
        <w:tc>
          <w:tcPr>
            <w:tcW w:w="2132" w:type="dxa"/>
            <w:tcBorders>
              <w:top w:val="nil"/>
              <w:bottom w:val="nil"/>
            </w:tcBorders>
          </w:tcPr>
          <w:p w:rsidR="00443EC1" w:rsidRDefault="00443EC1">
            <w:pPr>
              <w:spacing w:before="0" w:after="0" w:line="240" w:lineRule="exact"/>
              <w:ind w:left="567" w:right="567"/>
              <w:jc w:val="left"/>
              <w:rPr>
                <w:rFonts w:hint="cs"/>
                <w:szCs w:val="24"/>
                <w:rtl/>
              </w:rPr>
            </w:pPr>
            <w:r>
              <w:rPr>
                <w:rFonts w:hint="cs"/>
                <w:szCs w:val="24"/>
                <w:rtl/>
              </w:rPr>
              <w:t>100.0</w:t>
            </w:r>
          </w:p>
        </w:tc>
        <w:tc>
          <w:tcPr>
            <w:tcW w:w="2160" w:type="dxa"/>
            <w:tcBorders>
              <w:top w:val="nil"/>
              <w:bottom w:val="nil"/>
            </w:tcBorders>
          </w:tcPr>
          <w:p w:rsidR="00443EC1" w:rsidRDefault="00443EC1">
            <w:pPr>
              <w:spacing w:before="0" w:after="0" w:line="240" w:lineRule="exact"/>
              <w:ind w:left="454" w:right="454"/>
              <w:jc w:val="left"/>
              <w:rPr>
                <w:rFonts w:hint="cs"/>
                <w:szCs w:val="24"/>
                <w:rtl/>
              </w:rPr>
            </w:pPr>
            <w:r>
              <w:rPr>
                <w:rFonts w:hint="cs"/>
                <w:szCs w:val="24"/>
                <w:rtl/>
              </w:rPr>
              <w:t>-6.2</w:t>
            </w:r>
          </w:p>
        </w:tc>
      </w:tr>
      <w:tr w:rsidR="00443EC1" w:rsidTr="00443EC1">
        <w:tblPrEx>
          <w:tblCellMar>
            <w:top w:w="0" w:type="dxa"/>
            <w:bottom w:w="0" w:type="dxa"/>
          </w:tblCellMar>
        </w:tblPrEx>
        <w:trPr>
          <w:trHeight w:val="168"/>
          <w:jc w:val="center"/>
        </w:trPr>
        <w:tc>
          <w:tcPr>
            <w:tcW w:w="2008" w:type="dxa"/>
            <w:tcBorders>
              <w:top w:val="nil"/>
              <w:bottom w:val="nil"/>
            </w:tcBorders>
          </w:tcPr>
          <w:p w:rsidR="00443EC1" w:rsidRDefault="00443EC1">
            <w:pPr>
              <w:spacing w:before="0" w:after="0" w:line="240" w:lineRule="exact"/>
              <w:ind w:left="567" w:right="567"/>
              <w:jc w:val="center"/>
              <w:rPr>
                <w:rFonts w:hint="cs"/>
                <w:szCs w:val="24"/>
                <w:rtl/>
              </w:rPr>
            </w:pPr>
            <w:r>
              <w:rPr>
                <w:rFonts w:hint="cs"/>
                <w:szCs w:val="24"/>
                <w:rtl/>
              </w:rPr>
              <w:t>2001</w:t>
            </w:r>
          </w:p>
        </w:tc>
        <w:tc>
          <w:tcPr>
            <w:tcW w:w="2132" w:type="dxa"/>
            <w:tcBorders>
              <w:top w:val="nil"/>
              <w:bottom w:val="nil"/>
            </w:tcBorders>
          </w:tcPr>
          <w:p w:rsidR="00443EC1" w:rsidRDefault="00443EC1">
            <w:pPr>
              <w:spacing w:before="0" w:after="0" w:line="240" w:lineRule="exact"/>
              <w:ind w:left="567" w:right="567"/>
              <w:jc w:val="left"/>
              <w:rPr>
                <w:rFonts w:hint="cs"/>
                <w:szCs w:val="24"/>
                <w:rtl/>
              </w:rPr>
            </w:pPr>
            <w:r>
              <w:rPr>
                <w:rFonts w:hint="cs"/>
                <w:szCs w:val="24"/>
                <w:rtl/>
              </w:rPr>
              <w:t>98.6</w:t>
            </w:r>
          </w:p>
        </w:tc>
        <w:tc>
          <w:tcPr>
            <w:tcW w:w="2160" w:type="dxa"/>
            <w:tcBorders>
              <w:top w:val="nil"/>
              <w:bottom w:val="nil"/>
            </w:tcBorders>
          </w:tcPr>
          <w:p w:rsidR="00443EC1" w:rsidRDefault="00443EC1">
            <w:pPr>
              <w:spacing w:before="0" w:after="0" w:line="240" w:lineRule="exact"/>
              <w:ind w:left="454" w:right="454"/>
              <w:jc w:val="left"/>
              <w:rPr>
                <w:rFonts w:hint="cs"/>
                <w:szCs w:val="24"/>
                <w:rtl/>
              </w:rPr>
            </w:pPr>
            <w:r>
              <w:rPr>
                <w:rFonts w:hint="cs"/>
                <w:szCs w:val="24"/>
                <w:rtl/>
              </w:rPr>
              <w:t>-1.0</w:t>
            </w:r>
          </w:p>
        </w:tc>
      </w:tr>
      <w:tr w:rsidR="00443EC1" w:rsidTr="00443EC1">
        <w:tblPrEx>
          <w:tblCellMar>
            <w:top w:w="0" w:type="dxa"/>
            <w:bottom w:w="0" w:type="dxa"/>
          </w:tblCellMar>
        </w:tblPrEx>
        <w:trPr>
          <w:trHeight w:val="138"/>
          <w:jc w:val="center"/>
        </w:trPr>
        <w:tc>
          <w:tcPr>
            <w:tcW w:w="2008" w:type="dxa"/>
            <w:tcBorders>
              <w:top w:val="nil"/>
            </w:tcBorders>
          </w:tcPr>
          <w:p w:rsidR="00443EC1" w:rsidRDefault="00443EC1">
            <w:pPr>
              <w:spacing w:before="0" w:after="0" w:line="240" w:lineRule="exact"/>
              <w:ind w:left="567" w:right="567"/>
              <w:jc w:val="center"/>
              <w:rPr>
                <w:rFonts w:hint="cs"/>
                <w:szCs w:val="24"/>
                <w:rtl/>
              </w:rPr>
            </w:pPr>
            <w:r>
              <w:rPr>
                <w:rFonts w:hint="cs"/>
                <w:szCs w:val="24"/>
                <w:rtl/>
              </w:rPr>
              <w:t>2002</w:t>
            </w:r>
          </w:p>
        </w:tc>
        <w:tc>
          <w:tcPr>
            <w:tcW w:w="2132" w:type="dxa"/>
            <w:tcBorders>
              <w:top w:val="nil"/>
            </w:tcBorders>
          </w:tcPr>
          <w:p w:rsidR="00443EC1" w:rsidRDefault="00443EC1">
            <w:pPr>
              <w:spacing w:before="0" w:after="0" w:line="240" w:lineRule="exact"/>
              <w:ind w:left="567" w:right="567"/>
              <w:jc w:val="left"/>
              <w:rPr>
                <w:rFonts w:hint="cs"/>
                <w:szCs w:val="24"/>
                <w:rtl/>
              </w:rPr>
            </w:pPr>
            <w:r>
              <w:rPr>
                <w:rFonts w:hint="cs"/>
                <w:szCs w:val="24"/>
                <w:rtl/>
              </w:rPr>
              <w:t>95.9</w:t>
            </w:r>
          </w:p>
        </w:tc>
        <w:tc>
          <w:tcPr>
            <w:tcW w:w="2160" w:type="dxa"/>
            <w:tcBorders>
              <w:top w:val="nil"/>
            </w:tcBorders>
          </w:tcPr>
          <w:p w:rsidR="00443EC1" w:rsidRDefault="00443EC1">
            <w:pPr>
              <w:spacing w:before="0" w:after="0" w:line="240" w:lineRule="exact"/>
              <w:ind w:left="454" w:right="454"/>
              <w:jc w:val="left"/>
              <w:rPr>
                <w:rFonts w:hint="cs"/>
                <w:szCs w:val="24"/>
                <w:rtl/>
              </w:rPr>
            </w:pPr>
            <w:r>
              <w:rPr>
                <w:rFonts w:hint="cs"/>
                <w:szCs w:val="24"/>
                <w:rtl/>
              </w:rPr>
              <w:t>-2.7</w:t>
            </w:r>
          </w:p>
        </w:tc>
      </w:tr>
    </w:tbl>
    <w:p w:rsidR="00000000" w:rsidRDefault="00443EC1">
      <w:pPr>
        <w:jc w:val="both"/>
        <w:rPr>
          <w:rFonts w:hint="cs"/>
          <w:b/>
          <w:bCs/>
          <w:rtl/>
        </w:rPr>
      </w:pPr>
      <w:r>
        <w:rPr>
          <w:rFonts w:hint="cs"/>
          <w:b/>
          <w:bCs/>
          <w:rtl/>
        </w:rPr>
        <w:t>الناتج المحلي الإجمالي في الفترة 1990-2002</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8"/>
        <w:gridCol w:w="2322"/>
        <w:gridCol w:w="2520"/>
      </w:tblGrid>
      <w:tr w:rsidR="00443EC1" w:rsidTr="00443EC1">
        <w:tblPrEx>
          <w:tblCellMar>
            <w:top w:w="0" w:type="dxa"/>
            <w:bottom w:w="0" w:type="dxa"/>
          </w:tblCellMar>
        </w:tblPrEx>
        <w:trPr>
          <w:jc w:val="center"/>
        </w:trPr>
        <w:tc>
          <w:tcPr>
            <w:tcW w:w="1818" w:type="dxa"/>
            <w:tcBorders>
              <w:bottom w:val="single" w:sz="4" w:space="0" w:color="auto"/>
            </w:tcBorders>
          </w:tcPr>
          <w:p w:rsidR="00443EC1" w:rsidRDefault="00443EC1">
            <w:pPr>
              <w:spacing w:before="0" w:after="0" w:line="240" w:lineRule="exact"/>
              <w:jc w:val="center"/>
              <w:rPr>
                <w:rStyle w:val="FootnoteReference"/>
                <w:rFonts w:hint="cs"/>
                <w:bCs w:val="0"/>
                <w:szCs w:val="24"/>
                <w:vertAlign w:val="baseline"/>
              </w:rPr>
            </w:pPr>
            <w:r>
              <w:rPr>
                <w:rFonts w:hint="cs"/>
                <w:szCs w:val="24"/>
                <w:rtl/>
              </w:rPr>
              <w:t>السنة</w:t>
            </w:r>
          </w:p>
        </w:tc>
        <w:tc>
          <w:tcPr>
            <w:tcW w:w="2322" w:type="dxa"/>
            <w:tcBorders>
              <w:bottom w:val="single" w:sz="4" w:space="0" w:color="auto"/>
            </w:tcBorders>
          </w:tcPr>
          <w:p w:rsidR="00443EC1" w:rsidRDefault="00443EC1">
            <w:pPr>
              <w:spacing w:before="0" w:after="0" w:line="240" w:lineRule="exact"/>
              <w:jc w:val="center"/>
              <w:rPr>
                <w:rStyle w:val="FootnoteReference"/>
                <w:rFonts w:hint="cs"/>
                <w:bCs w:val="0"/>
                <w:szCs w:val="24"/>
                <w:vertAlign w:val="baseline"/>
              </w:rPr>
            </w:pPr>
            <w:r>
              <w:rPr>
                <w:rFonts w:hint="cs"/>
                <w:szCs w:val="24"/>
                <w:rtl/>
              </w:rPr>
              <w:t>بأسعار السوق الجارية</w:t>
            </w:r>
            <w:r>
              <w:rPr>
                <w:szCs w:val="24"/>
                <w:rtl/>
              </w:rPr>
              <w:br/>
            </w:r>
            <w:r>
              <w:rPr>
                <w:rFonts w:hint="cs"/>
                <w:szCs w:val="24"/>
                <w:rtl/>
              </w:rPr>
              <w:t>(بملايين الدولارات الأمريكية)*</w:t>
            </w:r>
          </w:p>
        </w:tc>
        <w:tc>
          <w:tcPr>
            <w:tcW w:w="2520" w:type="dxa"/>
            <w:tcBorders>
              <w:bottom w:val="single" w:sz="4" w:space="0" w:color="auto"/>
            </w:tcBorders>
          </w:tcPr>
          <w:p w:rsidR="00443EC1" w:rsidRDefault="00443EC1">
            <w:pPr>
              <w:spacing w:before="0" w:after="0" w:line="240" w:lineRule="exact"/>
              <w:jc w:val="center"/>
              <w:rPr>
                <w:rStyle w:val="FootnoteReference"/>
                <w:rFonts w:hint="cs"/>
                <w:bCs w:val="0"/>
                <w:szCs w:val="24"/>
                <w:vertAlign w:val="baseline"/>
              </w:rPr>
            </w:pPr>
            <w:r>
              <w:rPr>
                <w:rFonts w:hint="cs"/>
                <w:spacing w:val="0"/>
                <w:szCs w:val="24"/>
                <w:rtl/>
              </w:rPr>
              <w:t>بأسعار السوق الثابتة (2000</w:t>
            </w:r>
            <w:r>
              <w:rPr>
                <w:rFonts w:hint="cs"/>
                <w:szCs w:val="24"/>
                <w:rtl/>
              </w:rPr>
              <w:t>)</w:t>
            </w:r>
            <w:r>
              <w:rPr>
                <w:szCs w:val="24"/>
                <w:rtl/>
              </w:rPr>
              <w:br/>
            </w:r>
            <w:r>
              <w:rPr>
                <w:rFonts w:hint="cs"/>
                <w:szCs w:val="24"/>
                <w:rtl/>
              </w:rPr>
              <w:t>(بملايين الدولارات الأمريكية)**</w:t>
            </w:r>
          </w:p>
        </w:tc>
      </w:tr>
      <w:tr w:rsidR="00443EC1" w:rsidTr="00443EC1">
        <w:tblPrEx>
          <w:tblCellMar>
            <w:top w:w="0" w:type="dxa"/>
            <w:bottom w:w="0" w:type="dxa"/>
          </w:tblCellMar>
        </w:tblPrEx>
        <w:trPr>
          <w:jc w:val="center"/>
        </w:trPr>
        <w:tc>
          <w:tcPr>
            <w:tcW w:w="1818" w:type="dxa"/>
            <w:tcBorders>
              <w:bottom w:val="nil"/>
            </w:tcBorders>
          </w:tcPr>
          <w:p w:rsidR="00443EC1" w:rsidRDefault="00443EC1">
            <w:pPr>
              <w:spacing w:before="0" w:after="0" w:line="280" w:lineRule="exact"/>
              <w:ind w:left="567" w:right="567"/>
              <w:jc w:val="both"/>
              <w:rPr>
                <w:rFonts w:hint="cs"/>
                <w:szCs w:val="24"/>
                <w:rtl/>
              </w:rPr>
            </w:pPr>
            <w:r>
              <w:rPr>
                <w:rFonts w:hint="cs"/>
                <w:szCs w:val="24"/>
                <w:rtl/>
              </w:rPr>
              <w:t>1990</w:t>
            </w:r>
          </w:p>
        </w:tc>
        <w:tc>
          <w:tcPr>
            <w:tcW w:w="2322" w:type="dxa"/>
            <w:tcBorders>
              <w:bottom w:val="nil"/>
            </w:tcBorders>
          </w:tcPr>
          <w:p w:rsidR="00443EC1" w:rsidRDefault="00443EC1">
            <w:pPr>
              <w:spacing w:before="0" w:after="0" w:line="280" w:lineRule="exact"/>
              <w:ind w:left="567" w:right="567"/>
              <w:jc w:val="both"/>
              <w:rPr>
                <w:rFonts w:hint="cs"/>
                <w:szCs w:val="24"/>
                <w:rtl/>
              </w:rPr>
            </w:pPr>
            <w:r>
              <w:rPr>
                <w:rFonts w:hint="cs"/>
                <w:szCs w:val="24"/>
                <w:rtl/>
              </w:rPr>
              <w:t>442 75</w:t>
            </w:r>
          </w:p>
        </w:tc>
        <w:tc>
          <w:tcPr>
            <w:tcW w:w="2520" w:type="dxa"/>
            <w:tcBorders>
              <w:bottom w:val="nil"/>
            </w:tcBorders>
          </w:tcPr>
          <w:p w:rsidR="00443EC1" w:rsidRDefault="00443EC1">
            <w:pPr>
              <w:spacing w:before="0" w:after="0" w:line="280" w:lineRule="exact"/>
              <w:ind w:left="567" w:right="567"/>
              <w:jc w:val="both"/>
              <w:rPr>
                <w:rFonts w:hint="cs"/>
                <w:szCs w:val="24"/>
                <w:rtl/>
              </w:rPr>
            </w:pPr>
            <w:r>
              <w:rPr>
                <w:rFonts w:hint="cs"/>
                <w:szCs w:val="24"/>
                <w:rtl/>
              </w:rPr>
              <w:t>236 106</w:t>
            </w:r>
          </w:p>
        </w:tc>
      </w:tr>
      <w:tr w:rsidR="00443EC1" w:rsidTr="00443EC1">
        <w:tblPrEx>
          <w:tblCellMar>
            <w:top w:w="0" w:type="dxa"/>
            <w:bottom w:w="0" w:type="dxa"/>
          </w:tblCellMar>
        </w:tblPrEx>
        <w:trPr>
          <w:jc w:val="center"/>
        </w:trPr>
        <w:tc>
          <w:tcPr>
            <w:tcW w:w="1818" w:type="dxa"/>
            <w:tcBorders>
              <w:top w:val="nil"/>
              <w:bottom w:val="nil"/>
            </w:tcBorders>
          </w:tcPr>
          <w:p w:rsidR="00443EC1" w:rsidRDefault="00443EC1">
            <w:pPr>
              <w:spacing w:before="0" w:after="0" w:line="280" w:lineRule="exact"/>
              <w:ind w:left="567" w:right="567"/>
              <w:jc w:val="both"/>
              <w:rPr>
                <w:rFonts w:hint="cs"/>
                <w:szCs w:val="24"/>
                <w:rtl/>
              </w:rPr>
            </w:pPr>
            <w:r>
              <w:rPr>
                <w:rFonts w:hint="cs"/>
                <w:szCs w:val="24"/>
                <w:rtl/>
              </w:rPr>
              <w:t>1991</w:t>
            </w:r>
          </w:p>
        </w:tc>
        <w:tc>
          <w:tcPr>
            <w:tcW w:w="2322" w:type="dxa"/>
            <w:tcBorders>
              <w:top w:val="nil"/>
              <w:bottom w:val="nil"/>
            </w:tcBorders>
          </w:tcPr>
          <w:p w:rsidR="00443EC1" w:rsidRDefault="00443EC1">
            <w:pPr>
              <w:spacing w:before="0" w:after="0" w:line="280" w:lineRule="exact"/>
              <w:ind w:left="567" w:right="567"/>
              <w:jc w:val="both"/>
              <w:rPr>
                <w:rFonts w:hint="cs"/>
                <w:szCs w:val="24"/>
                <w:rtl/>
              </w:rPr>
            </w:pPr>
            <w:r>
              <w:rPr>
                <w:rFonts w:hint="cs"/>
                <w:szCs w:val="24"/>
                <w:rtl/>
              </w:rPr>
              <w:t>151 87</w:t>
            </w:r>
          </w:p>
        </w:tc>
        <w:tc>
          <w:tcPr>
            <w:tcW w:w="2520" w:type="dxa"/>
            <w:tcBorders>
              <w:top w:val="nil"/>
              <w:bottom w:val="nil"/>
            </w:tcBorders>
          </w:tcPr>
          <w:p w:rsidR="00443EC1" w:rsidRDefault="00443EC1">
            <w:pPr>
              <w:spacing w:before="0" w:after="0" w:line="280" w:lineRule="exact"/>
              <w:ind w:left="567" w:right="567"/>
              <w:jc w:val="both"/>
              <w:rPr>
                <w:rFonts w:hint="cs"/>
                <w:szCs w:val="24"/>
                <w:rtl/>
              </w:rPr>
            </w:pPr>
            <w:r>
              <w:rPr>
                <w:rFonts w:hint="cs"/>
                <w:szCs w:val="24"/>
                <w:rtl/>
              </w:rPr>
              <w:t>486 112</w:t>
            </w:r>
          </w:p>
        </w:tc>
      </w:tr>
      <w:tr w:rsidR="00443EC1" w:rsidTr="00443EC1">
        <w:tblPrEx>
          <w:tblCellMar>
            <w:top w:w="0" w:type="dxa"/>
            <w:bottom w:w="0" w:type="dxa"/>
          </w:tblCellMar>
        </w:tblPrEx>
        <w:trPr>
          <w:jc w:val="center"/>
        </w:trPr>
        <w:tc>
          <w:tcPr>
            <w:tcW w:w="1818" w:type="dxa"/>
            <w:tcBorders>
              <w:top w:val="nil"/>
              <w:bottom w:val="nil"/>
            </w:tcBorders>
          </w:tcPr>
          <w:p w:rsidR="00443EC1" w:rsidRDefault="00443EC1">
            <w:pPr>
              <w:spacing w:before="0" w:after="0" w:line="280" w:lineRule="exact"/>
              <w:ind w:left="567" w:right="567"/>
              <w:jc w:val="both"/>
              <w:rPr>
                <w:rFonts w:hint="cs"/>
                <w:szCs w:val="24"/>
                <w:rtl/>
              </w:rPr>
            </w:pPr>
            <w:r>
              <w:rPr>
                <w:rFonts w:hint="cs"/>
                <w:szCs w:val="24"/>
                <w:rtl/>
              </w:rPr>
              <w:t>1992</w:t>
            </w:r>
          </w:p>
        </w:tc>
        <w:tc>
          <w:tcPr>
            <w:tcW w:w="2322" w:type="dxa"/>
            <w:tcBorders>
              <w:top w:val="nil"/>
              <w:bottom w:val="nil"/>
            </w:tcBorders>
          </w:tcPr>
          <w:p w:rsidR="00443EC1" w:rsidRDefault="00443EC1">
            <w:pPr>
              <w:spacing w:before="0" w:after="0" w:line="280" w:lineRule="exact"/>
              <w:ind w:left="567" w:right="567"/>
              <w:jc w:val="both"/>
              <w:rPr>
                <w:rFonts w:hint="cs"/>
                <w:szCs w:val="24"/>
                <w:rtl/>
              </w:rPr>
            </w:pPr>
            <w:r>
              <w:rPr>
                <w:rFonts w:hint="cs"/>
                <w:szCs w:val="24"/>
                <w:rtl/>
              </w:rPr>
              <w:t>224 102</w:t>
            </w:r>
          </w:p>
        </w:tc>
        <w:tc>
          <w:tcPr>
            <w:tcW w:w="2520" w:type="dxa"/>
            <w:tcBorders>
              <w:top w:val="nil"/>
              <w:bottom w:val="nil"/>
            </w:tcBorders>
          </w:tcPr>
          <w:p w:rsidR="00443EC1" w:rsidRDefault="00443EC1">
            <w:pPr>
              <w:spacing w:before="0" w:after="0" w:line="280" w:lineRule="exact"/>
              <w:ind w:left="567" w:right="567"/>
              <w:jc w:val="both"/>
              <w:rPr>
                <w:rFonts w:hint="cs"/>
                <w:szCs w:val="24"/>
                <w:rtl/>
              </w:rPr>
            </w:pPr>
            <w:r>
              <w:rPr>
                <w:rFonts w:hint="cs"/>
                <w:szCs w:val="24"/>
                <w:rtl/>
              </w:rPr>
              <w:t>358 120</w:t>
            </w:r>
          </w:p>
        </w:tc>
      </w:tr>
      <w:tr w:rsidR="00443EC1" w:rsidTr="00443EC1">
        <w:tblPrEx>
          <w:tblCellMar>
            <w:top w:w="0" w:type="dxa"/>
            <w:bottom w:w="0" w:type="dxa"/>
          </w:tblCellMar>
        </w:tblPrEx>
        <w:trPr>
          <w:jc w:val="center"/>
        </w:trPr>
        <w:tc>
          <w:tcPr>
            <w:tcW w:w="1818" w:type="dxa"/>
            <w:tcBorders>
              <w:top w:val="nil"/>
              <w:bottom w:val="nil"/>
            </w:tcBorders>
          </w:tcPr>
          <w:p w:rsidR="00443EC1" w:rsidRDefault="00443EC1">
            <w:pPr>
              <w:spacing w:before="0" w:after="0" w:line="280" w:lineRule="exact"/>
              <w:ind w:left="567" w:right="567"/>
              <w:jc w:val="both"/>
              <w:rPr>
                <w:rFonts w:hint="cs"/>
                <w:szCs w:val="24"/>
                <w:rtl/>
              </w:rPr>
            </w:pPr>
            <w:r>
              <w:rPr>
                <w:rFonts w:hint="cs"/>
                <w:szCs w:val="24"/>
                <w:rtl/>
              </w:rPr>
              <w:t>1993</w:t>
            </w:r>
          </w:p>
        </w:tc>
        <w:tc>
          <w:tcPr>
            <w:tcW w:w="2322" w:type="dxa"/>
            <w:tcBorders>
              <w:top w:val="nil"/>
              <w:bottom w:val="nil"/>
            </w:tcBorders>
          </w:tcPr>
          <w:p w:rsidR="00443EC1" w:rsidRDefault="00443EC1">
            <w:pPr>
              <w:spacing w:before="0" w:after="0" w:line="280" w:lineRule="exact"/>
              <w:ind w:left="567" w:right="567"/>
              <w:jc w:val="both"/>
              <w:rPr>
                <w:rFonts w:hint="cs"/>
                <w:szCs w:val="24"/>
                <w:rtl/>
              </w:rPr>
            </w:pPr>
            <w:r>
              <w:rPr>
                <w:rFonts w:hint="cs"/>
                <w:szCs w:val="24"/>
                <w:rtl/>
              </w:rPr>
              <w:t>995 117</w:t>
            </w:r>
          </w:p>
        </w:tc>
        <w:tc>
          <w:tcPr>
            <w:tcW w:w="2520" w:type="dxa"/>
            <w:tcBorders>
              <w:top w:val="nil"/>
              <w:bottom w:val="nil"/>
            </w:tcBorders>
          </w:tcPr>
          <w:p w:rsidR="00443EC1" w:rsidRDefault="00443EC1">
            <w:pPr>
              <w:spacing w:before="0" w:after="0" w:line="280" w:lineRule="exact"/>
              <w:ind w:left="567" w:right="567"/>
              <w:jc w:val="both"/>
              <w:rPr>
                <w:rFonts w:hint="cs"/>
                <w:szCs w:val="24"/>
                <w:rtl/>
              </w:rPr>
            </w:pPr>
            <w:r>
              <w:rPr>
                <w:rFonts w:hint="cs"/>
                <w:szCs w:val="24"/>
                <w:rtl/>
              </w:rPr>
              <w:t>081 128</w:t>
            </w:r>
          </w:p>
        </w:tc>
      </w:tr>
      <w:tr w:rsidR="00443EC1" w:rsidTr="00443EC1">
        <w:tblPrEx>
          <w:tblCellMar>
            <w:top w:w="0" w:type="dxa"/>
            <w:bottom w:w="0" w:type="dxa"/>
          </w:tblCellMar>
        </w:tblPrEx>
        <w:trPr>
          <w:jc w:val="center"/>
        </w:trPr>
        <w:tc>
          <w:tcPr>
            <w:tcW w:w="1818" w:type="dxa"/>
            <w:tcBorders>
              <w:top w:val="nil"/>
              <w:bottom w:val="nil"/>
            </w:tcBorders>
          </w:tcPr>
          <w:p w:rsidR="00443EC1" w:rsidRDefault="00443EC1">
            <w:pPr>
              <w:spacing w:before="0" w:after="0" w:line="280" w:lineRule="exact"/>
              <w:ind w:left="567" w:right="567"/>
              <w:jc w:val="both"/>
              <w:rPr>
                <w:rFonts w:hint="cs"/>
                <w:szCs w:val="24"/>
                <w:rtl/>
              </w:rPr>
            </w:pPr>
            <w:r>
              <w:rPr>
                <w:rFonts w:hint="cs"/>
                <w:szCs w:val="24"/>
                <w:rtl/>
              </w:rPr>
              <w:t>1994</w:t>
            </w:r>
          </w:p>
        </w:tc>
        <w:tc>
          <w:tcPr>
            <w:tcW w:w="2322" w:type="dxa"/>
            <w:tcBorders>
              <w:top w:val="nil"/>
              <w:bottom w:val="nil"/>
            </w:tcBorders>
          </w:tcPr>
          <w:p w:rsidR="00443EC1" w:rsidRDefault="00443EC1">
            <w:pPr>
              <w:spacing w:before="0" w:after="0" w:line="280" w:lineRule="exact"/>
              <w:ind w:left="567" w:right="567"/>
              <w:jc w:val="both"/>
              <w:rPr>
                <w:rFonts w:hint="cs"/>
                <w:szCs w:val="24"/>
                <w:rtl/>
              </w:rPr>
            </w:pPr>
            <w:r>
              <w:rPr>
                <w:rFonts w:hint="cs"/>
                <w:szCs w:val="24"/>
                <w:rtl/>
              </w:rPr>
              <w:t>252 133</w:t>
            </w:r>
          </w:p>
        </w:tc>
        <w:tc>
          <w:tcPr>
            <w:tcW w:w="2520" w:type="dxa"/>
            <w:tcBorders>
              <w:top w:val="nil"/>
              <w:bottom w:val="nil"/>
            </w:tcBorders>
          </w:tcPr>
          <w:p w:rsidR="00443EC1" w:rsidRDefault="00443EC1">
            <w:pPr>
              <w:spacing w:before="0" w:after="0" w:line="280" w:lineRule="exact"/>
              <w:ind w:left="567" w:right="567"/>
              <w:jc w:val="both"/>
              <w:rPr>
                <w:rFonts w:hint="cs"/>
                <w:szCs w:val="24"/>
                <w:rtl/>
              </w:rPr>
            </w:pPr>
            <w:r>
              <w:rPr>
                <w:rFonts w:hint="cs"/>
                <w:szCs w:val="24"/>
                <w:rtl/>
              </w:rPr>
              <w:t>242 135</w:t>
            </w:r>
          </w:p>
        </w:tc>
      </w:tr>
      <w:tr w:rsidR="00443EC1" w:rsidTr="00443EC1">
        <w:tblPrEx>
          <w:tblCellMar>
            <w:top w:w="0" w:type="dxa"/>
            <w:bottom w:w="0" w:type="dxa"/>
          </w:tblCellMar>
        </w:tblPrEx>
        <w:trPr>
          <w:jc w:val="center"/>
        </w:trPr>
        <w:tc>
          <w:tcPr>
            <w:tcW w:w="1818" w:type="dxa"/>
            <w:tcBorders>
              <w:top w:val="nil"/>
              <w:bottom w:val="nil"/>
            </w:tcBorders>
          </w:tcPr>
          <w:p w:rsidR="00443EC1" w:rsidRDefault="00443EC1">
            <w:pPr>
              <w:spacing w:before="0" w:after="0" w:line="280" w:lineRule="exact"/>
              <w:ind w:left="567" w:right="567"/>
              <w:jc w:val="both"/>
              <w:rPr>
                <w:rFonts w:hint="cs"/>
                <w:szCs w:val="24"/>
                <w:rtl/>
              </w:rPr>
            </w:pPr>
            <w:r>
              <w:rPr>
                <w:rFonts w:hint="cs"/>
                <w:szCs w:val="24"/>
                <w:rtl/>
              </w:rPr>
              <w:t>1995</w:t>
            </w:r>
          </w:p>
        </w:tc>
        <w:tc>
          <w:tcPr>
            <w:tcW w:w="2322" w:type="dxa"/>
            <w:tcBorders>
              <w:top w:val="nil"/>
              <w:bottom w:val="nil"/>
            </w:tcBorders>
          </w:tcPr>
          <w:p w:rsidR="00443EC1" w:rsidRDefault="00443EC1">
            <w:pPr>
              <w:spacing w:before="0" w:after="0" w:line="280" w:lineRule="exact"/>
              <w:ind w:left="567" w:right="567"/>
              <w:jc w:val="both"/>
              <w:rPr>
                <w:rFonts w:hint="cs"/>
                <w:szCs w:val="24"/>
                <w:rtl/>
              </w:rPr>
            </w:pPr>
            <w:r>
              <w:rPr>
                <w:rFonts w:hint="cs"/>
                <w:szCs w:val="24"/>
                <w:rtl/>
              </w:rPr>
              <w:t>709 141</w:t>
            </w:r>
          </w:p>
        </w:tc>
        <w:tc>
          <w:tcPr>
            <w:tcW w:w="2520" w:type="dxa"/>
            <w:tcBorders>
              <w:top w:val="nil"/>
              <w:bottom w:val="nil"/>
            </w:tcBorders>
          </w:tcPr>
          <w:p w:rsidR="00443EC1" w:rsidRDefault="00443EC1">
            <w:pPr>
              <w:spacing w:before="0" w:after="0" w:line="280" w:lineRule="exact"/>
              <w:ind w:left="567" w:right="567"/>
              <w:jc w:val="both"/>
              <w:rPr>
                <w:rFonts w:hint="cs"/>
                <w:szCs w:val="24"/>
                <w:rtl/>
              </w:rPr>
            </w:pPr>
            <w:r>
              <w:rPr>
                <w:rFonts w:hint="cs"/>
                <w:szCs w:val="24"/>
                <w:rtl/>
              </w:rPr>
              <w:t>352 140</w:t>
            </w:r>
          </w:p>
        </w:tc>
      </w:tr>
      <w:tr w:rsidR="00443EC1" w:rsidTr="00443EC1">
        <w:tblPrEx>
          <w:tblCellMar>
            <w:top w:w="0" w:type="dxa"/>
            <w:bottom w:w="0" w:type="dxa"/>
          </w:tblCellMar>
        </w:tblPrEx>
        <w:trPr>
          <w:jc w:val="center"/>
        </w:trPr>
        <w:tc>
          <w:tcPr>
            <w:tcW w:w="1818" w:type="dxa"/>
            <w:tcBorders>
              <w:top w:val="nil"/>
              <w:bottom w:val="nil"/>
            </w:tcBorders>
          </w:tcPr>
          <w:p w:rsidR="00443EC1" w:rsidRDefault="00443EC1">
            <w:pPr>
              <w:spacing w:before="0" w:after="0" w:line="280" w:lineRule="exact"/>
              <w:ind w:left="567" w:right="567"/>
              <w:jc w:val="both"/>
              <w:rPr>
                <w:rFonts w:hint="cs"/>
                <w:szCs w:val="24"/>
                <w:rtl/>
              </w:rPr>
            </w:pPr>
            <w:r>
              <w:rPr>
                <w:rFonts w:hint="cs"/>
                <w:szCs w:val="24"/>
                <w:rtl/>
              </w:rPr>
              <w:t>1996</w:t>
            </w:r>
          </w:p>
        </w:tc>
        <w:tc>
          <w:tcPr>
            <w:tcW w:w="2322" w:type="dxa"/>
            <w:tcBorders>
              <w:top w:val="nil"/>
              <w:bottom w:val="nil"/>
            </w:tcBorders>
          </w:tcPr>
          <w:p w:rsidR="00443EC1" w:rsidRDefault="00443EC1">
            <w:pPr>
              <w:spacing w:before="0" w:after="0" w:line="280" w:lineRule="exact"/>
              <w:ind w:left="567" w:right="567"/>
              <w:jc w:val="both"/>
              <w:rPr>
                <w:rFonts w:hint="cs"/>
                <w:szCs w:val="24"/>
                <w:rtl/>
              </w:rPr>
            </w:pPr>
            <w:r>
              <w:rPr>
                <w:rFonts w:hint="cs"/>
                <w:szCs w:val="24"/>
                <w:rtl/>
              </w:rPr>
              <w:t>572 156</w:t>
            </w:r>
          </w:p>
        </w:tc>
        <w:tc>
          <w:tcPr>
            <w:tcW w:w="2520" w:type="dxa"/>
            <w:tcBorders>
              <w:top w:val="nil"/>
              <w:bottom w:val="nil"/>
            </w:tcBorders>
          </w:tcPr>
          <w:p w:rsidR="00443EC1" w:rsidRDefault="00443EC1">
            <w:pPr>
              <w:spacing w:before="0" w:after="0" w:line="280" w:lineRule="exact"/>
              <w:ind w:left="567" w:right="567"/>
              <w:jc w:val="both"/>
              <w:rPr>
                <w:rFonts w:hint="cs"/>
                <w:szCs w:val="24"/>
                <w:rtl/>
              </w:rPr>
            </w:pPr>
            <w:r>
              <w:rPr>
                <w:rFonts w:hint="cs"/>
                <w:szCs w:val="24"/>
                <w:rtl/>
              </w:rPr>
              <w:t>434 146</w:t>
            </w:r>
          </w:p>
        </w:tc>
      </w:tr>
      <w:tr w:rsidR="00443EC1" w:rsidTr="00443EC1">
        <w:tblPrEx>
          <w:tblCellMar>
            <w:top w:w="0" w:type="dxa"/>
            <w:bottom w:w="0" w:type="dxa"/>
          </w:tblCellMar>
        </w:tblPrEx>
        <w:trPr>
          <w:jc w:val="center"/>
        </w:trPr>
        <w:tc>
          <w:tcPr>
            <w:tcW w:w="1818" w:type="dxa"/>
            <w:tcBorders>
              <w:top w:val="nil"/>
              <w:bottom w:val="nil"/>
            </w:tcBorders>
          </w:tcPr>
          <w:p w:rsidR="00443EC1" w:rsidRDefault="00443EC1">
            <w:pPr>
              <w:spacing w:before="0" w:after="0" w:line="280" w:lineRule="exact"/>
              <w:ind w:left="567" w:right="567"/>
              <w:jc w:val="both"/>
              <w:rPr>
                <w:rFonts w:hint="cs"/>
                <w:szCs w:val="24"/>
                <w:rtl/>
              </w:rPr>
            </w:pPr>
            <w:r>
              <w:rPr>
                <w:rFonts w:hint="cs"/>
                <w:szCs w:val="24"/>
                <w:rtl/>
              </w:rPr>
              <w:t>1997</w:t>
            </w:r>
          </w:p>
        </w:tc>
        <w:tc>
          <w:tcPr>
            <w:tcW w:w="2322" w:type="dxa"/>
            <w:tcBorders>
              <w:top w:val="nil"/>
              <w:bottom w:val="nil"/>
            </w:tcBorders>
          </w:tcPr>
          <w:p w:rsidR="00443EC1" w:rsidRDefault="00443EC1">
            <w:pPr>
              <w:spacing w:before="0" w:after="0" w:line="280" w:lineRule="exact"/>
              <w:ind w:left="567" w:right="567"/>
              <w:jc w:val="both"/>
              <w:rPr>
                <w:rFonts w:hint="cs"/>
                <w:szCs w:val="24"/>
                <w:rtl/>
              </w:rPr>
            </w:pPr>
            <w:r>
              <w:rPr>
                <w:rFonts w:hint="cs"/>
                <w:szCs w:val="24"/>
                <w:rtl/>
              </w:rPr>
              <w:t>669 173</w:t>
            </w:r>
          </w:p>
        </w:tc>
        <w:tc>
          <w:tcPr>
            <w:tcW w:w="2520" w:type="dxa"/>
            <w:tcBorders>
              <w:top w:val="nil"/>
              <w:bottom w:val="nil"/>
            </w:tcBorders>
          </w:tcPr>
          <w:p w:rsidR="00443EC1" w:rsidRDefault="00443EC1">
            <w:pPr>
              <w:spacing w:before="0" w:after="0" w:line="280" w:lineRule="exact"/>
              <w:ind w:left="567" w:right="567"/>
              <w:jc w:val="both"/>
              <w:rPr>
                <w:rFonts w:hint="cs"/>
                <w:szCs w:val="24"/>
                <w:rtl/>
              </w:rPr>
            </w:pPr>
            <w:r>
              <w:rPr>
                <w:rFonts w:hint="cs"/>
                <w:szCs w:val="24"/>
                <w:rtl/>
              </w:rPr>
              <w:t>703 153</w:t>
            </w:r>
          </w:p>
        </w:tc>
      </w:tr>
      <w:tr w:rsidR="00443EC1" w:rsidTr="00443EC1">
        <w:tblPrEx>
          <w:tblCellMar>
            <w:top w:w="0" w:type="dxa"/>
            <w:bottom w:w="0" w:type="dxa"/>
          </w:tblCellMar>
        </w:tblPrEx>
        <w:trPr>
          <w:jc w:val="center"/>
        </w:trPr>
        <w:tc>
          <w:tcPr>
            <w:tcW w:w="1818" w:type="dxa"/>
            <w:tcBorders>
              <w:top w:val="nil"/>
              <w:bottom w:val="nil"/>
            </w:tcBorders>
          </w:tcPr>
          <w:p w:rsidR="00443EC1" w:rsidRDefault="00443EC1">
            <w:pPr>
              <w:spacing w:before="0" w:after="0" w:line="280" w:lineRule="exact"/>
              <w:ind w:left="567" w:right="567"/>
              <w:jc w:val="both"/>
              <w:rPr>
                <w:rFonts w:hint="cs"/>
                <w:szCs w:val="24"/>
                <w:rtl/>
              </w:rPr>
            </w:pPr>
            <w:r>
              <w:rPr>
                <w:rFonts w:hint="cs"/>
                <w:szCs w:val="24"/>
                <w:rtl/>
              </w:rPr>
              <w:t>1998</w:t>
            </w:r>
          </w:p>
        </w:tc>
        <w:tc>
          <w:tcPr>
            <w:tcW w:w="2322" w:type="dxa"/>
            <w:tcBorders>
              <w:top w:val="nil"/>
              <w:bottom w:val="nil"/>
            </w:tcBorders>
          </w:tcPr>
          <w:p w:rsidR="00443EC1" w:rsidRDefault="00443EC1">
            <w:pPr>
              <w:spacing w:before="0" w:after="0" w:line="280" w:lineRule="exact"/>
              <w:ind w:left="567" w:right="567"/>
              <w:jc w:val="both"/>
              <w:rPr>
                <w:rFonts w:hint="cs"/>
                <w:szCs w:val="24"/>
                <w:rtl/>
              </w:rPr>
            </w:pPr>
            <w:r>
              <w:rPr>
                <w:rFonts w:hint="cs"/>
                <w:szCs w:val="24"/>
                <w:rtl/>
              </w:rPr>
              <w:t>249 165</w:t>
            </w:r>
          </w:p>
        </w:tc>
        <w:tc>
          <w:tcPr>
            <w:tcW w:w="2520" w:type="dxa"/>
            <w:tcBorders>
              <w:top w:val="nil"/>
              <w:bottom w:val="nil"/>
            </w:tcBorders>
          </w:tcPr>
          <w:p w:rsidR="00443EC1" w:rsidRDefault="00443EC1">
            <w:pPr>
              <w:spacing w:before="0" w:after="0" w:line="280" w:lineRule="exact"/>
              <w:ind w:left="567" w:right="567"/>
              <w:jc w:val="both"/>
              <w:rPr>
                <w:rFonts w:hint="cs"/>
                <w:szCs w:val="24"/>
                <w:rtl/>
              </w:rPr>
            </w:pPr>
            <w:r>
              <w:rPr>
                <w:rFonts w:hint="cs"/>
                <w:szCs w:val="24"/>
                <w:rtl/>
              </w:rPr>
              <w:t>009 146</w:t>
            </w:r>
          </w:p>
        </w:tc>
      </w:tr>
      <w:tr w:rsidR="00443EC1" w:rsidTr="00443EC1">
        <w:tblPrEx>
          <w:tblCellMar>
            <w:top w:w="0" w:type="dxa"/>
            <w:bottom w:w="0" w:type="dxa"/>
          </w:tblCellMar>
        </w:tblPrEx>
        <w:trPr>
          <w:jc w:val="center"/>
        </w:trPr>
        <w:tc>
          <w:tcPr>
            <w:tcW w:w="1818" w:type="dxa"/>
            <w:tcBorders>
              <w:top w:val="nil"/>
              <w:bottom w:val="nil"/>
            </w:tcBorders>
          </w:tcPr>
          <w:p w:rsidR="00443EC1" w:rsidRDefault="00443EC1">
            <w:pPr>
              <w:spacing w:before="0" w:after="0" w:line="280" w:lineRule="exact"/>
              <w:ind w:left="567" w:right="567"/>
              <w:jc w:val="both"/>
              <w:rPr>
                <w:rFonts w:hint="cs"/>
                <w:szCs w:val="24"/>
                <w:rtl/>
              </w:rPr>
            </w:pPr>
            <w:r>
              <w:rPr>
                <w:rFonts w:hint="cs"/>
                <w:szCs w:val="24"/>
                <w:rtl/>
              </w:rPr>
              <w:t>1999</w:t>
            </w:r>
          </w:p>
        </w:tc>
        <w:tc>
          <w:tcPr>
            <w:tcW w:w="2322" w:type="dxa"/>
            <w:tcBorders>
              <w:top w:val="nil"/>
              <w:bottom w:val="nil"/>
            </w:tcBorders>
          </w:tcPr>
          <w:p w:rsidR="00443EC1" w:rsidRDefault="00443EC1">
            <w:pPr>
              <w:spacing w:before="0" w:after="0" w:line="280" w:lineRule="exact"/>
              <w:ind w:left="567" w:right="567"/>
              <w:jc w:val="both"/>
              <w:rPr>
                <w:rFonts w:hint="cs"/>
                <w:szCs w:val="24"/>
                <w:rtl/>
              </w:rPr>
            </w:pPr>
            <w:r>
              <w:rPr>
                <w:rFonts w:hint="cs"/>
                <w:szCs w:val="24"/>
                <w:rtl/>
              </w:rPr>
              <w:t>626 160</w:t>
            </w:r>
          </w:p>
        </w:tc>
        <w:tc>
          <w:tcPr>
            <w:tcW w:w="2520" w:type="dxa"/>
            <w:tcBorders>
              <w:top w:val="nil"/>
              <w:bottom w:val="nil"/>
            </w:tcBorders>
          </w:tcPr>
          <w:p w:rsidR="00443EC1" w:rsidRDefault="00443EC1">
            <w:pPr>
              <w:spacing w:before="0" w:after="0" w:line="280" w:lineRule="exact"/>
              <w:ind w:left="567" w:right="567"/>
              <w:jc w:val="both"/>
              <w:rPr>
                <w:rFonts w:hint="cs"/>
                <w:szCs w:val="24"/>
                <w:rtl/>
              </w:rPr>
            </w:pPr>
            <w:r>
              <w:rPr>
                <w:rFonts w:hint="cs"/>
                <w:szCs w:val="24"/>
                <w:rtl/>
              </w:rPr>
              <w:t>744 150</w:t>
            </w:r>
          </w:p>
        </w:tc>
      </w:tr>
      <w:tr w:rsidR="00443EC1" w:rsidTr="00443EC1">
        <w:tblPrEx>
          <w:tblCellMar>
            <w:top w:w="0" w:type="dxa"/>
            <w:bottom w:w="0" w:type="dxa"/>
          </w:tblCellMar>
        </w:tblPrEx>
        <w:trPr>
          <w:jc w:val="center"/>
        </w:trPr>
        <w:tc>
          <w:tcPr>
            <w:tcW w:w="1818" w:type="dxa"/>
            <w:tcBorders>
              <w:top w:val="nil"/>
              <w:bottom w:val="nil"/>
            </w:tcBorders>
          </w:tcPr>
          <w:p w:rsidR="00443EC1" w:rsidRDefault="00443EC1">
            <w:pPr>
              <w:spacing w:before="0" w:after="0" w:line="280" w:lineRule="exact"/>
              <w:ind w:left="567" w:right="567"/>
              <w:jc w:val="both"/>
              <w:rPr>
                <w:rFonts w:hint="cs"/>
                <w:szCs w:val="24"/>
                <w:rtl/>
              </w:rPr>
            </w:pPr>
            <w:r>
              <w:rPr>
                <w:rFonts w:hint="cs"/>
                <w:szCs w:val="24"/>
                <w:rtl/>
              </w:rPr>
              <w:t>2000</w:t>
            </w:r>
          </w:p>
        </w:tc>
        <w:tc>
          <w:tcPr>
            <w:tcW w:w="2322" w:type="dxa"/>
            <w:tcBorders>
              <w:top w:val="nil"/>
              <w:bottom w:val="nil"/>
            </w:tcBorders>
          </w:tcPr>
          <w:p w:rsidR="00443EC1" w:rsidRDefault="00443EC1">
            <w:pPr>
              <w:spacing w:before="0" w:after="0" w:line="280" w:lineRule="exact"/>
              <w:ind w:left="567" w:right="567"/>
              <w:jc w:val="both"/>
              <w:rPr>
                <w:rFonts w:hint="cs"/>
                <w:szCs w:val="24"/>
                <w:rtl/>
              </w:rPr>
            </w:pPr>
            <w:r>
              <w:rPr>
                <w:rFonts w:hint="cs"/>
                <w:szCs w:val="24"/>
                <w:rtl/>
              </w:rPr>
              <w:t>362 165</w:t>
            </w:r>
          </w:p>
        </w:tc>
        <w:tc>
          <w:tcPr>
            <w:tcW w:w="2520" w:type="dxa"/>
            <w:tcBorders>
              <w:top w:val="nil"/>
              <w:bottom w:val="nil"/>
            </w:tcBorders>
          </w:tcPr>
          <w:p w:rsidR="00443EC1" w:rsidRDefault="00443EC1">
            <w:pPr>
              <w:spacing w:before="0" w:after="0" w:line="280" w:lineRule="exact"/>
              <w:ind w:left="567" w:right="567"/>
              <w:jc w:val="both"/>
              <w:rPr>
                <w:rFonts w:hint="cs"/>
                <w:szCs w:val="24"/>
                <w:rtl/>
              </w:rPr>
            </w:pPr>
            <w:r>
              <w:rPr>
                <w:rFonts w:hint="cs"/>
                <w:szCs w:val="24"/>
                <w:rtl/>
              </w:rPr>
              <w:t>362 165</w:t>
            </w:r>
          </w:p>
        </w:tc>
      </w:tr>
      <w:tr w:rsidR="00443EC1" w:rsidTr="00443EC1">
        <w:tblPrEx>
          <w:tblCellMar>
            <w:top w:w="0" w:type="dxa"/>
            <w:bottom w:w="0" w:type="dxa"/>
          </w:tblCellMar>
        </w:tblPrEx>
        <w:trPr>
          <w:jc w:val="center"/>
        </w:trPr>
        <w:tc>
          <w:tcPr>
            <w:tcW w:w="1818" w:type="dxa"/>
            <w:tcBorders>
              <w:top w:val="nil"/>
              <w:bottom w:val="nil"/>
            </w:tcBorders>
          </w:tcPr>
          <w:p w:rsidR="00443EC1" w:rsidRDefault="00443EC1">
            <w:pPr>
              <w:spacing w:before="0" w:after="0" w:line="280" w:lineRule="exact"/>
              <w:ind w:left="567" w:right="567"/>
              <w:jc w:val="both"/>
              <w:rPr>
                <w:rFonts w:hint="cs"/>
                <w:szCs w:val="24"/>
                <w:rtl/>
              </w:rPr>
            </w:pPr>
            <w:r>
              <w:rPr>
                <w:rFonts w:hint="cs"/>
                <w:szCs w:val="24"/>
                <w:rtl/>
              </w:rPr>
              <w:t>2001</w:t>
            </w:r>
          </w:p>
        </w:tc>
        <w:tc>
          <w:tcPr>
            <w:tcW w:w="2322" w:type="dxa"/>
            <w:tcBorders>
              <w:top w:val="nil"/>
              <w:bottom w:val="nil"/>
            </w:tcBorders>
          </w:tcPr>
          <w:p w:rsidR="00443EC1" w:rsidRDefault="00443EC1">
            <w:pPr>
              <w:spacing w:before="0" w:after="0" w:line="280" w:lineRule="exact"/>
              <w:ind w:left="567" w:right="567"/>
              <w:jc w:val="both"/>
              <w:rPr>
                <w:rFonts w:hint="cs"/>
                <w:szCs w:val="24"/>
                <w:rtl/>
              </w:rPr>
            </w:pPr>
            <w:r>
              <w:rPr>
                <w:rFonts w:hint="cs"/>
                <w:szCs w:val="24"/>
                <w:rtl/>
              </w:rPr>
              <w:t>995 163</w:t>
            </w:r>
          </w:p>
        </w:tc>
        <w:tc>
          <w:tcPr>
            <w:tcW w:w="2520" w:type="dxa"/>
            <w:tcBorders>
              <w:top w:val="nil"/>
              <w:bottom w:val="nil"/>
            </w:tcBorders>
          </w:tcPr>
          <w:p w:rsidR="00443EC1" w:rsidRDefault="00443EC1">
            <w:pPr>
              <w:spacing w:before="0" w:after="0" w:line="280" w:lineRule="exact"/>
              <w:ind w:left="567" w:right="567"/>
              <w:jc w:val="both"/>
              <w:rPr>
                <w:rFonts w:hint="cs"/>
                <w:szCs w:val="24"/>
                <w:rtl/>
              </w:rPr>
            </w:pPr>
            <w:r>
              <w:rPr>
                <w:rFonts w:hint="cs"/>
                <w:szCs w:val="24"/>
                <w:rtl/>
              </w:rPr>
              <w:t>241 166</w:t>
            </w:r>
          </w:p>
        </w:tc>
      </w:tr>
      <w:tr w:rsidR="00443EC1" w:rsidTr="00443EC1">
        <w:tblPrEx>
          <w:tblCellMar>
            <w:top w:w="0" w:type="dxa"/>
            <w:bottom w:w="0" w:type="dxa"/>
          </w:tblCellMar>
        </w:tblPrEx>
        <w:trPr>
          <w:jc w:val="center"/>
        </w:trPr>
        <w:tc>
          <w:tcPr>
            <w:tcW w:w="1818" w:type="dxa"/>
            <w:tcBorders>
              <w:top w:val="nil"/>
            </w:tcBorders>
          </w:tcPr>
          <w:p w:rsidR="00443EC1" w:rsidRDefault="00443EC1">
            <w:pPr>
              <w:spacing w:before="0" w:after="0" w:line="280" w:lineRule="exact"/>
              <w:ind w:left="567" w:right="567"/>
              <w:jc w:val="both"/>
              <w:rPr>
                <w:rFonts w:hint="cs"/>
                <w:szCs w:val="24"/>
                <w:rtl/>
              </w:rPr>
            </w:pPr>
            <w:r>
              <w:rPr>
                <w:rFonts w:hint="cs"/>
                <w:szCs w:val="24"/>
                <w:rtl/>
              </w:rPr>
              <w:t>2002</w:t>
            </w:r>
          </w:p>
        </w:tc>
        <w:tc>
          <w:tcPr>
            <w:tcW w:w="2322" w:type="dxa"/>
            <w:tcBorders>
              <w:top w:val="nil"/>
            </w:tcBorders>
          </w:tcPr>
          <w:p w:rsidR="00443EC1" w:rsidRDefault="00443EC1">
            <w:pPr>
              <w:spacing w:before="0" w:after="0" w:line="280" w:lineRule="exact"/>
              <w:ind w:left="567" w:right="567"/>
              <w:jc w:val="both"/>
              <w:rPr>
                <w:rFonts w:hint="cs"/>
                <w:szCs w:val="24"/>
                <w:rtl/>
              </w:rPr>
            </w:pPr>
            <w:r>
              <w:rPr>
                <w:rFonts w:hint="cs"/>
                <w:szCs w:val="24"/>
                <w:rtl/>
              </w:rPr>
              <w:t>980 162</w:t>
            </w:r>
          </w:p>
        </w:tc>
        <w:tc>
          <w:tcPr>
            <w:tcW w:w="2520" w:type="dxa"/>
            <w:tcBorders>
              <w:top w:val="nil"/>
            </w:tcBorders>
          </w:tcPr>
          <w:p w:rsidR="00443EC1" w:rsidRDefault="00443EC1">
            <w:pPr>
              <w:spacing w:before="0" w:after="0" w:line="280" w:lineRule="exact"/>
              <w:ind w:left="567" w:right="567"/>
              <w:jc w:val="both"/>
              <w:rPr>
                <w:rFonts w:hint="cs"/>
                <w:szCs w:val="24"/>
                <w:rtl/>
              </w:rPr>
            </w:pPr>
            <w:r>
              <w:rPr>
                <w:rFonts w:hint="cs"/>
                <w:szCs w:val="24"/>
                <w:rtl/>
              </w:rPr>
              <w:t>982 169</w:t>
            </w:r>
          </w:p>
        </w:tc>
      </w:tr>
    </w:tbl>
    <w:p w:rsidR="00000000" w:rsidRDefault="00443EC1">
      <w:pPr>
        <w:spacing w:before="0" w:after="0" w:line="320" w:lineRule="exact"/>
        <w:ind w:left="1072" w:right="1622"/>
        <w:jc w:val="both"/>
        <w:rPr>
          <w:rFonts w:hint="cs"/>
          <w:szCs w:val="24"/>
          <w:rtl/>
        </w:rPr>
      </w:pPr>
      <w:r>
        <w:rPr>
          <w:rFonts w:hint="cs"/>
          <w:szCs w:val="24"/>
          <w:rtl/>
        </w:rPr>
        <w:tab/>
        <w:t>*</w:t>
      </w:r>
      <w:r>
        <w:rPr>
          <w:rFonts w:hint="cs"/>
          <w:szCs w:val="24"/>
          <w:rtl/>
        </w:rPr>
        <w:tab/>
        <w:t>أفضت عملية أجريت في آب/أغسطس 2002 إلى تنقيح هام لسلسلة الناتج المحلي الإجمالي. وقد تم أيضاً تحديث سنة الأساس للأسعار الثابتة للناتج المحلي</w:t>
      </w:r>
      <w:r>
        <w:rPr>
          <w:rFonts w:hint="cs"/>
          <w:szCs w:val="24"/>
          <w:rtl/>
        </w:rPr>
        <w:t xml:space="preserve"> الإجمالي من عام 1990 إلى عام 2000.</w:t>
      </w:r>
    </w:p>
    <w:p w:rsidR="00000000" w:rsidRDefault="00443EC1">
      <w:pPr>
        <w:spacing w:before="0" w:after="0" w:line="320" w:lineRule="exact"/>
        <w:ind w:left="1072" w:right="1622"/>
        <w:jc w:val="both"/>
        <w:rPr>
          <w:rFonts w:hint="cs"/>
          <w:szCs w:val="24"/>
          <w:rtl/>
        </w:rPr>
      </w:pPr>
      <w:r>
        <w:rPr>
          <w:rFonts w:hint="cs"/>
          <w:szCs w:val="24"/>
          <w:rtl/>
        </w:rPr>
        <w:tab/>
        <w:t>**</w:t>
      </w:r>
      <w:r>
        <w:rPr>
          <w:rFonts w:hint="cs"/>
          <w:szCs w:val="24"/>
          <w:rtl/>
        </w:rPr>
        <w:tab/>
        <w:t>باستخدام سعر الصرف في السنة ذات الصلة لتحويل الناتج المحلي الإجمالي بأسعار السوق الثابتة (2000) للفترة 1990-2002.</w:t>
      </w:r>
    </w:p>
    <w:p w:rsidR="00000000" w:rsidRDefault="00443EC1">
      <w:pPr>
        <w:jc w:val="both"/>
        <w:rPr>
          <w:rFonts w:hint="cs"/>
          <w:rtl/>
        </w:rPr>
      </w:pPr>
      <w:r>
        <w:rPr>
          <w:rFonts w:hint="cs"/>
          <w:b/>
          <w:bCs/>
          <w:rtl/>
        </w:rPr>
        <w:t>دخل الفرد الواحد</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28"/>
        <w:gridCol w:w="2312"/>
        <w:gridCol w:w="2520"/>
      </w:tblGrid>
      <w:tr w:rsidR="00443EC1" w:rsidTr="00443EC1">
        <w:tblPrEx>
          <w:tblCellMar>
            <w:top w:w="0" w:type="dxa"/>
            <w:bottom w:w="0" w:type="dxa"/>
          </w:tblCellMar>
        </w:tblPrEx>
        <w:trPr>
          <w:cantSplit/>
          <w:trHeight w:val="460"/>
          <w:jc w:val="center"/>
        </w:trPr>
        <w:tc>
          <w:tcPr>
            <w:tcW w:w="6660" w:type="dxa"/>
            <w:gridSpan w:val="3"/>
          </w:tcPr>
          <w:p w:rsidR="00000000" w:rsidRDefault="00443EC1">
            <w:pPr>
              <w:spacing w:before="0" w:after="0" w:line="280" w:lineRule="exact"/>
              <w:jc w:val="center"/>
              <w:rPr>
                <w:rStyle w:val="FootnoteReference"/>
                <w:rFonts w:hint="cs"/>
                <w:b/>
                <w:szCs w:val="24"/>
              </w:rPr>
            </w:pPr>
            <w:r>
              <w:rPr>
                <w:rFonts w:hint="cs"/>
                <w:b/>
                <w:szCs w:val="24"/>
                <w:rtl/>
              </w:rPr>
              <w:t>الناتج الإجمالي المحلي للفرد الواحد في الفترة 1990-2002</w:t>
            </w:r>
          </w:p>
        </w:tc>
      </w:tr>
      <w:tr w:rsidR="00443EC1" w:rsidTr="00443EC1">
        <w:tblPrEx>
          <w:tblCellMar>
            <w:top w:w="0" w:type="dxa"/>
            <w:bottom w:w="0" w:type="dxa"/>
          </w:tblCellMar>
        </w:tblPrEx>
        <w:trPr>
          <w:trHeight w:val="537"/>
          <w:jc w:val="center"/>
        </w:trPr>
        <w:tc>
          <w:tcPr>
            <w:tcW w:w="1828" w:type="dxa"/>
            <w:tcBorders>
              <w:bottom w:val="single" w:sz="4" w:space="0" w:color="auto"/>
            </w:tcBorders>
          </w:tcPr>
          <w:p w:rsidR="00443EC1" w:rsidRDefault="00443EC1">
            <w:pPr>
              <w:spacing w:before="0" w:after="0" w:line="240" w:lineRule="exact"/>
              <w:jc w:val="center"/>
              <w:rPr>
                <w:rStyle w:val="FootnoteReference"/>
                <w:rFonts w:hint="cs"/>
                <w:b/>
                <w:bCs w:val="0"/>
                <w:szCs w:val="24"/>
                <w:vertAlign w:val="baseline"/>
              </w:rPr>
            </w:pPr>
            <w:r>
              <w:rPr>
                <w:rFonts w:hint="cs"/>
                <w:b/>
                <w:szCs w:val="24"/>
                <w:rtl/>
              </w:rPr>
              <w:t>السنة</w:t>
            </w:r>
          </w:p>
        </w:tc>
        <w:tc>
          <w:tcPr>
            <w:tcW w:w="2312" w:type="dxa"/>
            <w:tcBorders>
              <w:bottom w:val="single" w:sz="4" w:space="0" w:color="auto"/>
            </w:tcBorders>
          </w:tcPr>
          <w:p w:rsidR="00443EC1" w:rsidRDefault="00443EC1">
            <w:pPr>
              <w:spacing w:before="0" w:after="0" w:line="240" w:lineRule="exact"/>
              <w:jc w:val="center"/>
              <w:rPr>
                <w:rStyle w:val="FootnoteReference"/>
                <w:rFonts w:hint="cs"/>
                <w:b/>
                <w:bCs w:val="0"/>
                <w:szCs w:val="24"/>
                <w:vertAlign w:val="baseline"/>
              </w:rPr>
            </w:pPr>
            <w:r>
              <w:rPr>
                <w:rFonts w:hint="cs"/>
                <w:b/>
                <w:szCs w:val="24"/>
                <w:rtl/>
              </w:rPr>
              <w:t>بأسعار السوق الجارية</w:t>
            </w:r>
            <w:r>
              <w:rPr>
                <w:b/>
                <w:szCs w:val="24"/>
                <w:rtl/>
              </w:rPr>
              <w:br/>
            </w:r>
            <w:r>
              <w:rPr>
                <w:rFonts w:hint="cs"/>
                <w:b/>
                <w:szCs w:val="24"/>
                <w:rtl/>
              </w:rPr>
              <w:t>(بدولارات الولايات المتحدة)</w:t>
            </w:r>
          </w:p>
        </w:tc>
        <w:tc>
          <w:tcPr>
            <w:tcW w:w="2520" w:type="dxa"/>
            <w:tcBorders>
              <w:bottom w:val="single" w:sz="4" w:space="0" w:color="auto"/>
            </w:tcBorders>
          </w:tcPr>
          <w:p w:rsidR="00443EC1" w:rsidRDefault="00443EC1">
            <w:pPr>
              <w:spacing w:before="0" w:after="0" w:line="240" w:lineRule="exact"/>
              <w:jc w:val="center"/>
              <w:rPr>
                <w:rStyle w:val="FootnoteReference"/>
                <w:rFonts w:hint="cs"/>
                <w:b/>
                <w:bCs w:val="0"/>
                <w:szCs w:val="24"/>
                <w:vertAlign w:val="baseline"/>
              </w:rPr>
            </w:pPr>
            <w:r>
              <w:rPr>
                <w:rFonts w:hint="cs"/>
                <w:b/>
                <w:szCs w:val="24"/>
                <w:rtl/>
              </w:rPr>
              <w:t>بأسعار السوق الثابتة (2000)</w:t>
            </w:r>
            <w:r>
              <w:rPr>
                <w:b/>
                <w:szCs w:val="24"/>
                <w:rtl/>
              </w:rPr>
              <w:br/>
            </w:r>
            <w:r>
              <w:rPr>
                <w:rFonts w:hint="cs"/>
                <w:b/>
                <w:szCs w:val="24"/>
                <w:rtl/>
              </w:rPr>
              <w:t>(بدولارات الولايات المتحدة)</w:t>
            </w:r>
          </w:p>
        </w:tc>
      </w:tr>
      <w:tr w:rsidR="00443EC1" w:rsidTr="00443EC1">
        <w:tblPrEx>
          <w:tblCellMar>
            <w:top w:w="0" w:type="dxa"/>
            <w:bottom w:w="0" w:type="dxa"/>
          </w:tblCellMar>
        </w:tblPrEx>
        <w:trPr>
          <w:jc w:val="center"/>
        </w:trPr>
        <w:tc>
          <w:tcPr>
            <w:tcW w:w="1828" w:type="dxa"/>
            <w:tcBorders>
              <w:bottom w:val="nil"/>
            </w:tcBorders>
          </w:tcPr>
          <w:p w:rsidR="00443EC1" w:rsidRDefault="00443EC1">
            <w:pPr>
              <w:spacing w:before="0" w:after="0" w:line="260" w:lineRule="exact"/>
              <w:jc w:val="center"/>
              <w:rPr>
                <w:rFonts w:hint="cs"/>
                <w:b/>
                <w:szCs w:val="24"/>
                <w:rtl/>
              </w:rPr>
            </w:pPr>
            <w:r>
              <w:rPr>
                <w:rFonts w:hint="cs"/>
                <w:b/>
                <w:szCs w:val="24"/>
                <w:rtl/>
              </w:rPr>
              <w:t>1990</w:t>
            </w:r>
          </w:p>
        </w:tc>
        <w:tc>
          <w:tcPr>
            <w:tcW w:w="2312" w:type="dxa"/>
            <w:tcBorders>
              <w:bottom w:val="nil"/>
            </w:tcBorders>
          </w:tcPr>
          <w:p w:rsidR="00443EC1" w:rsidRDefault="00443EC1">
            <w:pPr>
              <w:spacing w:before="0" w:after="0" w:line="260" w:lineRule="exact"/>
              <w:jc w:val="center"/>
              <w:rPr>
                <w:rFonts w:hint="cs"/>
                <w:b/>
                <w:szCs w:val="24"/>
                <w:rtl/>
              </w:rPr>
            </w:pPr>
            <w:r>
              <w:rPr>
                <w:rFonts w:hint="cs"/>
                <w:b/>
                <w:szCs w:val="24"/>
                <w:rtl/>
              </w:rPr>
              <w:t>225 13</w:t>
            </w:r>
          </w:p>
        </w:tc>
        <w:tc>
          <w:tcPr>
            <w:tcW w:w="2520" w:type="dxa"/>
            <w:tcBorders>
              <w:bottom w:val="nil"/>
            </w:tcBorders>
          </w:tcPr>
          <w:p w:rsidR="00443EC1" w:rsidRDefault="00443EC1">
            <w:pPr>
              <w:spacing w:before="0" w:after="0" w:line="260" w:lineRule="exact"/>
              <w:jc w:val="center"/>
              <w:rPr>
                <w:rFonts w:hint="cs"/>
                <w:b/>
                <w:szCs w:val="24"/>
                <w:rtl/>
              </w:rPr>
            </w:pPr>
            <w:r>
              <w:rPr>
                <w:rFonts w:hint="cs"/>
                <w:b/>
                <w:szCs w:val="24"/>
                <w:rtl/>
              </w:rPr>
              <w:t>623 18</w:t>
            </w:r>
          </w:p>
        </w:tc>
      </w:tr>
      <w:tr w:rsidR="00443EC1" w:rsidTr="00443EC1">
        <w:tblPrEx>
          <w:tblCellMar>
            <w:top w:w="0" w:type="dxa"/>
            <w:bottom w:w="0" w:type="dxa"/>
          </w:tblCellMar>
        </w:tblPrEx>
        <w:trPr>
          <w:jc w:val="center"/>
        </w:trPr>
        <w:tc>
          <w:tcPr>
            <w:tcW w:w="1828" w:type="dxa"/>
            <w:tcBorders>
              <w:top w:val="nil"/>
              <w:bottom w:val="nil"/>
            </w:tcBorders>
          </w:tcPr>
          <w:p w:rsidR="00443EC1" w:rsidRDefault="00443EC1">
            <w:pPr>
              <w:spacing w:before="0" w:after="0" w:line="260" w:lineRule="exact"/>
              <w:jc w:val="center"/>
              <w:rPr>
                <w:rFonts w:hint="cs"/>
                <w:b/>
                <w:szCs w:val="24"/>
                <w:rtl/>
              </w:rPr>
            </w:pPr>
            <w:r>
              <w:rPr>
                <w:rFonts w:hint="cs"/>
                <w:b/>
                <w:szCs w:val="24"/>
                <w:rtl/>
              </w:rPr>
              <w:t>1991</w:t>
            </w:r>
          </w:p>
        </w:tc>
        <w:tc>
          <w:tcPr>
            <w:tcW w:w="2312" w:type="dxa"/>
            <w:tcBorders>
              <w:top w:val="nil"/>
              <w:bottom w:val="nil"/>
            </w:tcBorders>
          </w:tcPr>
          <w:p w:rsidR="00443EC1" w:rsidRDefault="00443EC1">
            <w:pPr>
              <w:spacing w:before="0" w:after="0" w:line="260" w:lineRule="exact"/>
              <w:jc w:val="center"/>
              <w:rPr>
                <w:rFonts w:hint="cs"/>
                <w:b/>
                <w:szCs w:val="24"/>
                <w:rtl/>
              </w:rPr>
            </w:pPr>
            <w:r>
              <w:rPr>
                <w:rFonts w:hint="cs"/>
                <w:b/>
                <w:szCs w:val="24"/>
                <w:rtl/>
              </w:rPr>
              <w:t>151 15</w:t>
            </w:r>
          </w:p>
        </w:tc>
        <w:tc>
          <w:tcPr>
            <w:tcW w:w="2520" w:type="dxa"/>
            <w:tcBorders>
              <w:top w:val="nil"/>
              <w:bottom w:val="nil"/>
            </w:tcBorders>
          </w:tcPr>
          <w:p w:rsidR="00443EC1" w:rsidRDefault="00443EC1">
            <w:pPr>
              <w:spacing w:before="0" w:after="0" w:line="260" w:lineRule="exact"/>
              <w:jc w:val="center"/>
              <w:rPr>
                <w:rFonts w:hint="cs"/>
                <w:b/>
                <w:szCs w:val="24"/>
                <w:rtl/>
              </w:rPr>
            </w:pPr>
            <w:r>
              <w:rPr>
                <w:rFonts w:hint="cs"/>
                <w:b/>
                <w:szCs w:val="24"/>
                <w:rtl/>
              </w:rPr>
              <w:t>556 19</w:t>
            </w:r>
          </w:p>
        </w:tc>
      </w:tr>
      <w:tr w:rsidR="00443EC1" w:rsidTr="00443EC1">
        <w:tblPrEx>
          <w:tblCellMar>
            <w:top w:w="0" w:type="dxa"/>
            <w:bottom w:w="0" w:type="dxa"/>
          </w:tblCellMar>
        </w:tblPrEx>
        <w:trPr>
          <w:jc w:val="center"/>
        </w:trPr>
        <w:tc>
          <w:tcPr>
            <w:tcW w:w="1828" w:type="dxa"/>
            <w:tcBorders>
              <w:top w:val="nil"/>
              <w:bottom w:val="nil"/>
            </w:tcBorders>
          </w:tcPr>
          <w:p w:rsidR="00443EC1" w:rsidRDefault="00443EC1">
            <w:pPr>
              <w:spacing w:before="0" w:after="0" w:line="260" w:lineRule="exact"/>
              <w:jc w:val="center"/>
              <w:rPr>
                <w:rFonts w:hint="cs"/>
                <w:b/>
                <w:szCs w:val="24"/>
                <w:rtl/>
              </w:rPr>
            </w:pPr>
            <w:r>
              <w:rPr>
                <w:rFonts w:hint="cs"/>
                <w:b/>
                <w:szCs w:val="24"/>
                <w:rtl/>
              </w:rPr>
              <w:t>1992</w:t>
            </w:r>
          </w:p>
        </w:tc>
        <w:tc>
          <w:tcPr>
            <w:tcW w:w="2312" w:type="dxa"/>
            <w:tcBorders>
              <w:top w:val="nil"/>
              <w:bottom w:val="nil"/>
            </w:tcBorders>
          </w:tcPr>
          <w:p w:rsidR="00443EC1" w:rsidRDefault="00443EC1">
            <w:pPr>
              <w:spacing w:before="0" w:after="0" w:line="260" w:lineRule="exact"/>
              <w:jc w:val="center"/>
              <w:rPr>
                <w:rFonts w:hint="cs"/>
                <w:b/>
                <w:szCs w:val="24"/>
                <w:rtl/>
              </w:rPr>
            </w:pPr>
            <w:r>
              <w:rPr>
                <w:rFonts w:hint="cs"/>
                <w:b/>
                <w:szCs w:val="24"/>
                <w:rtl/>
              </w:rPr>
              <w:t>623 17</w:t>
            </w:r>
          </w:p>
        </w:tc>
        <w:tc>
          <w:tcPr>
            <w:tcW w:w="2520" w:type="dxa"/>
            <w:tcBorders>
              <w:top w:val="nil"/>
              <w:bottom w:val="nil"/>
            </w:tcBorders>
          </w:tcPr>
          <w:p w:rsidR="00443EC1" w:rsidRDefault="00443EC1">
            <w:pPr>
              <w:spacing w:before="0" w:after="0" w:line="260" w:lineRule="exact"/>
              <w:jc w:val="center"/>
              <w:rPr>
                <w:rFonts w:hint="cs"/>
                <w:b/>
                <w:szCs w:val="24"/>
                <w:rtl/>
              </w:rPr>
            </w:pPr>
            <w:r>
              <w:rPr>
                <w:rFonts w:hint="cs"/>
                <w:b/>
                <w:szCs w:val="24"/>
                <w:rtl/>
              </w:rPr>
              <w:t>750 20</w:t>
            </w:r>
          </w:p>
        </w:tc>
      </w:tr>
      <w:tr w:rsidR="00443EC1" w:rsidTr="00443EC1">
        <w:tblPrEx>
          <w:tblCellMar>
            <w:top w:w="0" w:type="dxa"/>
            <w:bottom w:w="0" w:type="dxa"/>
          </w:tblCellMar>
        </w:tblPrEx>
        <w:trPr>
          <w:jc w:val="center"/>
        </w:trPr>
        <w:tc>
          <w:tcPr>
            <w:tcW w:w="1828" w:type="dxa"/>
            <w:tcBorders>
              <w:top w:val="nil"/>
              <w:bottom w:val="nil"/>
            </w:tcBorders>
          </w:tcPr>
          <w:p w:rsidR="00443EC1" w:rsidRDefault="00443EC1">
            <w:pPr>
              <w:spacing w:before="0" w:after="0" w:line="260" w:lineRule="exact"/>
              <w:jc w:val="center"/>
              <w:rPr>
                <w:rFonts w:hint="cs"/>
                <w:b/>
                <w:szCs w:val="24"/>
                <w:rtl/>
              </w:rPr>
            </w:pPr>
            <w:r>
              <w:rPr>
                <w:rFonts w:hint="cs"/>
                <w:b/>
                <w:szCs w:val="24"/>
                <w:rtl/>
              </w:rPr>
              <w:t>1993</w:t>
            </w:r>
          </w:p>
        </w:tc>
        <w:tc>
          <w:tcPr>
            <w:tcW w:w="2312" w:type="dxa"/>
            <w:tcBorders>
              <w:top w:val="nil"/>
              <w:bottom w:val="nil"/>
            </w:tcBorders>
          </w:tcPr>
          <w:p w:rsidR="00443EC1" w:rsidRDefault="00443EC1">
            <w:pPr>
              <w:spacing w:before="0" w:after="0" w:line="260" w:lineRule="exact"/>
              <w:jc w:val="center"/>
              <w:rPr>
                <w:rFonts w:hint="cs"/>
                <w:b/>
                <w:szCs w:val="24"/>
                <w:rtl/>
              </w:rPr>
            </w:pPr>
            <w:r>
              <w:rPr>
                <w:rFonts w:hint="cs"/>
                <w:b/>
                <w:szCs w:val="24"/>
                <w:rtl/>
              </w:rPr>
              <w:t>996 19</w:t>
            </w:r>
          </w:p>
        </w:tc>
        <w:tc>
          <w:tcPr>
            <w:tcW w:w="2520" w:type="dxa"/>
            <w:tcBorders>
              <w:top w:val="nil"/>
              <w:bottom w:val="nil"/>
            </w:tcBorders>
          </w:tcPr>
          <w:p w:rsidR="00443EC1" w:rsidRDefault="00443EC1">
            <w:pPr>
              <w:spacing w:before="0" w:after="0" w:line="260" w:lineRule="exact"/>
              <w:jc w:val="center"/>
              <w:rPr>
                <w:rFonts w:hint="cs"/>
                <w:b/>
                <w:szCs w:val="24"/>
                <w:rtl/>
              </w:rPr>
            </w:pPr>
            <w:r>
              <w:rPr>
                <w:rFonts w:hint="cs"/>
                <w:b/>
                <w:szCs w:val="24"/>
                <w:rtl/>
              </w:rPr>
              <w:t>705 21</w:t>
            </w:r>
          </w:p>
        </w:tc>
      </w:tr>
      <w:tr w:rsidR="00443EC1" w:rsidTr="00443EC1">
        <w:tblPrEx>
          <w:tblCellMar>
            <w:top w:w="0" w:type="dxa"/>
            <w:bottom w:w="0" w:type="dxa"/>
          </w:tblCellMar>
        </w:tblPrEx>
        <w:trPr>
          <w:jc w:val="center"/>
        </w:trPr>
        <w:tc>
          <w:tcPr>
            <w:tcW w:w="1828" w:type="dxa"/>
            <w:tcBorders>
              <w:top w:val="nil"/>
              <w:bottom w:val="nil"/>
            </w:tcBorders>
          </w:tcPr>
          <w:p w:rsidR="00443EC1" w:rsidRDefault="00443EC1">
            <w:pPr>
              <w:spacing w:before="0" w:after="0" w:line="260" w:lineRule="exact"/>
              <w:jc w:val="center"/>
              <w:rPr>
                <w:rFonts w:hint="cs"/>
                <w:b/>
                <w:szCs w:val="24"/>
                <w:rtl/>
              </w:rPr>
            </w:pPr>
            <w:r>
              <w:rPr>
                <w:rFonts w:hint="cs"/>
                <w:b/>
                <w:szCs w:val="24"/>
                <w:rtl/>
              </w:rPr>
              <w:t>1994</w:t>
            </w:r>
          </w:p>
        </w:tc>
        <w:tc>
          <w:tcPr>
            <w:tcW w:w="2312" w:type="dxa"/>
            <w:tcBorders>
              <w:top w:val="nil"/>
              <w:bottom w:val="nil"/>
            </w:tcBorders>
          </w:tcPr>
          <w:p w:rsidR="00443EC1" w:rsidRDefault="00443EC1">
            <w:pPr>
              <w:spacing w:before="0" w:after="0" w:line="260" w:lineRule="exact"/>
              <w:jc w:val="center"/>
              <w:rPr>
                <w:rFonts w:hint="cs"/>
                <w:b/>
                <w:szCs w:val="24"/>
                <w:rtl/>
              </w:rPr>
            </w:pPr>
            <w:r>
              <w:rPr>
                <w:rFonts w:hint="cs"/>
                <w:b/>
                <w:szCs w:val="24"/>
                <w:rtl/>
              </w:rPr>
              <w:t>078 22</w:t>
            </w:r>
          </w:p>
        </w:tc>
        <w:tc>
          <w:tcPr>
            <w:tcW w:w="2520" w:type="dxa"/>
            <w:tcBorders>
              <w:top w:val="nil"/>
              <w:bottom w:val="nil"/>
            </w:tcBorders>
          </w:tcPr>
          <w:p w:rsidR="00443EC1" w:rsidRDefault="00443EC1">
            <w:pPr>
              <w:spacing w:before="0" w:after="0" w:line="260" w:lineRule="exact"/>
              <w:jc w:val="center"/>
              <w:rPr>
                <w:rFonts w:hint="cs"/>
                <w:b/>
                <w:szCs w:val="24"/>
                <w:rtl/>
              </w:rPr>
            </w:pPr>
            <w:r>
              <w:rPr>
                <w:rFonts w:hint="cs"/>
                <w:b/>
                <w:szCs w:val="24"/>
                <w:rtl/>
              </w:rPr>
              <w:t>408 22</w:t>
            </w:r>
          </w:p>
        </w:tc>
      </w:tr>
      <w:tr w:rsidR="00443EC1" w:rsidTr="00443EC1">
        <w:tblPrEx>
          <w:tblCellMar>
            <w:top w:w="0" w:type="dxa"/>
            <w:bottom w:w="0" w:type="dxa"/>
          </w:tblCellMar>
        </w:tblPrEx>
        <w:trPr>
          <w:jc w:val="center"/>
        </w:trPr>
        <w:tc>
          <w:tcPr>
            <w:tcW w:w="1828" w:type="dxa"/>
            <w:tcBorders>
              <w:top w:val="nil"/>
              <w:bottom w:val="nil"/>
            </w:tcBorders>
          </w:tcPr>
          <w:p w:rsidR="00443EC1" w:rsidRDefault="00443EC1">
            <w:pPr>
              <w:spacing w:before="0" w:after="0" w:line="260" w:lineRule="exact"/>
              <w:jc w:val="center"/>
              <w:rPr>
                <w:rFonts w:hint="cs"/>
                <w:b/>
                <w:szCs w:val="24"/>
                <w:rtl/>
              </w:rPr>
            </w:pPr>
            <w:r>
              <w:rPr>
                <w:rFonts w:hint="cs"/>
                <w:b/>
                <w:szCs w:val="24"/>
                <w:rtl/>
              </w:rPr>
              <w:t>1995</w:t>
            </w:r>
          </w:p>
        </w:tc>
        <w:tc>
          <w:tcPr>
            <w:tcW w:w="2312" w:type="dxa"/>
            <w:tcBorders>
              <w:top w:val="nil"/>
              <w:bottom w:val="nil"/>
            </w:tcBorders>
          </w:tcPr>
          <w:p w:rsidR="00443EC1" w:rsidRDefault="00443EC1">
            <w:pPr>
              <w:spacing w:before="0" w:after="0" w:line="260" w:lineRule="exact"/>
              <w:jc w:val="center"/>
              <w:rPr>
                <w:rFonts w:hint="cs"/>
                <w:b/>
                <w:szCs w:val="24"/>
                <w:rtl/>
              </w:rPr>
            </w:pPr>
            <w:r>
              <w:rPr>
                <w:rFonts w:hint="cs"/>
                <w:b/>
                <w:szCs w:val="24"/>
                <w:rtl/>
              </w:rPr>
              <w:t>019 23</w:t>
            </w:r>
          </w:p>
        </w:tc>
        <w:tc>
          <w:tcPr>
            <w:tcW w:w="2520" w:type="dxa"/>
            <w:tcBorders>
              <w:top w:val="nil"/>
              <w:bottom w:val="nil"/>
            </w:tcBorders>
          </w:tcPr>
          <w:p w:rsidR="00443EC1" w:rsidRDefault="00443EC1">
            <w:pPr>
              <w:spacing w:before="0" w:after="0" w:line="260" w:lineRule="exact"/>
              <w:jc w:val="center"/>
              <w:rPr>
                <w:rFonts w:hint="cs"/>
                <w:b/>
                <w:szCs w:val="24"/>
                <w:rtl/>
              </w:rPr>
            </w:pPr>
            <w:r>
              <w:rPr>
                <w:rFonts w:hint="cs"/>
                <w:b/>
                <w:szCs w:val="24"/>
                <w:rtl/>
              </w:rPr>
              <w:t>799 22</w:t>
            </w:r>
          </w:p>
        </w:tc>
      </w:tr>
      <w:tr w:rsidR="00443EC1" w:rsidTr="00443EC1">
        <w:tblPrEx>
          <w:tblCellMar>
            <w:top w:w="0" w:type="dxa"/>
            <w:bottom w:w="0" w:type="dxa"/>
          </w:tblCellMar>
        </w:tblPrEx>
        <w:trPr>
          <w:jc w:val="center"/>
        </w:trPr>
        <w:tc>
          <w:tcPr>
            <w:tcW w:w="1828" w:type="dxa"/>
            <w:tcBorders>
              <w:top w:val="nil"/>
              <w:bottom w:val="nil"/>
            </w:tcBorders>
          </w:tcPr>
          <w:p w:rsidR="00443EC1" w:rsidRDefault="00443EC1">
            <w:pPr>
              <w:spacing w:before="0" w:after="0" w:line="260" w:lineRule="exact"/>
              <w:jc w:val="center"/>
              <w:rPr>
                <w:rFonts w:hint="cs"/>
                <w:b/>
                <w:szCs w:val="24"/>
                <w:rtl/>
              </w:rPr>
            </w:pPr>
            <w:r>
              <w:rPr>
                <w:rFonts w:hint="cs"/>
                <w:b/>
                <w:szCs w:val="24"/>
                <w:rtl/>
              </w:rPr>
              <w:t>1996</w:t>
            </w:r>
          </w:p>
        </w:tc>
        <w:tc>
          <w:tcPr>
            <w:tcW w:w="2312" w:type="dxa"/>
            <w:tcBorders>
              <w:top w:val="nil"/>
              <w:bottom w:val="nil"/>
            </w:tcBorders>
          </w:tcPr>
          <w:p w:rsidR="00443EC1" w:rsidRDefault="00443EC1">
            <w:pPr>
              <w:spacing w:before="0" w:after="0" w:line="260" w:lineRule="exact"/>
              <w:jc w:val="center"/>
              <w:rPr>
                <w:rFonts w:hint="cs"/>
                <w:b/>
                <w:szCs w:val="24"/>
                <w:rtl/>
              </w:rPr>
            </w:pPr>
            <w:r>
              <w:rPr>
                <w:rFonts w:hint="cs"/>
                <w:b/>
                <w:szCs w:val="24"/>
                <w:rtl/>
              </w:rPr>
              <w:t>329 24</w:t>
            </w:r>
          </w:p>
        </w:tc>
        <w:tc>
          <w:tcPr>
            <w:tcW w:w="2520" w:type="dxa"/>
            <w:tcBorders>
              <w:top w:val="nil"/>
              <w:bottom w:val="nil"/>
            </w:tcBorders>
          </w:tcPr>
          <w:p w:rsidR="00443EC1" w:rsidRDefault="00443EC1">
            <w:pPr>
              <w:spacing w:before="0" w:after="0" w:line="260" w:lineRule="exact"/>
              <w:jc w:val="center"/>
              <w:rPr>
                <w:rFonts w:hint="cs"/>
                <w:b/>
                <w:szCs w:val="24"/>
                <w:rtl/>
              </w:rPr>
            </w:pPr>
            <w:r>
              <w:rPr>
                <w:rFonts w:hint="cs"/>
                <w:b/>
                <w:szCs w:val="24"/>
                <w:rtl/>
              </w:rPr>
              <w:t>754 22</w:t>
            </w:r>
          </w:p>
        </w:tc>
      </w:tr>
      <w:tr w:rsidR="00443EC1" w:rsidTr="00443EC1">
        <w:tblPrEx>
          <w:tblCellMar>
            <w:top w:w="0" w:type="dxa"/>
            <w:bottom w:w="0" w:type="dxa"/>
          </w:tblCellMar>
        </w:tblPrEx>
        <w:trPr>
          <w:jc w:val="center"/>
        </w:trPr>
        <w:tc>
          <w:tcPr>
            <w:tcW w:w="1828" w:type="dxa"/>
            <w:tcBorders>
              <w:top w:val="nil"/>
              <w:bottom w:val="nil"/>
            </w:tcBorders>
          </w:tcPr>
          <w:p w:rsidR="00443EC1" w:rsidRDefault="00443EC1">
            <w:pPr>
              <w:spacing w:before="0" w:after="0" w:line="260" w:lineRule="exact"/>
              <w:jc w:val="center"/>
              <w:rPr>
                <w:rFonts w:hint="cs"/>
                <w:b/>
                <w:szCs w:val="24"/>
                <w:rtl/>
              </w:rPr>
            </w:pPr>
            <w:r>
              <w:rPr>
                <w:rFonts w:hint="cs"/>
                <w:b/>
                <w:szCs w:val="24"/>
                <w:rtl/>
              </w:rPr>
              <w:t>1997</w:t>
            </w:r>
          </w:p>
        </w:tc>
        <w:tc>
          <w:tcPr>
            <w:tcW w:w="2312" w:type="dxa"/>
            <w:tcBorders>
              <w:top w:val="nil"/>
              <w:bottom w:val="nil"/>
            </w:tcBorders>
          </w:tcPr>
          <w:p w:rsidR="00443EC1" w:rsidRDefault="00443EC1">
            <w:pPr>
              <w:spacing w:before="0" w:after="0" w:line="260" w:lineRule="exact"/>
              <w:jc w:val="center"/>
              <w:rPr>
                <w:rFonts w:hint="cs"/>
                <w:b/>
                <w:szCs w:val="24"/>
                <w:rtl/>
              </w:rPr>
            </w:pPr>
            <w:r>
              <w:rPr>
                <w:rFonts w:hint="cs"/>
                <w:b/>
                <w:szCs w:val="24"/>
                <w:rtl/>
              </w:rPr>
              <w:t>762 26</w:t>
            </w:r>
          </w:p>
        </w:tc>
        <w:tc>
          <w:tcPr>
            <w:tcW w:w="2520" w:type="dxa"/>
            <w:tcBorders>
              <w:top w:val="nil"/>
              <w:bottom w:val="nil"/>
            </w:tcBorders>
          </w:tcPr>
          <w:p w:rsidR="00443EC1" w:rsidRDefault="00443EC1">
            <w:pPr>
              <w:spacing w:before="0" w:after="0" w:line="260" w:lineRule="exact"/>
              <w:jc w:val="center"/>
              <w:rPr>
                <w:rFonts w:hint="cs"/>
                <w:b/>
                <w:szCs w:val="24"/>
                <w:rtl/>
              </w:rPr>
            </w:pPr>
            <w:r>
              <w:rPr>
                <w:rFonts w:hint="cs"/>
                <w:b/>
                <w:szCs w:val="24"/>
                <w:rtl/>
              </w:rPr>
              <w:t>686 23</w:t>
            </w:r>
          </w:p>
        </w:tc>
      </w:tr>
      <w:tr w:rsidR="00443EC1" w:rsidTr="00443EC1">
        <w:tblPrEx>
          <w:tblCellMar>
            <w:top w:w="0" w:type="dxa"/>
            <w:bottom w:w="0" w:type="dxa"/>
          </w:tblCellMar>
        </w:tblPrEx>
        <w:trPr>
          <w:jc w:val="center"/>
        </w:trPr>
        <w:tc>
          <w:tcPr>
            <w:tcW w:w="1828" w:type="dxa"/>
            <w:tcBorders>
              <w:top w:val="nil"/>
              <w:bottom w:val="nil"/>
            </w:tcBorders>
          </w:tcPr>
          <w:p w:rsidR="00443EC1" w:rsidRDefault="00443EC1">
            <w:pPr>
              <w:spacing w:before="0" w:after="0" w:line="260" w:lineRule="exact"/>
              <w:jc w:val="center"/>
              <w:rPr>
                <w:rFonts w:hint="cs"/>
                <w:b/>
                <w:szCs w:val="24"/>
                <w:rtl/>
              </w:rPr>
            </w:pPr>
            <w:r>
              <w:rPr>
                <w:rFonts w:hint="cs"/>
                <w:b/>
                <w:szCs w:val="24"/>
                <w:rtl/>
              </w:rPr>
              <w:t>1998</w:t>
            </w:r>
          </w:p>
        </w:tc>
        <w:tc>
          <w:tcPr>
            <w:tcW w:w="2312" w:type="dxa"/>
            <w:tcBorders>
              <w:top w:val="nil"/>
              <w:bottom w:val="nil"/>
            </w:tcBorders>
          </w:tcPr>
          <w:p w:rsidR="00443EC1" w:rsidRDefault="00443EC1">
            <w:pPr>
              <w:spacing w:before="0" w:after="0" w:line="260" w:lineRule="exact"/>
              <w:jc w:val="center"/>
              <w:rPr>
                <w:rFonts w:hint="cs"/>
                <w:b/>
                <w:szCs w:val="24"/>
                <w:rtl/>
              </w:rPr>
            </w:pPr>
            <w:r>
              <w:rPr>
                <w:rFonts w:hint="cs"/>
                <w:b/>
                <w:szCs w:val="24"/>
                <w:rtl/>
              </w:rPr>
              <w:t>253 25</w:t>
            </w:r>
          </w:p>
        </w:tc>
        <w:tc>
          <w:tcPr>
            <w:tcW w:w="2520" w:type="dxa"/>
            <w:tcBorders>
              <w:top w:val="nil"/>
              <w:bottom w:val="nil"/>
            </w:tcBorders>
          </w:tcPr>
          <w:p w:rsidR="00443EC1" w:rsidRDefault="00443EC1">
            <w:pPr>
              <w:spacing w:before="0" w:after="0" w:line="260" w:lineRule="exact"/>
              <w:jc w:val="center"/>
              <w:rPr>
                <w:rFonts w:hint="cs"/>
                <w:b/>
                <w:szCs w:val="24"/>
                <w:rtl/>
              </w:rPr>
            </w:pPr>
            <w:r>
              <w:rPr>
                <w:rFonts w:hint="cs"/>
                <w:b/>
                <w:szCs w:val="24"/>
                <w:rtl/>
              </w:rPr>
              <w:t>313 22</w:t>
            </w:r>
          </w:p>
        </w:tc>
      </w:tr>
      <w:tr w:rsidR="00443EC1" w:rsidTr="00443EC1">
        <w:tblPrEx>
          <w:tblCellMar>
            <w:top w:w="0" w:type="dxa"/>
            <w:bottom w:w="0" w:type="dxa"/>
          </w:tblCellMar>
        </w:tblPrEx>
        <w:trPr>
          <w:jc w:val="center"/>
        </w:trPr>
        <w:tc>
          <w:tcPr>
            <w:tcW w:w="1828" w:type="dxa"/>
            <w:tcBorders>
              <w:top w:val="nil"/>
              <w:bottom w:val="nil"/>
            </w:tcBorders>
          </w:tcPr>
          <w:p w:rsidR="00443EC1" w:rsidRDefault="00443EC1">
            <w:pPr>
              <w:spacing w:before="0" w:after="0" w:line="260" w:lineRule="exact"/>
              <w:jc w:val="center"/>
              <w:rPr>
                <w:rFonts w:hint="cs"/>
                <w:b/>
                <w:szCs w:val="24"/>
                <w:rtl/>
              </w:rPr>
            </w:pPr>
            <w:r>
              <w:rPr>
                <w:rFonts w:hint="cs"/>
                <w:b/>
                <w:szCs w:val="24"/>
                <w:rtl/>
              </w:rPr>
              <w:t>1999</w:t>
            </w:r>
          </w:p>
        </w:tc>
        <w:tc>
          <w:tcPr>
            <w:tcW w:w="2312" w:type="dxa"/>
            <w:tcBorders>
              <w:top w:val="nil"/>
              <w:bottom w:val="nil"/>
            </w:tcBorders>
          </w:tcPr>
          <w:p w:rsidR="00443EC1" w:rsidRDefault="00443EC1">
            <w:pPr>
              <w:spacing w:before="0" w:after="0" w:line="260" w:lineRule="exact"/>
              <w:jc w:val="center"/>
              <w:rPr>
                <w:rFonts w:hint="cs"/>
                <w:b/>
                <w:szCs w:val="24"/>
                <w:rtl/>
              </w:rPr>
            </w:pPr>
            <w:r>
              <w:rPr>
                <w:rFonts w:hint="cs"/>
                <w:b/>
                <w:szCs w:val="24"/>
                <w:rtl/>
              </w:rPr>
              <w:t>313 24</w:t>
            </w:r>
          </w:p>
        </w:tc>
        <w:tc>
          <w:tcPr>
            <w:tcW w:w="2520" w:type="dxa"/>
            <w:tcBorders>
              <w:top w:val="nil"/>
              <w:bottom w:val="nil"/>
            </w:tcBorders>
          </w:tcPr>
          <w:p w:rsidR="00443EC1" w:rsidRDefault="00443EC1">
            <w:pPr>
              <w:spacing w:before="0" w:after="0" w:line="260" w:lineRule="exact"/>
              <w:jc w:val="center"/>
              <w:rPr>
                <w:rFonts w:hint="cs"/>
                <w:b/>
                <w:szCs w:val="24"/>
                <w:rtl/>
              </w:rPr>
            </w:pPr>
            <w:r>
              <w:rPr>
                <w:rFonts w:hint="cs"/>
                <w:b/>
                <w:szCs w:val="24"/>
                <w:rtl/>
              </w:rPr>
              <w:t>818 22</w:t>
            </w:r>
          </w:p>
        </w:tc>
      </w:tr>
      <w:tr w:rsidR="00443EC1" w:rsidTr="00443EC1">
        <w:tblPrEx>
          <w:tblCellMar>
            <w:top w:w="0" w:type="dxa"/>
            <w:bottom w:w="0" w:type="dxa"/>
          </w:tblCellMar>
        </w:tblPrEx>
        <w:trPr>
          <w:jc w:val="center"/>
        </w:trPr>
        <w:tc>
          <w:tcPr>
            <w:tcW w:w="1828" w:type="dxa"/>
            <w:tcBorders>
              <w:top w:val="nil"/>
              <w:bottom w:val="nil"/>
            </w:tcBorders>
          </w:tcPr>
          <w:p w:rsidR="00443EC1" w:rsidRDefault="00443EC1">
            <w:pPr>
              <w:spacing w:before="0" w:after="0" w:line="260" w:lineRule="exact"/>
              <w:jc w:val="center"/>
              <w:rPr>
                <w:rFonts w:hint="cs"/>
                <w:b/>
                <w:szCs w:val="24"/>
                <w:rtl/>
              </w:rPr>
            </w:pPr>
            <w:r>
              <w:rPr>
                <w:rFonts w:hint="cs"/>
                <w:b/>
                <w:szCs w:val="24"/>
                <w:rtl/>
              </w:rPr>
              <w:t>2000</w:t>
            </w:r>
          </w:p>
        </w:tc>
        <w:tc>
          <w:tcPr>
            <w:tcW w:w="2312" w:type="dxa"/>
            <w:tcBorders>
              <w:top w:val="nil"/>
              <w:bottom w:val="nil"/>
            </w:tcBorders>
          </w:tcPr>
          <w:p w:rsidR="00443EC1" w:rsidRDefault="00443EC1">
            <w:pPr>
              <w:spacing w:before="0" w:after="0" w:line="260" w:lineRule="exact"/>
              <w:jc w:val="center"/>
              <w:rPr>
                <w:rFonts w:hint="cs"/>
                <w:b/>
                <w:szCs w:val="24"/>
                <w:rtl/>
              </w:rPr>
            </w:pPr>
            <w:r>
              <w:rPr>
                <w:rFonts w:hint="cs"/>
                <w:b/>
                <w:szCs w:val="24"/>
                <w:rtl/>
              </w:rPr>
              <w:t>811 24</w:t>
            </w:r>
          </w:p>
        </w:tc>
        <w:tc>
          <w:tcPr>
            <w:tcW w:w="2520" w:type="dxa"/>
            <w:tcBorders>
              <w:top w:val="nil"/>
              <w:bottom w:val="nil"/>
            </w:tcBorders>
          </w:tcPr>
          <w:p w:rsidR="00443EC1" w:rsidRDefault="00443EC1">
            <w:pPr>
              <w:spacing w:before="0" w:after="0" w:line="260" w:lineRule="exact"/>
              <w:jc w:val="center"/>
              <w:rPr>
                <w:rFonts w:hint="cs"/>
                <w:b/>
                <w:szCs w:val="24"/>
                <w:rtl/>
              </w:rPr>
            </w:pPr>
            <w:r>
              <w:rPr>
                <w:rFonts w:hint="cs"/>
                <w:b/>
                <w:szCs w:val="24"/>
                <w:rtl/>
              </w:rPr>
              <w:t>811 24</w:t>
            </w:r>
          </w:p>
        </w:tc>
      </w:tr>
      <w:tr w:rsidR="00443EC1" w:rsidTr="00443EC1">
        <w:tblPrEx>
          <w:tblCellMar>
            <w:top w:w="0" w:type="dxa"/>
            <w:bottom w:w="0" w:type="dxa"/>
          </w:tblCellMar>
        </w:tblPrEx>
        <w:trPr>
          <w:jc w:val="center"/>
        </w:trPr>
        <w:tc>
          <w:tcPr>
            <w:tcW w:w="1828" w:type="dxa"/>
            <w:tcBorders>
              <w:top w:val="nil"/>
              <w:bottom w:val="nil"/>
            </w:tcBorders>
          </w:tcPr>
          <w:p w:rsidR="00443EC1" w:rsidRDefault="00443EC1">
            <w:pPr>
              <w:spacing w:before="0" w:after="0" w:line="260" w:lineRule="exact"/>
              <w:jc w:val="center"/>
              <w:rPr>
                <w:rFonts w:hint="cs"/>
                <w:b/>
                <w:szCs w:val="24"/>
                <w:rtl/>
              </w:rPr>
            </w:pPr>
            <w:r>
              <w:rPr>
                <w:rFonts w:hint="cs"/>
                <w:b/>
                <w:szCs w:val="24"/>
                <w:rtl/>
              </w:rPr>
              <w:t>2001</w:t>
            </w:r>
          </w:p>
        </w:tc>
        <w:tc>
          <w:tcPr>
            <w:tcW w:w="2312" w:type="dxa"/>
            <w:tcBorders>
              <w:top w:val="nil"/>
              <w:bottom w:val="nil"/>
            </w:tcBorders>
          </w:tcPr>
          <w:p w:rsidR="00443EC1" w:rsidRDefault="00443EC1">
            <w:pPr>
              <w:spacing w:before="0" w:after="0" w:line="260" w:lineRule="exact"/>
              <w:jc w:val="center"/>
              <w:rPr>
                <w:rFonts w:hint="cs"/>
                <w:b/>
                <w:szCs w:val="24"/>
                <w:rtl/>
              </w:rPr>
            </w:pPr>
            <w:r>
              <w:rPr>
                <w:rFonts w:hint="cs"/>
                <w:b/>
                <w:szCs w:val="24"/>
                <w:rtl/>
              </w:rPr>
              <w:t>386 24</w:t>
            </w:r>
          </w:p>
        </w:tc>
        <w:tc>
          <w:tcPr>
            <w:tcW w:w="2520" w:type="dxa"/>
            <w:tcBorders>
              <w:top w:val="nil"/>
              <w:bottom w:val="nil"/>
            </w:tcBorders>
          </w:tcPr>
          <w:p w:rsidR="00443EC1" w:rsidRDefault="00443EC1">
            <w:pPr>
              <w:spacing w:before="0" w:after="0" w:line="260" w:lineRule="exact"/>
              <w:jc w:val="center"/>
              <w:rPr>
                <w:rFonts w:hint="cs"/>
                <w:b/>
                <w:szCs w:val="24"/>
                <w:rtl/>
              </w:rPr>
            </w:pPr>
            <w:r>
              <w:rPr>
                <w:rFonts w:hint="cs"/>
                <w:b/>
                <w:szCs w:val="24"/>
                <w:rtl/>
              </w:rPr>
              <w:t>720 24</w:t>
            </w:r>
          </w:p>
        </w:tc>
      </w:tr>
      <w:tr w:rsidR="00443EC1" w:rsidTr="00443EC1">
        <w:tblPrEx>
          <w:tblCellMar>
            <w:top w:w="0" w:type="dxa"/>
            <w:bottom w:w="0" w:type="dxa"/>
          </w:tblCellMar>
        </w:tblPrEx>
        <w:trPr>
          <w:jc w:val="center"/>
        </w:trPr>
        <w:tc>
          <w:tcPr>
            <w:tcW w:w="1828" w:type="dxa"/>
            <w:tcBorders>
              <w:top w:val="nil"/>
            </w:tcBorders>
          </w:tcPr>
          <w:p w:rsidR="00443EC1" w:rsidRDefault="00443EC1">
            <w:pPr>
              <w:spacing w:before="0" w:after="0" w:line="260" w:lineRule="exact"/>
              <w:jc w:val="center"/>
              <w:rPr>
                <w:rFonts w:hint="cs"/>
                <w:b/>
                <w:szCs w:val="24"/>
                <w:rtl/>
              </w:rPr>
            </w:pPr>
            <w:r>
              <w:rPr>
                <w:rFonts w:hint="cs"/>
                <w:b/>
                <w:szCs w:val="24"/>
                <w:rtl/>
              </w:rPr>
              <w:t>2002</w:t>
            </w:r>
          </w:p>
        </w:tc>
        <w:tc>
          <w:tcPr>
            <w:tcW w:w="2312" w:type="dxa"/>
            <w:tcBorders>
              <w:top w:val="nil"/>
            </w:tcBorders>
          </w:tcPr>
          <w:p w:rsidR="00443EC1" w:rsidRDefault="00443EC1">
            <w:pPr>
              <w:spacing w:before="0" w:after="0" w:line="260" w:lineRule="exact"/>
              <w:jc w:val="center"/>
              <w:rPr>
                <w:rFonts w:hint="cs"/>
                <w:b/>
                <w:szCs w:val="24"/>
                <w:rtl/>
              </w:rPr>
            </w:pPr>
            <w:r>
              <w:rPr>
                <w:rFonts w:hint="cs"/>
                <w:b/>
                <w:szCs w:val="24"/>
                <w:rtl/>
              </w:rPr>
              <w:t>014 24</w:t>
            </w:r>
          </w:p>
        </w:tc>
        <w:tc>
          <w:tcPr>
            <w:tcW w:w="2520" w:type="dxa"/>
            <w:tcBorders>
              <w:top w:val="nil"/>
            </w:tcBorders>
          </w:tcPr>
          <w:p w:rsidR="00443EC1" w:rsidRDefault="00443EC1">
            <w:pPr>
              <w:spacing w:before="0" w:after="0" w:line="260" w:lineRule="exact"/>
              <w:jc w:val="center"/>
              <w:rPr>
                <w:rFonts w:hint="cs"/>
                <w:b/>
                <w:szCs w:val="24"/>
                <w:rtl/>
              </w:rPr>
            </w:pPr>
            <w:r>
              <w:rPr>
                <w:rFonts w:hint="cs"/>
                <w:b/>
                <w:szCs w:val="24"/>
                <w:rtl/>
              </w:rPr>
              <w:t>045 25</w:t>
            </w:r>
          </w:p>
        </w:tc>
      </w:tr>
    </w:tbl>
    <w:p w:rsidR="00000000" w:rsidRDefault="00443EC1">
      <w:pPr>
        <w:spacing w:before="120" w:after="120"/>
        <w:jc w:val="both"/>
        <w:rPr>
          <w:rFonts w:hint="cs"/>
          <w:rtl/>
        </w:rPr>
      </w:pPr>
      <w:r>
        <w:rPr>
          <w:rFonts w:hint="cs"/>
          <w:b/>
          <w:bCs/>
          <w:rtl/>
        </w:rPr>
        <w:t>الدين الخارجي:</w:t>
      </w:r>
      <w:r>
        <w:rPr>
          <w:rFonts w:hint="cs"/>
          <w:rtl/>
        </w:rPr>
        <w:t xml:space="preserve"> ليس لدى حكومة منطقة هونغ كونغ الإدارية الخاصة أية ديون خارجية.</w:t>
      </w:r>
    </w:p>
    <w:p w:rsidR="00000000" w:rsidRDefault="00443EC1">
      <w:pPr>
        <w:jc w:val="both"/>
        <w:rPr>
          <w:rFonts w:hint="cs"/>
          <w:b/>
          <w:bCs/>
          <w:rtl/>
        </w:rPr>
      </w:pPr>
      <w:r>
        <w:rPr>
          <w:b/>
          <w:bCs/>
          <w:rtl/>
        </w:rPr>
        <w:br w:type="page"/>
      </w:r>
      <w:r>
        <w:rPr>
          <w:rFonts w:hint="cs"/>
          <w:b/>
          <w:bCs/>
          <w:rtl/>
        </w:rPr>
        <w:t>التركيبة الإثنية لسكان هونغ كونغ</w:t>
      </w:r>
    </w:p>
    <w:p w:rsidR="00000000" w:rsidRDefault="00443EC1">
      <w:pPr>
        <w:jc w:val="center"/>
        <w:rPr>
          <w:rFonts w:hint="cs"/>
          <w:rtl/>
        </w:rPr>
      </w:pPr>
      <w:r>
        <w:rPr>
          <w:rFonts w:hint="cs"/>
          <w:b/>
          <w:bCs/>
          <w:rtl/>
        </w:rPr>
        <w:t>السكان حسب الإثنية في عام 2001</w:t>
      </w:r>
    </w:p>
    <w:tbl>
      <w:tblPr>
        <w:bidiVisual/>
        <w:tblW w:w="0" w:type="auto"/>
        <w:jc w:val="center"/>
        <w:tblInd w:w="2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6"/>
        <w:gridCol w:w="1243"/>
        <w:gridCol w:w="1130"/>
        <w:gridCol w:w="1130"/>
        <w:gridCol w:w="1034"/>
      </w:tblGrid>
      <w:tr w:rsidR="00443EC1" w:rsidTr="00443EC1">
        <w:tblPrEx>
          <w:tblCellMar>
            <w:top w:w="0" w:type="dxa"/>
            <w:bottom w:w="0" w:type="dxa"/>
          </w:tblCellMar>
        </w:tblPrEx>
        <w:trPr>
          <w:trHeight w:val="614"/>
          <w:jc w:val="center"/>
        </w:trPr>
        <w:tc>
          <w:tcPr>
            <w:tcW w:w="2366" w:type="dxa"/>
            <w:tcBorders>
              <w:bottom w:val="single" w:sz="4" w:space="0" w:color="auto"/>
            </w:tcBorders>
          </w:tcPr>
          <w:p w:rsidR="00443EC1" w:rsidRDefault="00443EC1">
            <w:pPr>
              <w:spacing w:before="0" w:after="0" w:line="240" w:lineRule="exact"/>
              <w:jc w:val="center"/>
              <w:rPr>
                <w:rStyle w:val="FootnoteReference"/>
                <w:rFonts w:hint="cs"/>
                <w:bCs w:val="0"/>
                <w:szCs w:val="24"/>
                <w:vertAlign w:val="baseline"/>
              </w:rPr>
            </w:pPr>
            <w:r>
              <w:rPr>
                <w:szCs w:val="24"/>
                <w:rtl/>
              </w:rPr>
              <w:br/>
            </w:r>
            <w:r>
              <w:rPr>
                <w:rFonts w:hint="cs"/>
                <w:szCs w:val="24"/>
                <w:rtl/>
              </w:rPr>
              <w:t>الإثنية</w:t>
            </w:r>
          </w:p>
        </w:tc>
        <w:tc>
          <w:tcPr>
            <w:tcW w:w="1243" w:type="dxa"/>
            <w:tcBorders>
              <w:bottom w:val="single" w:sz="4" w:space="0" w:color="auto"/>
            </w:tcBorders>
          </w:tcPr>
          <w:p w:rsidR="00443EC1" w:rsidRDefault="00443EC1">
            <w:pPr>
              <w:spacing w:before="0" w:after="0" w:line="240" w:lineRule="exact"/>
              <w:jc w:val="center"/>
              <w:rPr>
                <w:rStyle w:val="FootnoteReference"/>
                <w:rFonts w:hint="cs"/>
                <w:bCs w:val="0"/>
                <w:szCs w:val="24"/>
                <w:vertAlign w:val="baseline"/>
              </w:rPr>
            </w:pPr>
            <w:r>
              <w:rPr>
                <w:rFonts w:hint="cs"/>
                <w:szCs w:val="24"/>
                <w:rtl/>
              </w:rPr>
              <w:t>الذكور</w:t>
            </w:r>
            <w:r>
              <w:rPr>
                <w:szCs w:val="24"/>
                <w:rtl/>
              </w:rPr>
              <w:br/>
            </w:r>
            <w:r>
              <w:rPr>
                <w:rFonts w:hint="cs"/>
                <w:szCs w:val="24"/>
                <w:rtl/>
              </w:rPr>
              <w:t>(بالآلاف)</w:t>
            </w:r>
          </w:p>
        </w:tc>
        <w:tc>
          <w:tcPr>
            <w:tcW w:w="1130" w:type="dxa"/>
            <w:tcBorders>
              <w:bottom w:val="single" w:sz="4" w:space="0" w:color="auto"/>
            </w:tcBorders>
          </w:tcPr>
          <w:p w:rsidR="00443EC1" w:rsidRDefault="00443EC1">
            <w:pPr>
              <w:spacing w:before="0" w:after="0" w:line="240" w:lineRule="exact"/>
              <w:jc w:val="center"/>
              <w:rPr>
                <w:rFonts w:hint="cs"/>
                <w:szCs w:val="24"/>
                <w:rtl/>
              </w:rPr>
            </w:pPr>
            <w:r>
              <w:rPr>
                <w:rFonts w:hint="cs"/>
                <w:szCs w:val="24"/>
                <w:rtl/>
              </w:rPr>
              <w:t>الإناث</w:t>
            </w:r>
          </w:p>
          <w:p w:rsidR="00443EC1" w:rsidRDefault="00443EC1">
            <w:pPr>
              <w:spacing w:before="0" w:after="0" w:line="240" w:lineRule="exact"/>
              <w:jc w:val="center"/>
              <w:rPr>
                <w:rStyle w:val="FootnoteReference"/>
                <w:rFonts w:hint="cs"/>
                <w:bCs w:val="0"/>
                <w:szCs w:val="24"/>
                <w:vertAlign w:val="baseline"/>
              </w:rPr>
            </w:pPr>
            <w:r>
              <w:rPr>
                <w:rFonts w:hint="cs"/>
                <w:szCs w:val="24"/>
                <w:rtl/>
              </w:rPr>
              <w:t>(بالآلاف)</w:t>
            </w:r>
          </w:p>
        </w:tc>
        <w:tc>
          <w:tcPr>
            <w:tcW w:w="1130" w:type="dxa"/>
            <w:tcBorders>
              <w:bottom w:val="single" w:sz="4" w:space="0" w:color="auto"/>
            </w:tcBorders>
          </w:tcPr>
          <w:p w:rsidR="00443EC1" w:rsidRDefault="00443EC1">
            <w:pPr>
              <w:spacing w:before="0" w:after="0" w:line="240" w:lineRule="exact"/>
              <w:jc w:val="center"/>
              <w:rPr>
                <w:rStyle w:val="FootnoteReference"/>
                <w:rFonts w:hint="cs"/>
                <w:bCs w:val="0"/>
                <w:szCs w:val="24"/>
                <w:vertAlign w:val="baseline"/>
              </w:rPr>
            </w:pPr>
            <w:r>
              <w:rPr>
                <w:rFonts w:hint="cs"/>
                <w:szCs w:val="24"/>
                <w:rtl/>
              </w:rPr>
              <w:t>الجنسان معاً</w:t>
            </w:r>
            <w:r>
              <w:rPr>
                <w:szCs w:val="24"/>
                <w:rtl/>
              </w:rPr>
              <w:br/>
            </w:r>
            <w:r>
              <w:rPr>
                <w:rFonts w:hint="cs"/>
                <w:szCs w:val="24"/>
                <w:rtl/>
              </w:rPr>
              <w:t>(بالآلاف)</w:t>
            </w:r>
          </w:p>
        </w:tc>
        <w:tc>
          <w:tcPr>
            <w:tcW w:w="1034" w:type="dxa"/>
            <w:tcBorders>
              <w:bottom w:val="single" w:sz="4" w:space="0" w:color="auto"/>
            </w:tcBorders>
          </w:tcPr>
          <w:p w:rsidR="00443EC1" w:rsidRDefault="00443EC1">
            <w:pPr>
              <w:spacing w:before="0" w:after="0" w:line="240" w:lineRule="exact"/>
              <w:jc w:val="center"/>
              <w:rPr>
                <w:rStyle w:val="FootnoteReference"/>
                <w:rFonts w:hint="cs"/>
                <w:bCs w:val="0"/>
                <w:spacing w:val="0"/>
                <w:szCs w:val="24"/>
                <w:vertAlign w:val="baseline"/>
              </w:rPr>
            </w:pPr>
            <w:r>
              <w:rPr>
                <w:rFonts w:hint="cs"/>
                <w:spacing w:val="0"/>
                <w:szCs w:val="24"/>
                <w:rtl/>
              </w:rPr>
              <w:t>النسبة المئوية</w:t>
            </w:r>
            <w:r>
              <w:rPr>
                <w:spacing w:val="0"/>
                <w:szCs w:val="24"/>
                <w:rtl/>
              </w:rPr>
              <w:br/>
            </w:r>
            <w:r>
              <w:rPr>
                <w:rFonts w:hint="cs"/>
                <w:spacing w:val="0"/>
                <w:szCs w:val="24"/>
                <w:rtl/>
              </w:rPr>
              <w:t>من المجموع</w:t>
            </w:r>
          </w:p>
        </w:tc>
      </w:tr>
      <w:tr w:rsidR="00443EC1" w:rsidTr="00443EC1">
        <w:tblPrEx>
          <w:tblCellMar>
            <w:top w:w="0" w:type="dxa"/>
            <w:bottom w:w="0" w:type="dxa"/>
          </w:tblCellMar>
        </w:tblPrEx>
        <w:trPr>
          <w:jc w:val="center"/>
        </w:trPr>
        <w:tc>
          <w:tcPr>
            <w:tcW w:w="2366" w:type="dxa"/>
            <w:tcBorders>
              <w:bottom w:val="nil"/>
            </w:tcBorders>
          </w:tcPr>
          <w:p w:rsidR="00443EC1" w:rsidRDefault="00443EC1">
            <w:pPr>
              <w:spacing w:before="0" w:after="0" w:line="280" w:lineRule="exact"/>
              <w:jc w:val="both"/>
              <w:rPr>
                <w:rFonts w:hint="cs"/>
                <w:szCs w:val="24"/>
                <w:rtl/>
              </w:rPr>
            </w:pPr>
            <w:r>
              <w:rPr>
                <w:rFonts w:hint="cs"/>
                <w:szCs w:val="24"/>
                <w:rtl/>
              </w:rPr>
              <w:t>الصينيون</w:t>
            </w:r>
          </w:p>
        </w:tc>
        <w:tc>
          <w:tcPr>
            <w:tcW w:w="1243" w:type="dxa"/>
            <w:tcBorders>
              <w:bottom w:val="nil"/>
            </w:tcBorders>
          </w:tcPr>
          <w:p w:rsidR="00443EC1" w:rsidRDefault="00443EC1">
            <w:pPr>
              <w:spacing w:before="0" w:after="0" w:line="280" w:lineRule="exact"/>
              <w:ind w:left="142"/>
              <w:jc w:val="both"/>
              <w:rPr>
                <w:rFonts w:hint="cs"/>
                <w:szCs w:val="24"/>
                <w:rtl/>
              </w:rPr>
            </w:pPr>
            <w:r>
              <w:rPr>
                <w:rFonts w:hint="cs"/>
                <w:szCs w:val="24"/>
                <w:rtl/>
              </w:rPr>
              <w:t>202 3</w:t>
            </w:r>
          </w:p>
        </w:tc>
        <w:tc>
          <w:tcPr>
            <w:tcW w:w="1130" w:type="dxa"/>
            <w:tcBorders>
              <w:bottom w:val="nil"/>
            </w:tcBorders>
          </w:tcPr>
          <w:p w:rsidR="00443EC1" w:rsidRDefault="00443EC1">
            <w:pPr>
              <w:spacing w:before="0" w:after="0" w:line="280" w:lineRule="exact"/>
              <w:ind w:left="142"/>
              <w:jc w:val="both"/>
              <w:rPr>
                <w:rFonts w:hint="cs"/>
                <w:szCs w:val="24"/>
                <w:rtl/>
              </w:rPr>
            </w:pPr>
            <w:r>
              <w:rPr>
                <w:rFonts w:hint="cs"/>
                <w:szCs w:val="24"/>
                <w:rtl/>
              </w:rPr>
              <w:t>163 3</w:t>
            </w:r>
          </w:p>
        </w:tc>
        <w:tc>
          <w:tcPr>
            <w:tcW w:w="1130" w:type="dxa"/>
            <w:tcBorders>
              <w:bottom w:val="nil"/>
            </w:tcBorders>
          </w:tcPr>
          <w:p w:rsidR="00443EC1" w:rsidRDefault="00443EC1">
            <w:pPr>
              <w:spacing w:before="0" w:after="0" w:line="280" w:lineRule="exact"/>
              <w:ind w:left="142"/>
              <w:jc w:val="both"/>
              <w:rPr>
                <w:rFonts w:hint="cs"/>
                <w:szCs w:val="24"/>
                <w:rtl/>
              </w:rPr>
            </w:pPr>
            <w:r>
              <w:rPr>
                <w:rFonts w:hint="cs"/>
                <w:szCs w:val="24"/>
                <w:rtl/>
              </w:rPr>
              <w:t>364 6</w:t>
            </w:r>
          </w:p>
        </w:tc>
        <w:tc>
          <w:tcPr>
            <w:tcW w:w="1034" w:type="dxa"/>
            <w:tcBorders>
              <w:bottom w:val="nil"/>
            </w:tcBorders>
          </w:tcPr>
          <w:p w:rsidR="00443EC1" w:rsidRDefault="00443EC1">
            <w:pPr>
              <w:spacing w:before="0" w:after="0" w:line="280" w:lineRule="exact"/>
              <w:ind w:left="142"/>
              <w:jc w:val="both"/>
              <w:rPr>
                <w:rFonts w:hint="cs"/>
                <w:szCs w:val="24"/>
                <w:rtl/>
              </w:rPr>
            </w:pPr>
            <w:r>
              <w:rPr>
                <w:rFonts w:hint="cs"/>
                <w:szCs w:val="24"/>
                <w:rtl/>
              </w:rPr>
              <w:t>94.9</w:t>
            </w:r>
          </w:p>
        </w:tc>
      </w:tr>
      <w:tr w:rsidR="00443EC1" w:rsidTr="00443EC1">
        <w:tblPrEx>
          <w:tblCellMar>
            <w:top w:w="0" w:type="dxa"/>
            <w:bottom w:w="0" w:type="dxa"/>
          </w:tblCellMar>
        </w:tblPrEx>
        <w:trPr>
          <w:jc w:val="center"/>
        </w:trPr>
        <w:tc>
          <w:tcPr>
            <w:tcW w:w="2366" w:type="dxa"/>
            <w:tcBorders>
              <w:top w:val="nil"/>
              <w:bottom w:val="nil"/>
            </w:tcBorders>
          </w:tcPr>
          <w:p w:rsidR="00443EC1" w:rsidRDefault="00443EC1">
            <w:pPr>
              <w:spacing w:before="0" w:after="0" w:line="280" w:lineRule="exact"/>
              <w:jc w:val="both"/>
              <w:rPr>
                <w:rFonts w:hint="cs"/>
                <w:spacing w:val="0"/>
                <w:szCs w:val="24"/>
                <w:rtl/>
              </w:rPr>
            </w:pPr>
            <w:r>
              <w:rPr>
                <w:rFonts w:hint="cs"/>
                <w:spacing w:val="0"/>
                <w:szCs w:val="24"/>
                <w:rtl/>
              </w:rPr>
              <w:t>غير الصينيين، ومنهم:</w:t>
            </w:r>
          </w:p>
        </w:tc>
        <w:tc>
          <w:tcPr>
            <w:tcW w:w="1243" w:type="dxa"/>
            <w:tcBorders>
              <w:top w:val="nil"/>
              <w:bottom w:val="nil"/>
            </w:tcBorders>
          </w:tcPr>
          <w:p w:rsidR="00443EC1" w:rsidRDefault="00443EC1">
            <w:pPr>
              <w:spacing w:before="0" w:after="0" w:line="280" w:lineRule="exact"/>
              <w:ind w:left="142"/>
              <w:jc w:val="both"/>
              <w:rPr>
                <w:rFonts w:hint="cs"/>
                <w:szCs w:val="24"/>
                <w:rtl/>
              </w:rPr>
            </w:pPr>
            <w:r>
              <w:rPr>
                <w:rFonts w:hint="cs"/>
                <w:szCs w:val="24"/>
                <w:rtl/>
              </w:rPr>
              <w:t>83</w:t>
            </w:r>
          </w:p>
        </w:tc>
        <w:tc>
          <w:tcPr>
            <w:tcW w:w="1130" w:type="dxa"/>
            <w:tcBorders>
              <w:top w:val="nil"/>
              <w:bottom w:val="nil"/>
            </w:tcBorders>
          </w:tcPr>
          <w:p w:rsidR="00443EC1" w:rsidRDefault="00443EC1">
            <w:pPr>
              <w:spacing w:before="0" w:after="0" w:line="280" w:lineRule="exact"/>
              <w:ind w:left="142"/>
              <w:jc w:val="both"/>
              <w:rPr>
                <w:rFonts w:hint="cs"/>
                <w:szCs w:val="24"/>
                <w:rtl/>
              </w:rPr>
            </w:pPr>
            <w:r>
              <w:rPr>
                <w:rFonts w:hint="cs"/>
                <w:szCs w:val="24"/>
                <w:rtl/>
              </w:rPr>
              <w:t>261</w:t>
            </w:r>
          </w:p>
        </w:tc>
        <w:tc>
          <w:tcPr>
            <w:tcW w:w="1130" w:type="dxa"/>
            <w:tcBorders>
              <w:top w:val="nil"/>
              <w:bottom w:val="nil"/>
            </w:tcBorders>
          </w:tcPr>
          <w:p w:rsidR="00443EC1" w:rsidRDefault="00443EC1">
            <w:pPr>
              <w:spacing w:before="0" w:after="0" w:line="280" w:lineRule="exact"/>
              <w:ind w:left="142"/>
              <w:jc w:val="both"/>
              <w:rPr>
                <w:rFonts w:hint="cs"/>
                <w:szCs w:val="24"/>
                <w:rtl/>
              </w:rPr>
            </w:pPr>
            <w:r>
              <w:rPr>
                <w:rFonts w:hint="cs"/>
                <w:szCs w:val="24"/>
                <w:rtl/>
              </w:rPr>
              <w:t>344</w:t>
            </w:r>
          </w:p>
        </w:tc>
        <w:tc>
          <w:tcPr>
            <w:tcW w:w="1034" w:type="dxa"/>
            <w:tcBorders>
              <w:top w:val="nil"/>
              <w:bottom w:val="nil"/>
            </w:tcBorders>
          </w:tcPr>
          <w:p w:rsidR="00443EC1" w:rsidRDefault="00443EC1">
            <w:pPr>
              <w:spacing w:before="0" w:after="0" w:line="280" w:lineRule="exact"/>
              <w:ind w:left="142"/>
              <w:jc w:val="both"/>
              <w:rPr>
                <w:rFonts w:hint="cs"/>
                <w:szCs w:val="24"/>
                <w:rtl/>
              </w:rPr>
            </w:pPr>
            <w:r>
              <w:rPr>
                <w:rFonts w:hint="cs"/>
                <w:szCs w:val="24"/>
                <w:rtl/>
              </w:rPr>
              <w:t>5.1</w:t>
            </w:r>
          </w:p>
        </w:tc>
      </w:tr>
      <w:tr w:rsidR="00443EC1" w:rsidTr="00443EC1">
        <w:tblPrEx>
          <w:tblCellMar>
            <w:top w:w="0" w:type="dxa"/>
            <w:bottom w:w="0" w:type="dxa"/>
          </w:tblCellMar>
        </w:tblPrEx>
        <w:trPr>
          <w:jc w:val="center"/>
        </w:trPr>
        <w:tc>
          <w:tcPr>
            <w:tcW w:w="2366" w:type="dxa"/>
            <w:tcBorders>
              <w:top w:val="nil"/>
              <w:bottom w:val="nil"/>
            </w:tcBorders>
          </w:tcPr>
          <w:p w:rsidR="00443EC1" w:rsidRDefault="00443EC1">
            <w:pPr>
              <w:spacing w:before="0" w:after="0" w:line="280" w:lineRule="exact"/>
              <w:jc w:val="both"/>
              <w:rPr>
                <w:rFonts w:hint="cs"/>
                <w:szCs w:val="24"/>
                <w:rtl/>
              </w:rPr>
            </w:pPr>
            <w:r>
              <w:rPr>
                <w:rFonts w:hint="cs"/>
                <w:szCs w:val="24"/>
                <w:rtl/>
              </w:rPr>
              <w:t xml:space="preserve">  الفلبينيون</w:t>
            </w:r>
          </w:p>
        </w:tc>
        <w:tc>
          <w:tcPr>
            <w:tcW w:w="1243" w:type="dxa"/>
            <w:tcBorders>
              <w:top w:val="nil"/>
              <w:bottom w:val="nil"/>
            </w:tcBorders>
          </w:tcPr>
          <w:p w:rsidR="00443EC1" w:rsidRDefault="00443EC1">
            <w:pPr>
              <w:spacing w:before="0" w:after="0" w:line="280" w:lineRule="exact"/>
              <w:ind w:left="142"/>
              <w:jc w:val="both"/>
              <w:rPr>
                <w:rFonts w:hint="cs"/>
                <w:szCs w:val="24"/>
                <w:rtl/>
              </w:rPr>
            </w:pPr>
            <w:r>
              <w:rPr>
                <w:rFonts w:hint="cs"/>
                <w:szCs w:val="24"/>
                <w:rtl/>
              </w:rPr>
              <w:t>7</w:t>
            </w:r>
          </w:p>
        </w:tc>
        <w:tc>
          <w:tcPr>
            <w:tcW w:w="1130" w:type="dxa"/>
            <w:tcBorders>
              <w:top w:val="nil"/>
              <w:bottom w:val="nil"/>
            </w:tcBorders>
          </w:tcPr>
          <w:p w:rsidR="00443EC1" w:rsidRDefault="00443EC1">
            <w:pPr>
              <w:spacing w:before="0" w:after="0" w:line="280" w:lineRule="exact"/>
              <w:ind w:left="142"/>
              <w:jc w:val="both"/>
              <w:rPr>
                <w:rFonts w:hint="cs"/>
                <w:szCs w:val="24"/>
                <w:rtl/>
              </w:rPr>
            </w:pPr>
            <w:r>
              <w:rPr>
                <w:rFonts w:hint="cs"/>
                <w:szCs w:val="24"/>
                <w:rtl/>
              </w:rPr>
              <w:t>135</w:t>
            </w:r>
          </w:p>
        </w:tc>
        <w:tc>
          <w:tcPr>
            <w:tcW w:w="1130" w:type="dxa"/>
            <w:tcBorders>
              <w:top w:val="nil"/>
              <w:bottom w:val="nil"/>
            </w:tcBorders>
          </w:tcPr>
          <w:p w:rsidR="00443EC1" w:rsidRDefault="00443EC1">
            <w:pPr>
              <w:spacing w:before="0" w:after="0" w:line="280" w:lineRule="exact"/>
              <w:ind w:left="142"/>
              <w:jc w:val="both"/>
              <w:rPr>
                <w:rFonts w:hint="cs"/>
                <w:szCs w:val="24"/>
                <w:rtl/>
              </w:rPr>
            </w:pPr>
            <w:r>
              <w:rPr>
                <w:rFonts w:hint="cs"/>
                <w:szCs w:val="24"/>
                <w:rtl/>
              </w:rPr>
              <w:t>143</w:t>
            </w:r>
          </w:p>
        </w:tc>
        <w:tc>
          <w:tcPr>
            <w:tcW w:w="1034" w:type="dxa"/>
            <w:tcBorders>
              <w:top w:val="nil"/>
              <w:bottom w:val="nil"/>
            </w:tcBorders>
          </w:tcPr>
          <w:p w:rsidR="00443EC1" w:rsidRDefault="00443EC1">
            <w:pPr>
              <w:spacing w:before="0" w:after="0" w:line="280" w:lineRule="exact"/>
              <w:ind w:left="142"/>
              <w:jc w:val="both"/>
              <w:rPr>
                <w:rFonts w:hint="cs"/>
                <w:szCs w:val="24"/>
                <w:rtl/>
              </w:rPr>
            </w:pPr>
            <w:r>
              <w:rPr>
                <w:rFonts w:hint="cs"/>
                <w:szCs w:val="24"/>
                <w:rtl/>
              </w:rPr>
              <w:t>2.1</w:t>
            </w:r>
          </w:p>
        </w:tc>
      </w:tr>
      <w:tr w:rsidR="00443EC1" w:rsidTr="00443EC1">
        <w:tblPrEx>
          <w:tblCellMar>
            <w:top w:w="0" w:type="dxa"/>
            <w:bottom w:w="0" w:type="dxa"/>
          </w:tblCellMar>
        </w:tblPrEx>
        <w:trPr>
          <w:jc w:val="center"/>
        </w:trPr>
        <w:tc>
          <w:tcPr>
            <w:tcW w:w="2366" w:type="dxa"/>
            <w:tcBorders>
              <w:top w:val="nil"/>
              <w:bottom w:val="nil"/>
            </w:tcBorders>
          </w:tcPr>
          <w:p w:rsidR="00443EC1" w:rsidRDefault="00443EC1">
            <w:pPr>
              <w:spacing w:before="0" w:after="0" w:line="280" w:lineRule="exact"/>
              <w:jc w:val="both"/>
              <w:rPr>
                <w:rFonts w:hint="cs"/>
                <w:szCs w:val="24"/>
                <w:rtl/>
              </w:rPr>
            </w:pPr>
            <w:r>
              <w:rPr>
                <w:rFonts w:hint="cs"/>
                <w:szCs w:val="24"/>
                <w:rtl/>
              </w:rPr>
              <w:t xml:space="preserve">  الإندونيسيون</w:t>
            </w:r>
          </w:p>
        </w:tc>
        <w:tc>
          <w:tcPr>
            <w:tcW w:w="1243" w:type="dxa"/>
            <w:tcBorders>
              <w:top w:val="nil"/>
              <w:bottom w:val="nil"/>
            </w:tcBorders>
          </w:tcPr>
          <w:p w:rsidR="00443EC1" w:rsidRDefault="00443EC1">
            <w:pPr>
              <w:spacing w:before="0" w:after="0" w:line="280" w:lineRule="exact"/>
              <w:ind w:left="142"/>
              <w:jc w:val="both"/>
              <w:rPr>
                <w:rFonts w:hint="cs"/>
                <w:szCs w:val="24"/>
                <w:rtl/>
              </w:rPr>
            </w:pPr>
            <w:r>
              <w:rPr>
                <w:rFonts w:hint="cs"/>
                <w:szCs w:val="24"/>
                <w:rtl/>
              </w:rPr>
              <w:t>1</w:t>
            </w:r>
          </w:p>
        </w:tc>
        <w:tc>
          <w:tcPr>
            <w:tcW w:w="1130" w:type="dxa"/>
            <w:tcBorders>
              <w:top w:val="nil"/>
              <w:bottom w:val="nil"/>
            </w:tcBorders>
          </w:tcPr>
          <w:p w:rsidR="00443EC1" w:rsidRDefault="00443EC1">
            <w:pPr>
              <w:spacing w:before="0" w:after="0" w:line="280" w:lineRule="exact"/>
              <w:ind w:left="142"/>
              <w:jc w:val="both"/>
              <w:rPr>
                <w:rFonts w:hint="cs"/>
                <w:szCs w:val="24"/>
                <w:rtl/>
              </w:rPr>
            </w:pPr>
            <w:r>
              <w:rPr>
                <w:rFonts w:hint="cs"/>
                <w:szCs w:val="24"/>
                <w:rtl/>
              </w:rPr>
              <w:t>49</w:t>
            </w:r>
          </w:p>
        </w:tc>
        <w:tc>
          <w:tcPr>
            <w:tcW w:w="1130" w:type="dxa"/>
            <w:tcBorders>
              <w:top w:val="nil"/>
              <w:bottom w:val="nil"/>
            </w:tcBorders>
          </w:tcPr>
          <w:p w:rsidR="00443EC1" w:rsidRDefault="00443EC1">
            <w:pPr>
              <w:spacing w:before="0" w:after="0" w:line="280" w:lineRule="exact"/>
              <w:ind w:left="142"/>
              <w:jc w:val="both"/>
              <w:rPr>
                <w:rFonts w:hint="cs"/>
                <w:szCs w:val="24"/>
                <w:rtl/>
              </w:rPr>
            </w:pPr>
            <w:r>
              <w:rPr>
                <w:rFonts w:hint="cs"/>
                <w:szCs w:val="24"/>
                <w:rtl/>
              </w:rPr>
              <w:t>50</w:t>
            </w:r>
          </w:p>
        </w:tc>
        <w:tc>
          <w:tcPr>
            <w:tcW w:w="1034" w:type="dxa"/>
            <w:tcBorders>
              <w:top w:val="nil"/>
              <w:bottom w:val="nil"/>
            </w:tcBorders>
          </w:tcPr>
          <w:p w:rsidR="00443EC1" w:rsidRDefault="00443EC1">
            <w:pPr>
              <w:spacing w:before="0" w:after="0" w:line="280" w:lineRule="exact"/>
              <w:ind w:left="142"/>
              <w:jc w:val="both"/>
              <w:rPr>
                <w:rFonts w:hint="cs"/>
                <w:szCs w:val="24"/>
                <w:rtl/>
              </w:rPr>
            </w:pPr>
            <w:r>
              <w:rPr>
                <w:rFonts w:hint="cs"/>
                <w:szCs w:val="24"/>
                <w:rtl/>
              </w:rPr>
              <w:t>0.8</w:t>
            </w:r>
          </w:p>
        </w:tc>
      </w:tr>
      <w:tr w:rsidR="00443EC1" w:rsidTr="00443EC1">
        <w:tblPrEx>
          <w:tblCellMar>
            <w:top w:w="0" w:type="dxa"/>
            <w:bottom w:w="0" w:type="dxa"/>
          </w:tblCellMar>
        </w:tblPrEx>
        <w:trPr>
          <w:jc w:val="center"/>
        </w:trPr>
        <w:tc>
          <w:tcPr>
            <w:tcW w:w="2366" w:type="dxa"/>
            <w:tcBorders>
              <w:top w:val="nil"/>
              <w:bottom w:val="nil"/>
            </w:tcBorders>
          </w:tcPr>
          <w:p w:rsidR="00443EC1" w:rsidRDefault="00443EC1">
            <w:pPr>
              <w:spacing w:before="0" w:after="0" w:line="280" w:lineRule="exact"/>
              <w:jc w:val="both"/>
              <w:rPr>
                <w:rFonts w:hint="cs"/>
                <w:szCs w:val="24"/>
                <w:rtl/>
              </w:rPr>
            </w:pPr>
            <w:r>
              <w:rPr>
                <w:rFonts w:hint="cs"/>
                <w:szCs w:val="24"/>
                <w:rtl/>
              </w:rPr>
              <w:t xml:space="preserve">  البريطانيون</w:t>
            </w:r>
          </w:p>
        </w:tc>
        <w:tc>
          <w:tcPr>
            <w:tcW w:w="1243" w:type="dxa"/>
            <w:tcBorders>
              <w:top w:val="nil"/>
              <w:bottom w:val="nil"/>
            </w:tcBorders>
          </w:tcPr>
          <w:p w:rsidR="00443EC1" w:rsidRDefault="00443EC1">
            <w:pPr>
              <w:spacing w:before="0" w:after="0" w:line="280" w:lineRule="exact"/>
              <w:ind w:left="142"/>
              <w:jc w:val="both"/>
              <w:rPr>
                <w:rFonts w:hint="cs"/>
                <w:szCs w:val="24"/>
                <w:rtl/>
              </w:rPr>
            </w:pPr>
            <w:r>
              <w:rPr>
                <w:rFonts w:hint="cs"/>
                <w:szCs w:val="24"/>
                <w:rtl/>
              </w:rPr>
              <w:t>12</w:t>
            </w:r>
          </w:p>
        </w:tc>
        <w:tc>
          <w:tcPr>
            <w:tcW w:w="1130" w:type="dxa"/>
            <w:tcBorders>
              <w:top w:val="nil"/>
              <w:bottom w:val="nil"/>
            </w:tcBorders>
          </w:tcPr>
          <w:p w:rsidR="00443EC1" w:rsidRDefault="00443EC1">
            <w:pPr>
              <w:spacing w:before="0" w:after="0" w:line="280" w:lineRule="exact"/>
              <w:ind w:left="142"/>
              <w:jc w:val="both"/>
              <w:rPr>
                <w:rFonts w:hint="cs"/>
                <w:szCs w:val="24"/>
                <w:rtl/>
              </w:rPr>
            </w:pPr>
            <w:r>
              <w:rPr>
                <w:rFonts w:hint="cs"/>
                <w:szCs w:val="24"/>
                <w:rtl/>
              </w:rPr>
              <w:t>7</w:t>
            </w:r>
          </w:p>
        </w:tc>
        <w:tc>
          <w:tcPr>
            <w:tcW w:w="1130" w:type="dxa"/>
            <w:tcBorders>
              <w:top w:val="nil"/>
              <w:bottom w:val="nil"/>
            </w:tcBorders>
          </w:tcPr>
          <w:p w:rsidR="00443EC1" w:rsidRDefault="00443EC1">
            <w:pPr>
              <w:spacing w:before="0" w:after="0" w:line="280" w:lineRule="exact"/>
              <w:ind w:left="142"/>
              <w:jc w:val="both"/>
              <w:rPr>
                <w:rFonts w:hint="cs"/>
                <w:szCs w:val="24"/>
                <w:rtl/>
              </w:rPr>
            </w:pPr>
            <w:r>
              <w:rPr>
                <w:rFonts w:hint="cs"/>
                <w:szCs w:val="24"/>
                <w:rtl/>
              </w:rPr>
              <w:t>19</w:t>
            </w:r>
          </w:p>
        </w:tc>
        <w:tc>
          <w:tcPr>
            <w:tcW w:w="1034" w:type="dxa"/>
            <w:tcBorders>
              <w:top w:val="nil"/>
              <w:bottom w:val="nil"/>
            </w:tcBorders>
          </w:tcPr>
          <w:p w:rsidR="00443EC1" w:rsidRDefault="00443EC1">
            <w:pPr>
              <w:spacing w:before="0" w:after="0" w:line="280" w:lineRule="exact"/>
              <w:ind w:left="142"/>
              <w:jc w:val="both"/>
              <w:rPr>
                <w:rFonts w:hint="cs"/>
                <w:szCs w:val="24"/>
                <w:rtl/>
              </w:rPr>
            </w:pPr>
            <w:r>
              <w:rPr>
                <w:rFonts w:hint="cs"/>
                <w:szCs w:val="24"/>
                <w:rtl/>
              </w:rPr>
              <w:t>0.3</w:t>
            </w:r>
          </w:p>
        </w:tc>
      </w:tr>
      <w:tr w:rsidR="00443EC1" w:rsidTr="00443EC1">
        <w:tblPrEx>
          <w:tblCellMar>
            <w:top w:w="0" w:type="dxa"/>
            <w:bottom w:w="0" w:type="dxa"/>
          </w:tblCellMar>
        </w:tblPrEx>
        <w:trPr>
          <w:jc w:val="center"/>
        </w:trPr>
        <w:tc>
          <w:tcPr>
            <w:tcW w:w="2366" w:type="dxa"/>
            <w:tcBorders>
              <w:top w:val="nil"/>
              <w:bottom w:val="nil"/>
            </w:tcBorders>
          </w:tcPr>
          <w:p w:rsidR="00443EC1" w:rsidRDefault="00443EC1">
            <w:pPr>
              <w:spacing w:before="0" w:after="0" w:line="280" w:lineRule="exact"/>
              <w:jc w:val="both"/>
              <w:rPr>
                <w:rFonts w:hint="cs"/>
                <w:szCs w:val="24"/>
                <w:rtl/>
              </w:rPr>
            </w:pPr>
            <w:r>
              <w:rPr>
                <w:rFonts w:hint="cs"/>
                <w:szCs w:val="24"/>
                <w:rtl/>
              </w:rPr>
              <w:t xml:space="preserve">  الهنود</w:t>
            </w:r>
          </w:p>
        </w:tc>
        <w:tc>
          <w:tcPr>
            <w:tcW w:w="1243" w:type="dxa"/>
            <w:tcBorders>
              <w:top w:val="nil"/>
              <w:bottom w:val="nil"/>
            </w:tcBorders>
          </w:tcPr>
          <w:p w:rsidR="00443EC1" w:rsidRDefault="00443EC1">
            <w:pPr>
              <w:spacing w:before="0" w:after="0" w:line="280" w:lineRule="exact"/>
              <w:ind w:left="142"/>
              <w:jc w:val="both"/>
              <w:rPr>
                <w:rFonts w:hint="cs"/>
                <w:szCs w:val="24"/>
                <w:rtl/>
              </w:rPr>
            </w:pPr>
            <w:r>
              <w:rPr>
                <w:rFonts w:hint="cs"/>
                <w:szCs w:val="24"/>
                <w:rtl/>
              </w:rPr>
              <w:t>9</w:t>
            </w:r>
          </w:p>
        </w:tc>
        <w:tc>
          <w:tcPr>
            <w:tcW w:w="1130" w:type="dxa"/>
            <w:tcBorders>
              <w:top w:val="nil"/>
              <w:bottom w:val="nil"/>
            </w:tcBorders>
          </w:tcPr>
          <w:p w:rsidR="00443EC1" w:rsidRDefault="00443EC1">
            <w:pPr>
              <w:spacing w:before="0" w:after="0" w:line="280" w:lineRule="exact"/>
              <w:ind w:left="142"/>
              <w:jc w:val="both"/>
              <w:rPr>
                <w:rFonts w:hint="cs"/>
                <w:szCs w:val="24"/>
                <w:rtl/>
              </w:rPr>
            </w:pPr>
            <w:r>
              <w:rPr>
                <w:rFonts w:hint="cs"/>
                <w:szCs w:val="24"/>
                <w:rtl/>
              </w:rPr>
              <w:t>9</w:t>
            </w:r>
          </w:p>
        </w:tc>
        <w:tc>
          <w:tcPr>
            <w:tcW w:w="1130" w:type="dxa"/>
            <w:tcBorders>
              <w:top w:val="nil"/>
              <w:bottom w:val="nil"/>
            </w:tcBorders>
          </w:tcPr>
          <w:p w:rsidR="00443EC1" w:rsidRDefault="00443EC1">
            <w:pPr>
              <w:spacing w:before="0" w:after="0" w:line="280" w:lineRule="exact"/>
              <w:ind w:left="142"/>
              <w:jc w:val="both"/>
              <w:rPr>
                <w:rFonts w:hint="cs"/>
                <w:szCs w:val="24"/>
                <w:rtl/>
              </w:rPr>
            </w:pPr>
            <w:r>
              <w:rPr>
                <w:rFonts w:hint="cs"/>
                <w:szCs w:val="24"/>
                <w:rtl/>
              </w:rPr>
              <w:t>19</w:t>
            </w:r>
          </w:p>
        </w:tc>
        <w:tc>
          <w:tcPr>
            <w:tcW w:w="1034" w:type="dxa"/>
            <w:tcBorders>
              <w:top w:val="nil"/>
              <w:bottom w:val="nil"/>
            </w:tcBorders>
          </w:tcPr>
          <w:p w:rsidR="00443EC1" w:rsidRDefault="00443EC1">
            <w:pPr>
              <w:spacing w:before="0" w:after="0" w:line="280" w:lineRule="exact"/>
              <w:ind w:left="142"/>
              <w:jc w:val="both"/>
              <w:rPr>
                <w:rFonts w:hint="cs"/>
                <w:szCs w:val="24"/>
                <w:rtl/>
              </w:rPr>
            </w:pPr>
            <w:r>
              <w:rPr>
                <w:rFonts w:hint="cs"/>
                <w:szCs w:val="24"/>
                <w:rtl/>
              </w:rPr>
              <w:t>0.3</w:t>
            </w:r>
          </w:p>
        </w:tc>
      </w:tr>
      <w:tr w:rsidR="00443EC1" w:rsidTr="00443EC1">
        <w:tblPrEx>
          <w:tblCellMar>
            <w:top w:w="0" w:type="dxa"/>
            <w:bottom w:w="0" w:type="dxa"/>
          </w:tblCellMar>
        </w:tblPrEx>
        <w:trPr>
          <w:jc w:val="center"/>
        </w:trPr>
        <w:tc>
          <w:tcPr>
            <w:tcW w:w="2366" w:type="dxa"/>
            <w:tcBorders>
              <w:top w:val="nil"/>
              <w:bottom w:val="nil"/>
            </w:tcBorders>
          </w:tcPr>
          <w:p w:rsidR="00443EC1" w:rsidRDefault="00443EC1">
            <w:pPr>
              <w:spacing w:before="0" w:after="0" w:line="280" w:lineRule="exact"/>
              <w:jc w:val="both"/>
              <w:rPr>
                <w:rFonts w:hint="cs"/>
                <w:szCs w:val="24"/>
                <w:rtl/>
              </w:rPr>
            </w:pPr>
            <w:r>
              <w:rPr>
                <w:rFonts w:hint="cs"/>
                <w:szCs w:val="24"/>
                <w:rtl/>
              </w:rPr>
              <w:t xml:space="preserve">  التايلنديون</w:t>
            </w:r>
          </w:p>
        </w:tc>
        <w:tc>
          <w:tcPr>
            <w:tcW w:w="1243" w:type="dxa"/>
            <w:tcBorders>
              <w:top w:val="nil"/>
              <w:bottom w:val="nil"/>
            </w:tcBorders>
          </w:tcPr>
          <w:p w:rsidR="00443EC1" w:rsidRDefault="00443EC1">
            <w:pPr>
              <w:spacing w:before="0" w:after="0" w:line="280" w:lineRule="exact"/>
              <w:ind w:left="142"/>
              <w:jc w:val="both"/>
              <w:rPr>
                <w:rFonts w:hint="cs"/>
                <w:szCs w:val="24"/>
                <w:rtl/>
              </w:rPr>
            </w:pPr>
            <w:r>
              <w:rPr>
                <w:rFonts w:hint="cs"/>
                <w:szCs w:val="24"/>
                <w:rtl/>
              </w:rPr>
              <w:t>1</w:t>
            </w:r>
          </w:p>
        </w:tc>
        <w:tc>
          <w:tcPr>
            <w:tcW w:w="1130" w:type="dxa"/>
            <w:tcBorders>
              <w:top w:val="nil"/>
              <w:bottom w:val="nil"/>
            </w:tcBorders>
          </w:tcPr>
          <w:p w:rsidR="00443EC1" w:rsidRDefault="00443EC1">
            <w:pPr>
              <w:spacing w:before="0" w:after="0" w:line="280" w:lineRule="exact"/>
              <w:ind w:left="142"/>
              <w:jc w:val="both"/>
              <w:rPr>
                <w:rFonts w:hint="cs"/>
                <w:szCs w:val="24"/>
                <w:rtl/>
              </w:rPr>
            </w:pPr>
            <w:r>
              <w:rPr>
                <w:rFonts w:hint="cs"/>
                <w:szCs w:val="24"/>
                <w:rtl/>
              </w:rPr>
              <w:t>13</w:t>
            </w:r>
          </w:p>
        </w:tc>
        <w:tc>
          <w:tcPr>
            <w:tcW w:w="1130" w:type="dxa"/>
            <w:tcBorders>
              <w:top w:val="nil"/>
              <w:bottom w:val="nil"/>
            </w:tcBorders>
          </w:tcPr>
          <w:p w:rsidR="00443EC1" w:rsidRDefault="00443EC1">
            <w:pPr>
              <w:spacing w:before="0" w:after="0" w:line="280" w:lineRule="exact"/>
              <w:ind w:left="142"/>
              <w:jc w:val="both"/>
              <w:rPr>
                <w:rFonts w:hint="cs"/>
                <w:szCs w:val="24"/>
                <w:rtl/>
              </w:rPr>
            </w:pPr>
            <w:r>
              <w:rPr>
                <w:rFonts w:hint="cs"/>
                <w:szCs w:val="24"/>
                <w:rtl/>
              </w:rPr>
              <w:t>14</w:t>
            </w:r>
          </w:p>
        </w:tc>
        <w:tc>
          <w:tcPr>
            <w:tcW w:w="1034" w:type="dxa"/>
            <w:tcBorders>
              <w:top w:val="nil"/>
              <w:bottom w:val="nil"/>
            </w:tcBorders>
          </w:tcPr>
          <w:p w:rsidR="00443EC1" w:rsidRDefault="00443EC1">
            <w:pPr>
              <w:spacing w:before="0" w:after="0" w:line="280" w:lineRule="exact"/>
              <w:ind w:left="142"/>
              <w:jc w:val="both"/>
              <w:rPr>
                <w:rFonts w:hint="cs"/>
                <w:szCs w:val="24"/>
                <w:rtl/>
              </w:rPr>
            </w:pPr>
            <w:r>
              <w:rPr>
                <w:rFonts w:hint="cs"/>
                <w:szCs w:val="24"/>
                <w:rtl/>
              </w:rPr>
              <w:t>0.2</w:t>
            </w:r>
          </w:p>
        </w:tc>
      </w:tr>
      <w:tr w:rsidR="00443EC1" w:rsidTr="00443EC1">
        <w:tblPrEx>
          <w:tblCellMar>
            <w:top w:w="0" w:type="dxa"/>
            <w:bottom w:w="0" w:type="dxa"/>
          </w:tblCellMar>
        </w:tblPrEx>
        <w:trPr>
          <w:jc w:val="center"/>
        </w:trPr>
        <w:tc>
          <w:tcPr>
            <w:tcW w:w="2366" w:type="dxa"/>
            <w:tcBorders>
              <w:top w:val="nil"/>
              <w:bottom w:val="nil"/>
            </w:tcBorders>
          </w:tcPr>
          <w:p w:rsidR="00443EC1" w:rsidRDefault="00443EC1">
            <w:pPr>
              <w:spacing w:before="0" w:after="0" w:line="280" w:lineRule="exact"/>
              <w:jc w:val="both"/>
              <w:rPr>
                <w:rFonts w:hint="cs"/>
                <w:szCs w:val="24"/>
                <w:rtl/>
              </w:rPr>
            </w:pPr>
            <w:r>
              <w:rPr>
                <w:rFonts w:hint="cs"/>
                <w:szCs w:val="24"/>
                <w:rtl/>
              </w:rPr>
              <w:t xml:space="preserve">  اليابانيون</w:t>
            </w:r>
          </w:p>
        </w:tc>
        <w:tc>
          <w:tcPr>
            <w:tcW w:w="1243" w:type="dxa"/>
            <w:tcBorders>
              <w:top w:val="nil"/>
              <w:bottom w:val="nil"/>
            </w:tcBorders>
          </w:tcPr>
          <w:p w:rsidR="00443EC1" w:rsidRDefault="00443EC1">
            <w:pPr>
              <w:spacing w:before="0" w:after="0" w:line="280" w:lineRule="exact"/>
              <w:ind w:left="142"/>
              <w:jc w:val="both"/>
              <w:rPr>
                <w:rFonts w:hint="cs"/>
                <w:szCs w:val="24"/>
                <w:rtl/>
              </w:rPr>
            </w:pPr>
            <w:r>
              <w:rPr>
                <w:rFonts w:hint="cs"/>
                <w:szCs w:val="24"/>
                <w:rtl/>
              </w:rPr>
              <w:t>8</w:t>
            </w:r>
          </w:p>
        </w:tc>
        <w:tc>
          <w:tcPr>
            <w:tcW w:w="1130" w:type="dxa"/>
            <w:tcBorders>
              <w:top w:val="nil"/>
              <w:bottom w:val="nil"/>
            </w:tcBorders>
          </w:tcPr>
          <w:p w:rsidR="00443EC1" w:rsidRDefault="00443EC1">
            <w:pPr>
              <w:spacing w:before="0" w:after="0" w:line="280" w:lineRule="exact"/>
              <w:ind w:left="142"/>
              <w:jc w:val="both"/>
              <w:rPr>
                <w:rFonts w:hint="cs"/>
                <w:szCs w:val="24"/>
                <w:rtl/>
              </w:rPr>
            </w:pPr>
            <w:r>
              <w:rPr>
                <w:rFonts w:hint="cs"/>
                <w:szCs w:val="24"/>
                <w:rtl/>
              </w:rPr>
              <w:t>7</w:t>
            </w:r>
          </w:p>
        </w:tc>
        <w:tc>
          <w:tcPr>
            <w:tcW w:w="1130" w:type="dxa"/>
            <w:tcBorders>
              <w:top w:val="nil"/>
              <w:bottom w:val="nil"/>
            </w:tcBorders>
          </w:tcPr>
          <w:p w:rsidR="00443EC1" w:rsidRDefault="00443EC1">
            <w:pPr>
              <w:spacing w:before="0" w:after="0" w:line="280" w:lineRule="exact"/>
              <w:ind w:left="142"/>
              <w:jc w:val="both"/>
              <w:rPr>
                <w:rFonts w:hint="cs"/>
                <w:szCs w:val="24"/>
                <w:rtl/>
              </w:rPr>
            </w:pPr>
            <w:r>
              <w:rPr>
                <w:rFonts w:hint="cs"/>
                <w:szCs w:val="24"/>
                <w:rtl/>
              </w:rPr>
              <w:t>14</w:t>
            </w:r>
          </w:p>
        </w:tc>
        <w:tc>
          <w:tcPr>
            <w:tcW w:w="1034" w:type="dxa"/>
            <w:tcBorders>
              <w:top w:val="nil"/>
              <w:bottom w:val="nil"/>
            </w:tcBorders>
          </w:tcPr>
          <w:p w:rsidR="00443EC1" w:rsidRDefault="00443EC1">
            <w:pPr>
              <w:spacing w:before="0" w:after="0" w:line="280" w:lineRule="exact"/>
              <w:ind w:left="142"/>
              <w:jc w:val="both"/>
              <w:rPr>
                <w:rFonts w:hint="cs"/>
                <w:szCs w:val="24"/>
                <w:rtl/>
              </w:rPr>
            </w:pPr>
            <w:r>
              <w:rPr>
                <w:rFonts w:hint="cs"/>
                <w:szCs w:val="24"/>
                <w:rtl/>
              </w:rPr>
              <w:t>0.2</w:t>
            </w:r>
          </w:p>
        </w:tc>
      </w:tr>
      <w:tr w:rsidR="00443EC1" w:rsidTr="00443EC1">
        <w:tblPrEx>
          <w:tblCellMar>
            <w:top w:w="0" w:type="dxa"/>
            <w:bottom w:w="0" w:type="dxa"/>
          </w:tblCellMar>
        </w:tblPrEx>
        <w:trPr>
          <w:jc w:val="center"/>
        </w:trPr>
        <w:tc>
          <w:tcPr>
            <w:tcW w:w="2366" w:type="dxa"/>
            <w:tcBorders>
              <w:top w:val="nil"/>
              <w:bottom w:val="nil"/>
            </w:tcBorders>
          </w:tcPr>
          <w:p w:rsidR="00443EC1" w:rsidRDefault="00443EC1">
            <w:pPr>
              <w:spacing w:before="0" w:after="0" w:line="280" w:lineRule="exact"/>
              <w:jc w:val="both"/>
              <w:rPr>
                <w:rFonts w:hint="cs"/>
                <w:szCs w:val="24"/>
                <w:rtl/>
              </w:rPr>
            </w:pPr>
            <w:r>
              <w:rPr>
                <w:rFonts w:hint="cs"/>
                <w:szCs w:val="24"/>
                <w:rtl/>
              </w:rPr>
              <w:t xml:space="preserve">  النيباليون</w:t>
            </w:r>
          </w:p>
        </w:tc>
        <w:tc>
          <w:tcPr>
            <w:tcW w:w="1243" w:type="dxa"/>
            <w:tcBorders>
              <w:top w:val="nil"/>
              <w:bottom w:val="nil"/>
            </w:tcBorders>
          </w:tcPr>
          <w:p w:rsidR="00443EC1" w:rsidRDefault="00443EC1">
            <w:pPr>
              <w:spacing w:before="0" w:after="0" w:line="280" w:lineRule="exact"/>
              <w:ind w:left="142"/>
              <w:jc w:val="both"/>
              <w:rPr>
                <w:rFonts w:hint="cs"/>
                <w:szCs w:val="24"/>
                <w:rtl/>
              </w:rPr>
            </w:pPr>
            <w:r>
              <w:rPr>
                <w:rFonts w:hint="cs"/>
                <w:szCs w:val="24"/>
                <w:rtl/>
              </w:rPr>
              <w:t>7</w:t>
            </w:r>
          </w:p>
        </w:tc>
        <w:tc>
          <w:tcPr>
            <w:tcW w:w="1130" w:type="dxa"/>
            <w:tcBorders>
              <w:top w:val="nil"/>
              <w:bottom w:val="nil"/>
            </w:tcBorders>
          </w:tcPr>
          <w:p w:rsidR="00443EC1" w:rsidRDefault="00443EC1">
            <w:pPr>
              <w:spacing w:before="0" w:after="0" w:line="280" w:lineRule="exact"/>
              <w:ind w:left="142"/>
              <w:jc w:val="both"/>
              <w:rPr>
                <w:rFonts w:hint="cs"/>
                <w:szCs w:val="24"/>
                <w:rtl/>
              </w:rPr>
            </w:pPr>
            <w:r>
              <w:rPr>
                <w:rFonts w:hint="cs"/>
                <w:szCs w:val="24"/>
                <w:rtl/>
              </w:rPr>
              <w:t>5</w:t>
            </w:r>
          </w:p>
        </w:tc>
        <w:tc>
          <w:tcPr>
            <w:tcW w:w="1130" w:type="dxa"/>
            <w:tcBorders>
              <w:top w:val="nil"/>
              <w:bottom w:val="nil"/>
            </w:tcBorders>
          </w:tcPr>
          <w:p w:rsidR="00443EC1" w:rsidRDefault="00443EC1">
            <w:pPr>
              <w:spacing w:before="0" w:after="0" w:line="280" w:lineRule="exact"/>
              <w:ind w:left="142"/>
              <w:jc w:val="both"/>
              <w:rPr>
                <w:rFonts w:hint="cs"/>
                <w:szCs w:val="24"/>
                <w:rtl/>
              </w:rPr>
            </w:pPr>
            <w:r>
              <w:rPr>
                <w:rFonts w:hint="cs"/>
                <w:szCs w:val="24"/>
                <w:rtl/>
              </w:rPr>
              <w:t>13</w:t>
            </w:r>
          </w:p>
        </w:tc>
        <w:tc>
          <w:tcPr>
            <w:tcW w:w="1034" w:type="dxa"/>
            <w:tcBorders>
              <w:top w:val="nil"/>
              <w:bottom w:val="nil"/>
            </w:tcBorders>
          </w:tcPr>
          <w:p w:rsidR="00443EC1" w:rsidRDefault="00443EC1">
            <w:pPr>
              <w:spacing w:before="0" w:after="0" w:line="280" w:lineRule="exact"/>
              <w:ind w:left="142"/>
              <w:jc w:val="both"/>
              <w:rPr>
                <w:rFonts w:hint="cs"/>
                <w:szCs w:val="24"/>
                <w:rtl/>
              </w:rPr>
            </w:pPr>
            <w:r>
              <w:rPr>
                <w:rFonts w:hint="cs"/>
                <w:szCs w:val="24"/>
                <w:rtl/>
              </w:rPr>
              <w:t>0.2</w:t>
            </w:r>
          </w:p>
        </w:tc>
      </w:tr>
      <w:tr w:rsidR="00443EC1" w:rsidTr="00443EC1">
        <w:tblPrEx>
          <w:tblCellMar>
            <w:top w:w="0" w:type="dxa"/>
            <w:bottom w:w="0" w:type="dxa"/>
          </w:tblCellMar>
        </w:tblPrEx>
        <w:trPr>
          <w:jc w:val="center"/>
        </w:trPr>
        <w:tc>
          <w:tcPr>
            <w:tcW w:w="2366" w:type="dxa"/>
            <w:tcBorders>
              <w:top w:val="nil"/>
              <w:bottom w:val="nil"/>
            </w:tcBorders>
          </w:tcPr>
          <w:p w:rsidR="00443EC1" w:rsidRDefault="00443EC1">
            <w:pPr>
              <w:spacing w:before="0" w:after="0" w:line="280" w:lineRule="exact"/>
              <w:jc w:val="both"/>
              <w:rPr>
                <w:rFonts w:hint="cs"/>
                <w:szCs w:val="24"/>
                <w:rtl/>
              </w:rPr>
            </w:pPr>
            <w:r>
              <w:rPr>
                <w:rFonts w:hint="cs"/>
                <w:szCs w:val="24"/>
                <w:rtl/>
              </w:rPr>
              <w:t xml:space="preserve">  الباكستانيون</w:t>
            </w:r>
          </w:p>
        </w:tc>
        <w:tc>
          <w:tcPr>
            <w:tcW w:w="1243" w:type="dxa"/>
            <w:tcBorders>
              <w:top w:val="nil"/>
              <w:bottom w:val="nil"/>
            </w:tcBorders>
          </w:tcPr>
          <w:p w:rsidR="00443EC1" w:rsidRDefault="00443EC1">
            <w:pPr>
              <w:spacing w:before="0" w:after="0" w:line="280" w:lineRule="exact"/>
              <w:ind w:left="142"/>
              <w:jc w:val="both"/>
              <w:rPr>
                <w:rFonts w:hint="cs"/>
                <w:szCs w:val="24"/>
                <w:rtl/>
              </w:rPr>
            </w:pPr>
            <w:r>
              <w:rPr>
                <w:rFonts w:hint="cs"/>
                <w:szCs w:val="24"/>
                <w:rtl/>
              </w:rPr>
              <w:t>7</w:t>
            </w:r>
          </w:p>
        </w:tc>
        <w:tc>
          <w:tcPr>
            <w:tcW w:w="1130" w:type="dxa"/>
            <w:tcBorders>
              <w:top w:val="nil"/>
              <w:bottom w:val="nil"/>
            </w:tcBorders>
          </w:tcPr>
          <w:p w:rsidR="00443EC1" w:rsidRDefault="00443EC1">
            <w:pPr>
              <w:spacing w:before="0" w:after="0" w:line="280" w:lineRule="exact"/>
              <w:ind w:left="142"/>
              <w:jc w:val="both"/>
              <w:rPr>
                <w:rFonts w:hint="cs"/>
                <w:szCs w:val="24"/>
                <w:rtl/>
              </w:rPr>
            </w:pPr>
            <w:r>
              <w:rPr>
                <w:rFonts w:hint="cs"/>
                <w:szCs w:val="24"/>
                <w:rtl/>
              </w:rPr>
              <w:t>4</w:t>
            </w:r>
          </w:p>
        </w:tc>
        <w:tc>
          <w:tcPr>
            <w:tcW w:w="1130" w:type="dxa"/>
            <w:tcBorders>
              <w:top w:val="nil"/>
              <w:bottom w:val="nil"/>
            </w:tcBorders>
          </w:tcPr>
          <w:p w:rsidR="00443EC1" w:rsidRDefault="00443EC1">
            <w:pPr>
              <w:spacing w:before="0" w:after="0" w:line="280" w:lineRule="exact"/>
              <w:ind w:left="142"/>
              <w:jc w:val="both"/>
              <w:rPr>
                <w:rFonts w:hint="cs"/>
                <w:szCs w:val="24"/>
                <w:rtl/>
              </w:rPr>
            </w:pPr>
            <w:r>
              <w:rPr>
                <w:rFonts w:hint="cs"/>
                <w:szCs w:val="24"/>
                <w:rtl/>
              </w:rPr>
              <w:t>11</w:t>
            </w:r>
          </w:p>
        </w:tc>
        <w:tc>
          <w:tcPr>
            <w:tcW w:w="1034" w:type="dxa"/>
            <w:tcBorders>
              <w:top w:val="nil"/>
              <w:bottom w:val="nil"/>
            </w:tcBorders>
          </w:tcPr>
          <w:p w:rsidR="00443EC1" w:rsidRDefault="00443EC1">
            <w:pPr>
              <w:spacing w:before="0" w:after="0" w:line="280" w:lineRule="exact"/>
              <w:ind w:left="142"/>
              <w:jc w:val="both"/>
              <w:rPr>
                <w:rFonts w:hint="cs"/>
                <w:szCs w:val="24"/>
                <w:rtl/>
              </w:rPr>
            </w:pPr>
            <w:r>
              <w:rPr>
                <w:rFonts w:hint="cs"/>
                <w:szCs w:val="24"/>
                <w:rtl/>
              </w:rPr>
              <w:t>0.2</w:t>
            </w:r>
          </w:p>
        </w:tc>
      </w:tr>
      <w:tr w:rsidR="00443EC1" w:rsidTr="00443EC1">
        <w:tblPrEx>
          <w:tblCellMar>
            <w:top w:w="0" w:type="dxa"/>
            <w:bottom w:w="0" w:type="dxa"/>
          </w:tblCellMar>
        </w:tblPrEx>
        <w:trPr>
          <w:trHeight w:val="239"/>
          <w:jc w:val="center"/>
        </w:trPr>
        <w:tc>
          <w:tcPr>
            <w:tcW w:w="2366" w:type="dxa"/>
            <w:tcBorders>
              <w:top w:val="nil"/>
            </w:tcBorders>
          </w:tcPr>
          <w:p w:rsidR="00443EC1" w:rsidRDefault="00443EC1">
            <w:pPr>
              <w:spacing w:before="0" w:after="0" w:line="280" w:lineRule="exact"/>
              <w:jc w:val="both"/>
              <w:rPr>
                <w:rFonts w:hint="cs"/>
                <w:szCs w:val="24"/>
                <w:rtl/>
              </w:rPr>
            </w:pPr>
            <w:r>
              <w:rPr>
                <w:rFonts w:hint="cs"/>
                <w:szCs w:val="24"/>
                <w:rtl/>
              </w:rPr>
              <w:t xml:space="preserve">  إثنيات أخرى</w:t>
            </w:r>
          </w:p>
        </w:tc>
        <w:tc>
          <w:tcPr>
            <w:tcW w:w="1243" w:type="dxa"/>
            <w:tcBorders>
              <w:top w:val="nil"/>
            </w:tcBorders>
          </w:tcPr>
          <w:p w:rsidR="00443EC1" w:rsidRDefault="00443EC1">
            <w:pPr>
              <w:spacing w:before="0" w:after="0" w:line="280" w:lineRule="exact"/>
              <w:ind w:left="142"/>
              <w:jc w:val="both"/>
              <w:rPr>
                <w:rFonts w:hint="cs"/>
                <w:szCs w:val="24"/>
                <w:rtl/>
              </w:rPr>
            </w:pPr>
            <w:r>
              <w:rPr>
                <w:rFonts w:hint="cs"/>
                <w:szCs w:val="24"/>
                <w:rtl/>
              </w:rPr>
              <w:t>31</w:t>
            </w:r>
          </w:p>
        </w:tc>
        <w:tc>
          <w:tcPr>
            <w:tcW w:w="1130" w:type="dxa"/>
            <w:tcBorders>
              <w:top w:val="nil"/>
            </w:tcBorders>
          </w:tcPr>
          <w:p w:rsidR="00443EC1" w:rsidRDefault="00443EC1">
            <w:pPr>
              <w:spacing w:before="0" w:after="0" w:line="280" w:lineRule="exact"/>
              <w:ind w:left="142"/>
              <w:jc w:val="both"/>
              <w:rPr>
                <w:rFonts w:hint="cs"/>
                <w:szCs w:val="24"/>
                <w:rtl/>
              </w:rPr>
            </w:pPr>
            <w:r>
              <w:rPr>
                <w:rFonts w:hint="cs"/>
                <w:szCs w:val="24"/>
                <w:rtl/>
              </w:rPr>
              <w:t>31</w:t>
            </w:r>
          </w:p>
        </w:tc>
        <w:tc>
          <w:tcPr>
            <w:tcW w:w="1130" w:type="dxa"/>
            <w:tcBorders>
              <w:top w:val="nil"/>
            </w:tcBorders>
          </w:tcPr>
          <w:p w:rsidR="00443EC1" w:rsidRDefault="00443EC1">
            <w:pPr>
              <w:spacing w:before="0" w:after="0" w:line="280" w:lineRule="exact"/>
              <w:ind w:left="142"/>
              <w:jc w:val="both"/>
              <w:rPr>
                <w:rFonts w:hint="cs"/>
                <w:szCs w:val="24"/>
                <w:rtl/>
              </w:rPr>
            </w:pPr>
            <w:r>
              <w:rPr>
                <w:rFonts w:hint="cs"/>
                <w:szCs w:val="24"/>
                <w:rtl/>
              </w:rPr>
              <w:t>61</w:t>
            </w:r>
          </w:p>
        </w:tc>
        <w:tc>
          <w:tcPr>
            <w:tcW w:w="1034" w:type="dxa"/>
            <w:tcBorders>
              <w:top w:val="nil"/>
            </w:tcBorders>
          </w:tcPr>
          <w:p w:rsidR="00443EC1" w:rsidRDefault="00443EC1">
            <w:pPr>
              <w:spacing w:before="0" w:after="0" w:line="280" w:lineRule="exact"/>
              <w:ind w:left="142"/>
              <w:jc w:val="both"/>
              <w:rPr>
                <w:rFonts w:hint="cs"/>
                <w:szCs w:val="24"/>
                <w:rtl/>
              </w:rPr>
            </w:pPr>
            <w:r>
              <w:rPr>
                <w:rFonts w:hint="cs"/>
                <w:szCs w:val="24"/>
                <w:rtl/>
              </w:rPr>
              <w:t>0.9</w:t>
            </w:r>
          </w:p>
        </w:tc>
      </w:tr>
      <w:tr w:rsidR="00443EC1" w:rsidTr="00443EC1">
        <w:tblPrEx>
          <w:tblCellMar>
            <w:top w:w="0" w:type="dxa"/>
            <w:bottom w:w="0" w:type="dxa"/>
          </w:tblCellMar>
        </w:tblPrEx>
        <w:trPr>
          <w:trHeight w:val="425"/>
          <w:jc w:val="center"/>
        </w:trPr>
        <w:tc>
          <w:tcPr>
            <w:tcW w:w="2366" w:type="dxa"/>
          </w:tcPr>
          <w:p w:rsidR="00443EC1" w:rsidRDefault="00443EC1">
            <w:pPr>
              <w:spacing w:before="0" w:after="0" w:line="360" w:lineRule="exact"/>
              <w:jc w:val="both"/>
              <w:rPr>
                <w:rFonts w:hint="cs"/>
                <w:szCs w:val="24"/>
                <w:rtl/>
              </w:rPr>
            </w:pPr>
            <w:r>
              <w:rPr>
                <w:rFonts w:hint="cs"/>
                <w:szCs w:val="24"/>
                <w:rtl/>
              </w:rPr>
              <w:t>المجموع</w:t>
            </w:r>
          </w:p>
        </w:tc>
        <w:tc>
          <w:tcPr>
            <w:tcW w:w="1243" w:type="dxa"/>
          </w:tcPr>
          <w:p w:rsidR="00443EC1" w:rsidRDefault="00443EC1">
            <w:pPr>
              <w:spacing w:before="0" w:after="0" w:line="360" w:lineRule="exact"/>
              <w:ind w:left="142"/>
              <w:jc w:val="both"/>
              <w:rPr>
                <w:rFonts w:hint="cs"/>
                <w:szCs w:val="24"/>
                <w:rtl/>
              </w:rPr>
            </w:pPr>
            <w:r>
              <w:rPr>
                <w:rFonts w:hint="cs"/>
                <w:szCs w:val="24"/>
                <w:rtl/>
              </w:rPr>
              <w:t>285 3</w:t>
            </w:r>
          </w:p>
        </w:tc>
        <w:tc>
          <w:tcPr>
            <w:tcW w:w="1130" w:type="dxa"/>
          </w:tcPr>
          <w:p w:rsidR="00443EC1" w:rsidRDefault="00443EC1">
            <w:pPr>
              <w:spacing w:before="0" w:after="0" w:line="360" w:lineRule="exact"/>
              <w:ind w:left="142"/>
              <w:jc w:val="both"/>
              <w:rPr>
                <w:rFonts w:hint="cs"/>
                <w:szCs w:val="24"/>
                <w:rtl/>
              </w:rPr>
            </w:pPr>
            <w:r>
              <w:rPr>
                <w:rFonts w:hint="cs"/>
                <w:szCs w:val="24"/>
                <w:rtl/>
              </w:rPr>
              <w:t>423 3</w:t>
            </w:r>
          </w:p>
        </w:tc>
        <w:tc>
          <w:tcPr>
            <w:tcW w:w="1130" w:type="dxa"/>
          </w:tcPr>
          <w:p w:rsidR="00443EC1" w:rsidRDefault="00443EC1">
            <w:pPr>
              <w:spacing w:before="0" w:after="0" w:line="360" w:lineRule="exact"/>
              <w:ind w:left="142"/>
              <w:jc w:val="both"/>
              <w:rPr>
                <w:rFonts w:hint="cs"/>
                <w:szCs w:val="24"/>
                <w:rtl/>
              </w:rPr>
            </w:pPr>
            <w:r>
              <w:rPr>
                <w:rFonts w:hint="cs"/>
                <w:szCs w:val="24"/>
                <w:rtl/>
              </w:rPr>
              <w:t>708 6</w:t>
            </w:r>
          </w:p>
        </w:tc>
        <w:tc>
          <w:tcPr>
            <w:tcW w:w="1034" w:type="dxa"/>
          </w:tcPr>
          <w:p w:rsidR="00443EC1" w:rsidRDefault="00443EC1">
            <w:pPr>
              <w:spacing w:before="0" w:after="0" w:line="360" w:lineRule="exact"/>
              <w:ind w:left="142"/>
              <w:jc w:val="both"/>
              <w:rPr>
                <w:rFonts w:hint="cs"/>
                <w:szCs w:val="24"/>
                <w:rtl/>
              </w:rPr>
            </w:pPr>
            <w:r>
              <w:rPr>
                <w:rFonts w:hint="cs"/>
                <w:szCs w:val="24"/>
                <w:rtl/>
              </w:rPr>
              <w:t>100.0</w:t>
            </w:r>
          </w:p>
        </w:tc>
      </w:tr>
    </w:tbl>
    <w:p w:rsidR="00000000" w:rsidRDefault="00443EC1">
      <w:pPr>
        <w:spacing w:line="380" w:lineRule="exact"/>
        <w:jc w:val="center"/>
        <w:rPr>
          <w:rFonts w:hint="cs"/>
          <w:b/>
          <w:bCs/>
          <w:sz w:val="38"/>
          <w:szCs w:val="36"/>
          <w:rtl/>
        </w:rPr>
      </w:pPr>
      <w:r>
        <w:rPr>
          <w:rFonts w:hint="cs"/>
          <w:b/>
          <w:bCs/>
          <w:sz w:val="38"/>
          <w:szCs w:val="36"/>
          <w:rtl/>
        </w:rPr>
        <w:t>ثانياً - البنية السياسية العامة</w:t>
      </w:r>
    </w:p>
    <w:p w:rsidR="00000000" w:rsidRDefault="00443EC1">
      <w:pPr>
        <w:spacing w:line="380" w:lineRule="exact"/>
        <w:jc w:val="both"/>
        <w:rPr>
          <w:rFonts w:hint="cs"/>
          <w:b/>
          <w:bCs/>
          <w:rtl/>
        </w:rPr>
      </w:pPr>
      <w:r>
        <w:rPr>
          <w:rFonts w:hint="cs"/>
          <w:b/>
          <w:bCs/>
          <w:rtl/>
        </w:rPr>
        <w:t>الوثيقة الدستورية</w:t>
      </w:r>
    </w:p>
    <w:p w:rsidR="00000000" w:rsidRDefault="00443EC1">
      <w:pPr>
        <w:spacing w:line="380" w:lineRule="exact"/>
        <w:jc w:val="both"/>
        <w:rPr>
          <w:rFonts w:hint="cs"/>
          <w:rtl/>
        </w:rPr>
      </w:pPr>
      <w:r>
        <w:rPr>
          <w:rFonts w:hint="cs"/>
          <w:rtl/>
        </w:rPr>
        <w:t>289-</w:t>
      </w:r>
      <w:r>
        <w:rPr>
          <w:rFonts w:hint="cs"/>
          <w:rtl/>
        </w:rPr>
        <w:tab/>
        <w:t>أُنشئت منطقة هونغ كونغ الإدارية الخاصة في 1 تموز/ي</w:t>
      </w:r>
      <w:r>
        <w:rPr>
          <w:rFonts w:hint="cs"/>
          <w:rtl/>
        </w:rPr>
        <w:t>وليه 1997 وفقاً لأحكام المادة 31 وللفقرة الفرعية 13 من المادة 62 من دستور جمهورية الصين الشعبية ولقرارات المجلس الوطني الشعبي ذات الصلة التي اعتمدت في الدورة الثالثة للمجلس الوطني الشعبي السابع في 4 نيسان/أبريل 1990. وأصبح قانون منطقة هونغ كونغ الإدارية ال</w:t>
      </w:r>
      <w:r>
        <w:rPr>
          <w:rFonts w:hint="cs"/>
          <w:rtl/>
        </w:rPr>
        <w:t>خاصة نافذاً في 1 تموز/يوليه 1997. ويقضي مبدأ "بلد واحد ونظامان" بعدم تطبيق النظام الاشتراكي والسياسات الاشتراكية في منطقة هونغ كونغ الإدارية الخاصة، وسيبقى نظام هونغ كونغ الرأسمالي السابق وطريقة الحياة فيها دون تغيير لفترة‍ 50 عاماً. ويتضمن المرفق الأول نس</w:t>
      </w:r>
      <w:r>
        <w:rPr>
          <w:rFonts w:hint="cs"/>
          <w:rtl/>
        </w:rPr>
        <w:t>خة عن القانون الأساسي.</w:t>
      </w:r>
    </w:p>
    <w:p w:rsidR="00000000" w:rsidRDefault="00443EC1">
      <w:pPr>
        <w:spacing w:line="380" w:lineRule="exact"/>
        <w:jc w:val="both"/>
        <w:rPr>
          <w:rFonts w:hint="cs"/>
          <w:rtl/>
        </w:rPr>
      </w:pPr>
      <w:r>
        <w:rPr>
          <w:rFonts w:hint="cs"/>
          <w:rtl/>
        </w:rPr>
        <w:t>290-</w:t>
      </w:r>
      <w:r>
        <w:rPr>
          <w:rFonts w:hint="cs"/>
          <w:rtl/>
        </w:rPr>
        <w:tab/>
        <w:t xml:space="preserve">ولتطبيق مبدأ "بلد واحد ونظامان" تطبيقاً كاملاً، يحدد القانون الأساسي الإطار الشامل للعلاقة بين السلطات المركزية ومنطقة هونغ كونغ الإدارية الخاصة (الفصل الثاني)؛ والحقوق والواجبات الأساسية لسكان هونغ كونغ (الفصل الثالث)؛ والبنية </w:t>
      </w:r>
      <w:r>
        <w:rPr>
          <w:rFonts w:hint="cs"/>
          <w:rtl/>
        </w:rPr>
        <w:t>السياسية (الفصل الرابع)؛ والنظم الاقتصادية والمالية والاجتماعية لمنطقة هونغ كونغ الإدارية الخاصة (الفصلان الخامس والسادس)؛ وإدارة شؤونها الخارجية (الفصل السابع)؛ وتفسير القانون الأساسي وتعديله (الفصل الثامن).</w:t>
      </w:r>
    </w:p>
    <w:p w:rsidR="00000000" w:rsidRDefault="00443EC1">
      <w:pPr>
        <w:spacing w:line="380" w:lineRule="exact"/>
        <w:jc w:val="both"/>
        <w:rPr>
          <w:rFonts w:hint="cs"/>
          <w:rtl/>
        </w:rPr>
      </w:pPr>
      <w:r>
        <w:rPr>
          <w:rFonts w:hint="cs"/>
          <w:rtl/>
        </w:rPr>
        <w:t>291-</w:t>
      </w:r>
      <w:r>
        <w:rPr>
          <w:rFonts w:hint="cs"/>
          <w:rtl/>
        </w:rPr>
        <w:tab/>
        <w:t xml:space="preserve">وينص القانون الأساسي، بين أمورٍ أخرى، على </w:t>
      </w:r>
      <w:r>
        <w:rPr>
          <w:rFonts w:hint="cs"/>
          <w:rtl/>
        </w:rPr>
        <w:t>ما يلي:</w:t>
      </w:r>
    </w:p>
    <w:p w:rsidR="00000000" w:rsidRDefault="00443EC1">
      <w:pPr>
        <w:spacing w:line="380" w:lineRule="exact"/>
        <w:jc w:val="both"/>
        <w:rPr>
          <w:rFonts w:hint="cs"/>
          <w:spacing w:val="0"/>
          <w:rtl/>
        </w:rPr>
      </w:pPr>
      <w:r>
        <w:rPr>
          <w:rFonts w:hint="cs"/>
          <w:rtl/>
        </w:rPr>
        <w:tab/>
        <w:t>(أ)</w:t>
      </w:r>
      <w:r>
        <w:rPr>
          <w:rFonts w:hint="cs"/>
          <w:rtl/>
        </w:rPr>
        <w:tab/>
      </w:r>
      <w:r>
        <w:rPr>
          <w:rFonts w:hint="cs"/>
          <w:spacing w:val="0"/>
          <w:rtl/>
        </w:rPr>
        <w:t xml:space="preserve">تتمتع منطقة هونغ كونغ الإدارية الخاصة بقدرٍ كبير من الاستقلال الذاتي، فيما عدا شؤون الدفاع والشؤون الخارجية، وتمارس سلطة تشريعية وسلطة تنفيذية وسلطة قضائية مستقلة، بما فيها سلطة إصدار الأحكام القضائية النهائية. وأنيطت بمحكمة الاستئناف النهائي </w:t>
      </w:r>
      <w:r>
        <w:rPr>
          <w:rFonts w:hint="cs"/>
          <w:spacing w:val="0"/>
          <w:rtl/>
        </w:rPr>
        <w:t>التي أُنشئت في المنطقة سلطة إصدار الأحكام القضائية النهائية؛</w:t>
      </w:r>
    </w:p>
    <w:p w:rsidR="00000000" w:rsidRDefault="00443EC1">
      <w:pPr>
        <w:spacing w:line="380" w:lineRule="exact"/>
        <w:jc w:val="both"/>
        <w:rPr>
          <w:rFonts w:hint="cs"/>
          <w:spacing w:val="0"/>
          <w:rtl/>
        </w:rPr>
      </w:pPr>
      <w:r>
        <w:rPr>
          <w:rFonts w:hint="cs"/>
          <w:spacing w:val="0"/>
          <w:rtl/>
        </w:rPr>
        <w:tab/>
        <w:t>(ب)</w:t>
      </w:r>
      <w:r>
        <w:rPr>
          <w:rFonts w:hint="cs"/>
          <w:spacing w:val="0"/>
          <w:rtl/>
        </w:rPr>
        <w:tab/>
        <w:t xml:space="preserve">تتألف السلطتان التنفيذية والتشريعية لمنطقة هونغ كونغ الإدارية الخاصة من سكان هونغ كونغ الدائمين؛ </w:t>
      </w:r>
    </w:p>
    <w:p w:rsidR="00000000" w:rsidRDefault="00443EC1">
      <w:pPr>
        <w:spacing w:line="380" w:lineRule="exact"/>
        <w:jc w:val="both"/>
        <w:rPr>
          <w:rFonts w:hint="cs"/>
          <w:rtl/>
        </w:rPr>
      </w:pPr>
      <w:r>
        <w:rPr>
          <w:rFonts w:hint="cs"/>
          <w:rtl/>
        </w:rPr>
        <w:tab/>
        <w:t>(ج)</w:t>
      </w:r>
      <w:r>
        <w:rPr>
          <w:rFonts w:hint="cs"/>
          <w:rtl/>
        </w:rPr>
        <w:tab/>
        <w:t>يُبقى على القوانين التي كانت سارية سابقاً في هونغ كونغ، مثل القانون العام، وقواعد الإنص</w:t>
      </w:r>
      <w:r>
        <w:rPr>
          <w:rFonts w:hint="cs"/>
          <w:rtl/>
        </w:rPr>
        <w:t>اف، والقوانين الوضعية، والتشريعات الملحقة، والقانون العرفي، باستثناء ما يخل منها بالقانون الأساسي، ورهناً بأي تعديل تجريه السلطة التشريعية في هونغ كونغ الإدارية الخاصة؛</w:t>
      </w:r>
    </w:p>
    <w:p w:rsidR="00000000" w:rsidRDefault="00443EC1">
      <w:pPr>
        <w:spacing w:line="380" w:lineRule="exact"/>
        <w:jc w:val="both"/>
        <w:rPr>
          <w:rFonts w:hint="cs"/>
          <w:rtl/>
        </w:rPr>
      </w:pPr>
      <w:r>
        <w:rPr>
          <w:rFonts w:hint="cs"/>
          <w:rtl/>
        </w:rPr>
        <w:tab/>
        <w:t>(د)</w:t>
      </w:r>
      <w:r>
        <w:rPr>
          <w:rFonts w:hint="cs"/>
          <w:rtl/>
        </w:rPr>
        <w:tab/>
        <w:t xml:space="preserve">لا تطبق القوانين الوطنية في منطقة هونغ كونغ الإدارية الخاصة، باستثناء تلك المدرجة </w:t>
      </w:r>
      <w:r>
        <w:rPr>
          <w:rFonts w:hint="cs"/>
          <w:rtl/>
        </w:rPr>
        <w:t>في المرفق الثالث للقانون الأساسي، وتطبق القوانين المدرجة في المرفق المذكور على الصعيد المحلي عن طريق سنها أو إصدارها من قبل المنطقة. ويجوز للجنة الدائمة للمجلس الوطني الشعبي أن تضيف إلى قائمة القوانين الواردة في المرفق الثالث أو تحذف منها ما تراه مناسباً ب</w:t>
      </w:r>
      <w:r>
        <w:rPr>
          <w:rFonts w:hint="cs"/>
          <w:rtl/>
        </w:rPr>
        <w:t>عد التشاور مع لجنة القانون الأساسي لمنطقة هونغ كونغ الإدارية الخاصة وحكومتها؛</w:t>
      </w:r>
    </w:p>
    <w:p w:rsidR="00000000" w:rsidRDefault="00443EC1">
      <w:pPr>
        <w:spacing w:line="380" w:lineRule="exact"/>
        <w:jc w:val="both"/>
        <w:rPr>
          <w:rFonts w:hint="cs"/>
          <w:rtl/>
        </w:rPr>
      </w:pPr>
      <w:r>
        <w:rPr>
          <w:rFonts w:hint="cs"/>
          <w:rtl/>
        </w:rPr>
        <w:tab/>
        <w:t>(ه‍)</w:t>
      </w:r>
      <w:r>
        <w:rPr>
          <w:rFonts w:hint="cs"/>
          <w:rtl/>
        </w:rPr>
        <w:tab/>
        <w:t xml:space="preserve">تخول منطقة هونغ كونغ الإدارية الخاصة سلطة تسيير شؤونها الخارجية بنفسها. ويجوز للمنطقة أن تضطلع لوحدها، مستخدمة في ذلك اسم "هونغ كونغ، الصين"، بإقامة وتطوير العلاقات وإبرام </w:t>
      </w:r>
      <w:r>
        <w:rPr>
          <w:rFonts w:hint="cs"/>
          <w:rtl/>
        </w:rPr>
        <w:t>وتنفيذ الاتفاقات مع الدول والأقاليم الأجنبية والمنظمات الدولية ذات الصلة في المجالات المناسبة، بما فيها الاقتصادية والتجارية والمالية والنقدية ومجالات النقل البحري والاتصالات والسياحة والثقافة والرياضة؛</w:t>
      </w:r>
    </w:p>
    <w:p w:rsidR="00000000" w:rsidRDefault="00443EC1">
      <w:pPr>
        <w:spacing w:line="380" w:lineRule="exact"/>
        <w:jc w:val="both"/>
        <w:rPr>
          <w:rFonts w:hint="cs"/>
          <w:rtl/>
        </w:rPr>
      </w:pPr>
      <w:r>
        <w:rPr>
          <w:rFonts w:hint="cs"/>
          <w:rtl/>
        </w:rPr>
        <w:tab/>
        <w:t>(و)</w:t>
      </w:r>
      <w:r>
        <w:rPr>
          <w:rFonts w:hint="cs"/>
          <w:rtl/>
        </w:rPr>
        <w:tab/>
        <w:t>تبقى منطقة هونغ كونغ الإدارية الخاصة ميناءً حراً</w:t>
      </w:r>
      <w:r>
        <w:rPr>
          <w:rFonts w:hint="cs"/>
          <w:rtl/>
        </w:rPr>
        <w:t xml:space="preserve"> وإقليماً جمركياً منفصلاً ومركزاً مالياً دولياً. ويكون تدفق رأس المال حراً. وتصدر منطقة هونغ كونغ الإدارية الخاصة وتدير عملتها الخاصة بها؛ </w:t>
      </w:r>
    </w:p>
    <w:p w:rsidR="00000000" w:rsidRDefault="00443EC1">
      <w:pPr>
        <w:spacing w:line="380" w:lineRule="exact"/>
        <w:jc w:val="both"/>
        <w:rPr>
          <w:rFonts w:hint="cs"/>
          <w:rtl/>
        </w:rPr>
      </w:pPr>
      <w:r>
        <w:rPr>
          <w:rFonts w:hint="cs"/>
          <w:rtl/>
        </w:rPr>
        <w:tab/>
        <w:t>(ز)</w:t>
      </w:r>
      <w:r>
        <w:rPr>
          <w:rFonts w:hint="cs"/>
          <w:rtl/>
        </w:rPr>
        <w:tab/>
        <w:t>ترسم منطقة هونغ كونغ الإدارية الخاصة سياساتها الخاصة بها فيما يتعلق بتنمية التعليم والعلم والثقافة والرياضة وال</w:t>
      </w:r>
      <w:r>
        <w:rPr>
          <w:rFonts w:hint="cs"/>
          <w:rtl/>
        </w:rPr>
        <w:t>عمل والخدمات الاجتماعية، ويتمتع المقيمون في هونغ كونغ بحرية المعتقد الديني؛</w:t>
      </w:r>
    </w:p>
    <w:p w:rsidR="00000000" w:rsidRDefault="00443EC1">
      <w:pPr>
        <w:spacing w:line="380" w:lineRule="exact"/>
        <w:jc w:val="both"/>
        <w:rPr>
          <w:rFonts w:hint="cs"/>
          <w:rtl/>
        </w:rPr>
      </w:pPr>
      <w:r>
        <w:rPr>
          <w:rFonts w:hint="cs"/>
          <w:rtl/>
        </w:rPr>
        <w:tab/>
        <w:t>(ح)</w:t>
      </w:r>
      <w:r>
        <w:rPr>
          <w:rFonts w:hint="cs"/>
          <w:rtl/>
        </w:rPr>
        <w:tab/>
        <w:t xml:space="preserve">يتمتع المقيمون في هونغ كونغ بمجموعة واسعة من الحريات والحقوق (يعالج هذا الموضوع بمزيدٍ من التفصيل في الفرع الثالث أدناه المعنون "الإطار القانوني العام لحماية حقوق الإنسان")؛ </w:t>
      </w:r>
    </w:p>
    <w:p w:rsidR="00000000" w:rsidRDefault="00443EC1">
      <w:pPr>
        <w:spacing w:line="380" w:lineRule="exact"/>
        <w:jc w:val="both"/>
        <w:rPr>
          <w:rFonts w:hint="cs"/>
          <w:rtl/>
        </w:rPr>
      </w:pPr>
      <w:r>
        <w:rPr>
          <w:rFonts w:hint="cs"/>
          <w:rtl/>
        </w:rPr>
        <w:tab/>
        <w:t>(ط)</w:t>
      </w:r>
      <w:r>
        <w:rPr>
          <w:rFonts w:hint="cs"/>
          <w:rtl/>
        </w:rPr>
        <w:tab/>
        <w:t>تبقى أحكام العهد الدولي الخاص بالحقوق المدنية والسياسية والعهد الدولي الخاص بالحقوق الاقتصادية والاجتماعية والثقافية واتفاقيات منظمة العمل الدولية، كما هي مطبقة على هونغ كونغ، سارية المفعول. وتنفذ من خلال قوانين منطقة هونغ كونغ الإدارية الخاصة.</w:t>
      </w:r>
    </w:p>
    <w:p w:rsidR="00000000" w:rsidRDefault="00443EC1">
      <w:pPr>
        <w:spacing w:line="380" w:lineRule="exact"/>
        <w:jc w:val="both"/>
        <w:rPr>
          <w:rFonts w:hint="cs"/>
          <w:b/>
          <w:bCs/>
          <w:rtl/>
        </w:rPr>
      </w:pPr>
      <w:r>
        <w:rPr>
          <w:b/>
          <w:bCs/>
          <w:rtl/>
        </w:rPr>
        <w:br w:type="page"/>
      </w:r>
      <w:r>
        <w:rPr>
          <w:rFonts w:hint="cs"/>
          <w:b/>
          <w:bCs/>
          <w:rtl/>
        </w:rPr>
        <w:t xml:space="preserve">نظام </w:t>
      </w:r>
      <w:r>
        <w:rPr>
          <w:rFonts w:hint="cs"/>
          <w:b/>
          <w:bCs/>
          <w:rtl/>
        </w:rPr>
        <w:t>الحكم</w:t>
      </w:r>
    </w:p>
    <w:p w:rsidR="00000000" w:rsidRDefault="00443EC1">
      <w:pPr>
        <w:spacing w:line="380" w:lineRule="exact"/>
        <w:jc w:val="both"/>
        <w:rPr>
          <w:rFonts w:hint="cs"/>
          <w:b/>
          <w:bCs/>
          <w:rtl/>
        </w:rPr>
      </w:pPr>
      <w:r>
        <w:rPr>
          <w:rFonts w:hint="cs"/>
          <w:b/>
          <w:bCs/>
          <w:rtl/>
        </w:rPr>
        <w:tab/>
        <w:t>التطور الدستوري</w:t>
      </w:r>
    </w:p>
    <w:p w:rsidR="00000000" w:rsidRDefault="00443EC1">
      <w:pPr>
        <w:spacing w:line="380" w:lineRule="exact"/>
        <w:jc w:val="both"/>
        <w:rPr>
          <w:rFonts w:hint="cs"/>
          <w:rtl/>
        </w:rPr>
      </w:pPr>
      <w:r>
        <w:rPr>
          <w:rFonts w:hint="cs"/>
          <w:rtl/>
        </w:rPr>
        <w:t>292-</w:t>
      </w:r>
      <w:r>
        <w:rPr>
          <w:rFonts w:hint="cs"/>
          <w:rtl/>
        </w:rPr>
        <w:tab/>
        <w:t xml:space="preserve">ينص القانون الأساسي على مخططٍ مدته 10 سنوات للتطور الدستوري في منطقة هونغ كونغ الإدارية الخاصة بين عامي 1997 و2007. كما ينص على أن الهدف النهائي هو انتخاب الرئيس التنفيذي وأعضاء للمجلس التشريعي بالاقتراع العام. </w:t>
      </w:r>
    </w:p>
    <w:p w:rsidR="00000000" w:rsidRDefault="00443EC1">
      <w:pPr>
        <w:spacing w:line="380" w:lineRule="exact"/>
        <w:jc w:val="both"/>
        <w:rPr>
          <w:rFonts w:hint="cs"/>
          <w:rtl/>
        </w:rPr>
      </w:pPr>
      <w:r>
        <w:rPr>
          <w:rFonts w:hint="cs"/>
          <w:rtl/>
        </w:rPr>
        <w:t>293-</w:t>
      </w:r>
      <w:r>
        <w:rPr>
          <w:rFonts w:hint="cs"/>
          <w:rtl/>
        </w:rPr>
        <w:tab/>
        <w:t>والرئيس الت</w:t>
      </w:r>
      <w:r>
        <w:rPr>
          <w:rFonts w:hint="cs"/>
          <w:rtl/>
        </w:rPr>
        <w:t xml:space="preserve">نفيذي لمنطقة هونغ كونغ الإدارية الخاصة هو رئيس المنطقة. ويساعده المجلس التنفيذي في رسم السياسات. والمجلس التشريعي لمنطقة هونغ كونغ الإدارية الخاصة هو السلطة التشريعية في المنطقة، فهو الذي يسن القوانين أو يعدلها أو يلغيها ويقر الضرائب والنفقات العامة ويثير </w:t>
      </w:r>
      <w:r>
        <w:rPr>
          <w:rFonts w:hint="cs"/>
          <w:rtl/>
        </w:rPr>
        <w:t xml:space="preserve">المسائل المتصلة بعمل الحكومة. وتستشار مجالس الدوائر، المنشأة بموجب المادتين 97 و98 من القانون الأساسي، بشأن إدارة هذه الدوائر والشؤون الأخرى. ويوجد في المنطقة جهاز قضائي مستقل. </w:t>
      </w:r>
    </w:p>
    <w:p w:rsidR="00000000" w:rsidRDefault="00443EC1">
      <w:pPr>
        <w:spacing w:line="380" w:lineRule="exact"/>
        <w:jc w:val="both"/>
        <w:rPr>
          <w:rFonts w:hint="cs"/>
          <w:b/>
          <w:bCs/>
          <w:rtl/>
        </w:rPr>
      </w:pPr>
      <w:r>
        <w:rPr>
          <w:rFonts w:hint="cs"/>
          <w:rtl/>
        </w:rPr>
        <w:tab/>
      </w:r>
      <w:r>
        <w:rPr>
          <w:rFonts w:hint="cs"/>
          <w:b/>
          <w:bCs/>
          <w:rtl/>
        </w:rPr>
        <w:t>الرئيس التنفيذي</w:t>
      </w:r>
    </w:p>
    <w:p w:rsidR="00000000" w:rsidRDefault="00443EC1">
      <w:pPr>
        <w:spacing w:line="380" w:lineRule="exact"/>
        <w:jc w:val="both"/>
        <w:rPr>
          <w:rFonts w:hint="cs"/>
          <w:rtl/>
        </w:rPr>
      </w:pPr>
      <w:r>
        <w:rPr>
          <w:rFonts w:hint="cs"/>
          <w:rtl/>
        </w:rPr>
        <w:t>294-</w:t>
      </w:r>
      <w:r>
        <w:rPr>
          <w:rFonts w:hint="cs"/>
          <w:rtl/>
        </w:rPr>
        <w:tab/>
        <w:t>ينص القانون الأساسي على اختيار الرئيس التنفيذي لمنطقة هو</w:t>
      </w:r>
      <w:r>
        <w:rPr>
          <w:rFonts w:hint="cs"/>
          <w:rtl/>
        </w:rPr>
        <w:t>نغ كونغ الإدارية الخاصة بالانتخاب أو من خلال مشاورات تجري على المستوى المحلي، وعلى تعيينه من جانب الحكومة المركزية. وتحدد طريقة اختيار الرئيس التنفيذي في ضوء الحالة الفعلية للمنطقة ووفق مبدأ التقدم التدريجي والمنظم. ويتمثل الهدف النهائي في انتخاب الرئيس ال</w:t>
      </w:r>
      <w:r>
        <w:rPr>
          <w:rFonts w:hint="cs"/>
          <w:rtl/>
        </w:rPr>
        <w:t>تنفيذي باقتراعٍ عام عند ترشيحه من قبل لجنة ترشيح واسعة التمثيل وفقاً للإجراءاتٍ الديموقراطية.</w:t>
      </w:r>
    </w:p>
    <w:p w:rsidR="00000000" w:rsidRDefault="00443EC1">
      <w:pPr>
        <w:spacing w:line="380" w:lineRule="exact"/>
        <w:jc w:val="both"/>
        <w:rPr>
          <w:rFonts w:hint="cs"/>
          <w:rtl/>
        </w:rPr>
      </w:pPr>
      <w:r>
        <w:rPr>
          <w:rFonts w:hint="cs"/>
          <w:rtl/>
        </w:rPr>
        <w:t>295-</w:t>
      </w:r>
      <w:r>
        <w:rPr>
          <w:rFonts w:hint="cs"/>
          <w:rtl/>
        </w:rPr>
        <w:tab/>
        <w:t xml:space="preserve">وقد انتخبت لجنة تضم 800 عضو الرئيس التنفيذي لولاية ثانية وفقاً للقانون الأساسي ولقانون انتخاب الرئيس التنفيذي الذي صدر في عام 2001. وانتخبت غالبية أعضاء هذه </w:t>
      </w:r>
      <w:r>
        <w:rPr>
          <w:rFonts w:hint="cs"/>
          <w:rtl/>
        </w:rPr>
        <w:t>اللجنة من قبل فئات مجتمعية ووظيفية مختلفة، تمثل قطاع العمال وقطاع الخدمات الاجتماعية والقطاع الشعبي والقطاعات الدينية والمهنية والتجارية والسياسية، بين قطاعات أخرى، ومثل هؤلاء الأعضاء بصورة واسعة مختلف قطاعات المجتمع.</w:t>
      </w:r>
    </w:p>
    <w:p w:rsidR="00000000" w:rsidRDefault="00443EC1">
      <w:pPr>
        <w:spacing w:line="380" w:lineRule="exact"/>
        <w:jc w:val="both"/>
        <w:rPr>
          <w:rFonts w:hint="cs"/>
          <w:spacing w:val="0"/>
          <w:rtl/>
        </w:rPr>
      </w:pPr>
      <w:r>
        <w:rPr>
          <w:rFonts w:hint="cs"/>
          <w:rtl/>
        </w:rPr>
        <w:t>296-</w:t>
      </w:r>
      <w:r>
        <w:rPr>
          <w:rFonts w:hint="cs"/>
          <w:rtl/>
        </w:rPr>
        <w:tab/>
      </w:r>
      <w:r>
        <w:rPr>
          <w:rFonts w:hint="cs"/>
          <w:spacing w:val="0"/>
          <w:rtl/>
        </w:rPr>
        <w:t>وينص كذلك المرفق الأول للقانون ال</w:t>
      </w:r>
      <w:r>
        <w:rPr>
          <w:rFonts w:hint="cs"/>
          <w:spacing w:val="0"/>
          <w:rtl/>
        </w:rPr>
        <w:t>أساسي على أنه يجوز إدخال تعديلات على طريقة اختيار الرئيس التنفيذي فيا يتعلق بالولايات اللاحقة لعام 2007 إذا أيدتها أغلبية ثلثي مجموع أعضاء المجلس التشريعي ووافق عليها الرئيس التنفيذي. ويجب إبلاغ اللجنة الدائمة للمجلس الوطني الشعبي بأي تعديلات من هذا القبيل</w:t>
      </w:r>
      <w:r>
        <w:rPr>
          <w:rFonts w:hint="cs"/>
          <w:spacing w:val="0"/>
          <w:rtl/>
        </w:rPr>
        <w:t xml:space="preserve"> لإقرارها.</w:t>
      </w:r>
    </w:p>
    <w:p w:rsidR="00000000" w:rsidRDefault="00443EC1">
      <w:pPr>
        <w:spacing w:line="380" w:lineRule="exact"/>
        <w:jc w:val="both"/>
        <w:rPr>
          <w:rFonts w:hint="cs"/>
          <w:b/>
          <w:bCs/>
          <w:rtl/>
        </w:rPr>
      </w:pPr>
      <w:r>
        <w:rPr>
          <w:rFonts w:hint="cs"/>
          <w:rtl/>
        </w:rPr>
        <w:tab/>
      </w:r>
      <w:r>
        <w:rPr>
          <w:rFonts w:hint="cs"/>
          <w:b/>
          <w:bCs/>
          <w:rtl/>
        </w:rPr>
        <w:t>المجلس التنفيذي</w:t>
      </w:r>
    </w:p>
    <w:p w:rsidR="00000000" w:rsidRDefault="00443EC1">
      <w:pPr>
        <w:spacing w:line="380" w:lineRule="exact"/>
        <w:jc w:val="both"/>
        <w:rPr>
          <w:rFonts w:hint="cs"/>
          <w:rtl/>
        </w:rPr>
      </w:pPr>
      <w:r>
        <w:rPr>
          <w:rFonts w:hint="cs"/>
          <w:rtl/>
        </w:rPr>
        <w:t>297-</w:t>
      </w:r>
      <w:r>
        <w:rPr>
          <w:rFonts w:hint="cs"/>
          <w:rtl/>
        </w:rPr>
        <w:tab/>
        <w:t>يساعد المجلس التنفيذي الرئيس التنفيذي في رسم السياسات. وتقضي المادة 56 من القانون الأساسي بأن يتشاور الرئيس التنفيذي مع المجلس التنفيذي، قبل أن يتخذ قرارات هامة في السياسة العامة أو يعرض مشاريع قوانين على المجلس التشريعي أو</w:t>
      </w:r>
      <w:r>
        <w:rPr>
          <w:rFonts w:hint="cs"/>
          <w:rtl/>
        </w:rPr>
        <w:t xml:space="preserve"> يسن تشريعات ملحقة أو يحل المجلس التشريعي، وذلك باستثناء المسائل المتعلقة بتعيين الموظفين وصرفهم من الخدمة وفرض العقوبات التأديبية بحقهم واتخاذ التدابير في حالات الطوارئ. كما يبت الرئيس التنفيذي في المجلس في طلبات الاستئناف والالتماسات والاعتراضات بموجب ال</w:t>
      </w:r>
      <w:r>
        <w:rPr>
          <w:rFonts w:hint="cs"/>
          <w:rtl/>
        </w:rPr>
        <w:t xml:space="preserve">قوانين الوضعية التي تمنح الحق القانوني في الطعن. وفي الحالة التي لا يقبل فيها الرئيس التنفيذي رأي أغلبية أعضاء المجلس التنفيذي، يسجل الأسباب المحددة والموجبة لذلك. </w:t>
      </w:r>
    </w:p>
    <w:p w:rsidR="00000000" w:rsidRDefault="00443EC1">
      <w:pPr>
        <w:spacing w:line="380" w:lineRule="exact"/>
        <w:jc w:val="both"/>
        <w:rPr>
          <w:rFonts w:hint="cs"/>
          <w:rtl/>
        </w:rPr>
      </w:pPr>
      <w:r>
        <w:rPr>
          <w:rFonts w:hint="cs"/>
          <w:rtl/>
        </w:rPr>
        <w:t>298-</w:t>
      </w:r>
      <w:r>
        <w:rPr>
          <w:rFonts w:hint="cs"/>
          <w:rtl/>
        </w:rPr>
        <w:tab/>
        <w:t>ويجتمع المجلس التنفيذي عادةً مرة في الأسبوع، وتكون مداولاته سرية على الرغم من إعلان ال</w:t>
      </w:r>
      <w:r>
        <w:rPr>
          <w:rFonts w:hint="cs"/>
          <w:rtl/>
        </w:rPr>
        <w:t>كثير من قراراته. ويتولى الرئيس التنفيذي رئاسة المجلس التنفيذي. ويتكون هذا المجلس من 19 عضواً. ووفقاً لما تنص عليه المادة 55 من القانون الأساسي، يعين الرئيس التنفيذي أعضاء المجلس التنفيذي من بين الموظفين الرئيسيين للسلطات التنفيذية وأعضاء المجلس التشريعي وا</w:t>
      </w:r>
      <w:r>
        <w:rPr>
          <w:rFonts w:hint="cs"/>
          <w:rtl/>
        </w:rPr>
        <w:t xml:space="preserve">لشخصيات العامة. وهم مواطنون صينيون يقيمون إقامة دائمة في منطقة هونغ كونغ الإدارية الخاصة ولا يحق لهم الإقامة في أي بلدٍ أجنبي. ويقرر الرئيس التنفيذي تعيينهم أو عزلهم. ولا يجوز أن تتجاوز فترة ولايتهم فترة ولاية الرئيس التنفيذي الذي يعينهم. </w:t>
      </w:r>
    </w:p>
    <w:p w:rsidR="00000000" w:rsidRDefault="00443EC1">
      <w:pPr>
        <w:spacing w:line="380" w:lineRule="exact"/>
        <w:jc w:val="both"/>
        <w:rPr>
          <w:rFonts w:hint="cs"/>
          <w:rtl/>
        </w:rPr>
      </w:pPr>
      <w:r>
        <w:rPr>
          <w:rFonts w:hint="cs"/>
          <w:rtl/>
        </w:rPr>
        <w:tab/>
      </w:r>
      <w:r>
        <w:rPr>
          <w:rFonts w:hint="cs"/>
          <w:b/>
          <w:bCs/>
          <w:rtl/>
        </w:rPr>
        <w:t>المجلس التشريعي</w:t>
      </w:r>
    </w:p>
    <w:p w:rsidR="00000000" w:rsidRDefault="00443EC1">
      <w:pPr>
        <w:spacing w:line="380" w:lineRule="exact"/>
        <w:jc w:val="both"/>
        <w:rPr>
          <w:rFonts w:hint="cs"/>
          <w:rtl/>
        </w:rPr>
      </w:pPr>
      <w:r>
        <w:rPr>
          <w:rFonts w:hint="cs"/>
          <w:rtl/>
        </w:rPr>
        <w:t>299-</w:t>
      </w:r>
      <w:r>
        <w:rPr>
          <w:rFonts w:hint="cs"/>
          <w:rtl/>
        </w:rPr>
        <w:tab/>
        <w:t>تنص المادة 68 من القانون الأساسي على أن يشكل المجلس التشريعي بالانتخاب. وتحدد طريقة تشكيله في ضوء الحالة الراهنة في منطقة هونغ كونغ الإدارية الخاصة ووفقاً لمبدأ التقدم التدريجي والمنظم. ويتمثل الهدف النهائي في انتخاب جميع أعضاء المجلس التشريعي بالاقت</w:t>
      </w:r>
      <w:r>
        <w:rPr>
          <w:rFonts w:hint="cs"/>
          <w:rtl/>
        </w:rPr>
        <w:t>راع العام. وينص الملحق الثاني للقانون الأساسي على تركيبة المجلس التشريعي أثناء فترات ولايته الثلاث الأولى، وهي على النحو التالي:</w:t>
      </w:r>
    </w:p>
    <w:tbl>
      <w:tblPr>
        <w:bidiVisual/>
        <w:tblW w:w="0" w:type="auto"/>
        <w:jc w:val="center"/>
        <w:tblInd w:w="1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50"/>
        <w:gridCol w:w="1582"/>
        <w:gridCol w:w="1695"/>
        <w:gridCol w:w="1517"/>
      </w:tblGrid>
      <w:tr w:rsidR="00443EC1" w:rsidTr="00443EC1">
        <w:tblPrEx>
          <w:tblCellMar>
            <w:top w:w="0" w:type="dxa"/>
            <w:bottom w:w="0" w:type="dxa"/>
          </w:tblCellMar>
        </w:tblPrEx>
        <w:trPr>
          <w:jc w:val="center"/>
        </w:trPr>
        <w:tc>
          <w:tcPr>
            <w:tcW w:w="3650" w:type="dxa"/>
            <w:tcBorders>
              <w:bottom w:val="single" w:sz="4" w:space="0" w:color="auto"/>
            </w:tcBorders>
          </w:tcPr>
          <w:p w:rsidR="00443EC1" w:rsidRDefault="00443EC1">
            <w:pPr>
              <w:spacing w:before="0" w:after="0" w:line="320" w:lineRule="exact"/>
              <w:jc w:val="center"/>
              <w:rPr>
                <w:rStyle w:val="FootnoteReference"/>
                <w:rFonts w:hint="cs"/>
                <w:b/>
                <w:bCs w:val="0"/>
                <w:vertAlign w:val="baseline"/>
              </w:rPr>
            </w:pPr>
            <w:r>
              <w:rPr>
                <w:b/>
                <w:szCs w:val="28"/>
                <w:rtl/>
              </w:rPr>
              <w:br/>
            </w:r>
            <w:r>
              <w:rPr>
                <w:b/>
                <w:szCs w:val="28"/>
                <w:rtl/>
              </w:rPr>
              <w:br/>
            </w:r>
            <w:r>
              <w:rPr>
                <w:rFonts w:hint="cs"/>
                <w:b/>
                <w:szCs w:val="28"/>
                <w:rtl/>
              </w:rPr>
              <w:t>الأعضاء</w:t>
            </w:r>
          </w:p>
        </w:tc>
        <w:tc>
          <w:tcPr>
            <w:tcW w:w="1582" w:type="dxa"/>
            <w:tcBorders>
              <w:bottom w:val="single" w:sz="4" w:space="0" w:color="auto"/>
            </w:tcBorders>
          </w:tcPr>
          <w:p w:rsidR="00443EC1" w:rsidRDefault="00443EC1">
            <w:pPr>
              <w:spacing w:before="0" w:after="0" w:line="320" w:lineRule="exact"/>
              <w:jc w:val="center"/>
              <w:rPr>
                <w:rStyle w:val="FootnoteReference"/>
                <w:rFonts w:hint="cs"/>
                <w:b/>
                <w:bCs w:val="0"/>
                <w:vertAlign w:val="baseline"/>
              </w:rPr>
            </w:pPr>
            <w:r>
              <w:rPr>
                <w:rFonts w:hint="cs"/>
                <w:b/>
                <w:szCs w:val="28"/>
                <w:rtl/>
              </w:rPr>
              <w:t>الفتـرة الأولى</w:t>
            </w:r>
            <w:r>
              <w:rPr>
                <w:b/>
                <w:szCs w:val="28"/>
                <w:rtl/>
              </w:rPr>
              <w:br/>
            </w:r>
            <w:r>
              <w:rPr>
                <w:rFonts w:hint="cs"/>
                <w:b/>
                <w:szCs w:val="28"/>
                <w:rtl/>
              </w:rPr>
              <w:t>1998-2000</w:t>
            </w:r>
            <w:r>
              <w:rPr>
                <w:b/>
                <w:szCs w:val="28"/>
                <w:rtl/>
              </w:rPr>
              <w:br/>
            </w:r>
            <w:r>
              <w:rPr>
                <w:rFonts w:hint="cs"/>
                <w:b/>
                <w:szCs w:val="28"/>
                <w:rtl/>
              </w:rPr>
              <w:t>(عامان)</w:t>
            </w:r>
          </w:p>
        </w:tc>
        <w:tc>
          <w:tcPr>
            <w:tcW w:w="1695" w:type="dxa"/>
            <w:tcBorders>
              <w:bottom w:val="single" w:sz="4" w:space="0" w:color="auto"/>
            </w:tcBorders>
          </w:tcPr>
          <w:p w:rsidR="00443EC1" w:rsidRDefault="00443EC1">
            <w:pPr>
              <w:spacing w:before="0" w:after="0" w:line="320" w:lineRule="exact"/>
              <w:jc w:val="center"/>
              <w:rPr>
                <w:rFonts w:hint="cs"/>
                <w:b/>
                <w:szCs w:val="28"/>
                <w:rtl/>
              </w:rPr>
            </w:pPr>
            <w:r>
              <w:rPr>
                <w:rFonts w:hint="cs"/>
                <w:b/>
                <w:szCs w:val="28"/>
                <w:rtl/>
              </w:rPr>
              <w:t>الفتـرة الثانيـة</w:t>
            </w:r>
          </w:p>
          <w:p w:rsidR="00443EC1" w:rsidRDefault="00443EC1">
            <w:pPr>
              <w:spacing w:before="0" w:after="0" w:line="320" w:lineRule="exact"/>
              <w:jc w:val="center"/>
              <w:rPr>
                <w:rFonts w:hint="cs"/>
                <w:b/>
                <w:szCs w:val="28"/>
                <w:rtl/>
              </w:rPr>
            </w:pPr>
            <w:r>
              <w:rPr>
                <w:rFonts w:hint="cs"/>
                <w:b/>
                <w:szCs w:val="28"/>
                <w:rtl/>
              </w:rPr>
              <w:t>2000-2004</w:t>
            </w:r>
          </w:p>
          <w:p w:rsidR="00443EC1" w:rsidRDefault="00443EC1">
            <w:pPr>
              <w:spacing w:before="0" w:after="0" w:line="320" w:lineRule="exact"/>
              <w:jc w:val="center"/>
              <w:rPr>
                <w:rStyle w:val="FootnoteReference"/>
                <w:rFonts w:hint="cs"/>
                <w:b/>
                <w:bCs w:val="0"/>
                <w:vertAlign w:val="baseline"/>
              </w:rPr>
            </w:pPr>
            <w:r>
              <w:rPr>
                <w:rFonts w:hint="cs"/>
                <w:b/>
                <w:szCs w:val="28"/>
                <w:rtl/>
              </w:rPr>
              <w:t>(أربعة أعوام)</w:t>
            </w:r>
          </w:p>
        </w:tc>
        <w:tc>
          <w:tcPr>
            <w:tcW w:w="1517" w:type="dxa"/>
            <w:tcBorders>
              <w:bottom w:val="single" w:sz="4" w:space="0" w:color="auto"/>
            </w:tcBorders>
          </w:tcPr>
          <w:p w:rsidR="00443EC1" w:rsidRDefault="00443EC1">
            <w:pPr>
              <w:spacing w:before="0" w:after="0" w:line="320" w:lineRule="exact"/>
              <w:jc w:val="center"/>
              <w:rPr>
                <w:rFonts w:hint="cs"/>
                <w:b/>
                <w:szCs w:val="28"/>
                <w:rtl/>
              </w:rPr>
            </w:pPr>
            <w:r>
              <w:rPr>
                <w:rFonts w:hint="cs"/>
                <w:b/>
                <w:szCs w:val="28"/>
                <w:rtl/>
              </w:rPr>
              <w:t>الفتـرة الثالثـة</w:t>
            </w:r>
          </w:p>
          <w:p w:rsidR="00443EC1" w:rsidRDefault="00443EC1">
            <w:pPr>
              <w:spacing w:before="0" w:after="0" w:line="320" w:lineRule="exact"/>
              <w:jc w:val="center"/>
              <w:rPr>
                <w:rFonts w:hint="cs"/>
                <w:b/>
                <w:szCs w:val="28"/>
                <w:rtl/>
              </w:rPr>
            </w:pPr>
            <w:r>
              <w:rPr>
                <w:rFonts w:hint="cs"/>
                <w:b/>
                <w:szCs w:val="28"/>
                <w:rtl/>
              </w:rPr>
              <w:t>2004-2008</w:t>
            </w:r>
          </w:p>
          <w:p w:rsidR="00443EC1" w:rsidRDefault="00443EC1">
            <w:pPr>
              <w:spacing w:before="0" w:after="0" w:line="320" w:lineRule="exact"/>
              <w:jc w:val="center"/>
              <w:rPr>
                <w:rStyle w:val="FootnoteReference"/>
                <w:rFonts w:hint="cs"/>
                <w:b/>
                <w:bCs w:val="0"/>
                <w:vertAlign w:val="baseline"/>
              </w:rPr>
            </w:pPr>
            <w:r>
              <w:rPr>
                <w:rFonts w:hint="cs"/>
                <w:b/>
                <w:szCs w:val="28"/>
                <w:rtl/>
              </w:rPr>
              <w:t>(أربعة أعوام)</w:t>
            </w:r>
          </w:p>
        </w:tc>
      </w:tr>
      <w:tr w:rsidR="00443EC1" w:rsidTr="00443EC1">
        <w:tblPrEx>
          <w:tblCellMar>
            <w:top w:w="0" w:type="dxa"/>
            <w:bottom w:w="0" w:type="dxa"/>
          </w:tblCellMar>
        </w:tblPrEx>
        <w:trPr>
          <w:jc w:val="center"/>
        </w:trPr>
        <w:tc>
          <w:tcPr>
            <w:tcW w:w="3650" w:type="dxa"/>
            <w:tcBorders>
              <w:bottom w:val="nil"/>
            </w:tcBorders>
          </w:tcPr>
          <w:p w:rsidR="00443EC1" w:rsidRDefault="00443EC1">
            <w:pPr>
              <w:spacing w:before="0" w:after="0" w:line="320" w:lineRule="exact"/>
              <w:jc w:val="both"/>
              <w:rPr>
                <w:rFonts w:hint="cs"/>
                <w:b/>
                <w:spacing w:val="0"/>
                <w:szCs w:val="28"/>
                <w:rtl/>
              </w:rPr>
            </w:pPr>
            <w:r>
              <w:rPr>
                <w:rFonts w:hint="cs"/>
                <w:b/>
                <w:spacing w:val="0"/>
                <w:szCs w:val="28"/>
                <w:rtl/>
              </w:rPr>
              <w:t>المنتخبون من الدوائر الجغرافية بالاقتراع المباشر</w:t>
            </w:r>
          </w:p>
        </w:tc>
        <w:tc>
          <w:tcPr>
            <w:tcW w:w="1582" w:type="dxa"/>
            <w:tcBorders>
              <w:bottom w:val="nil"/>
            </w:tcBorders>
          </w:tcPr>
          <w:p w:rsidR="00443EC1" w:rsidRDefault="00443EC1">
            <w:pPr>
              <w:spacing w:before="0" w:after="0" w:line="320" w:lineRule="exact"/>
              <w:jc w:val="center"/>
              <w:rPr>
                <w:rFonts w:hint="cs"/>
                <w:b/>
                <w:szCs w:val="28"/>
                <w:rtl/>
              </w:rPr>
            </w:pPr>
            <w:r>
              <w:rPr>
                <w:rFonts w:hint="cs"/>
                <w:b/>
                <w:szCs w:val="28"/>
                <w:rtl/>
              </w:rPr>
              <w:t>20</w:t>
            </w:r>
          </w:p>
        </w:tc>
        <w:tc>
          <w:tcPr>
            <w:tcW w:w="1695" w:type="dxa"/>
            <w:tcBorders>
              <w:bottom w:val="nil"/>
            </w:tcBorders>
          </w:tcPr>
          <w:p w:rsidR="00443EC1" w:rsidRDefault="00443EC1">
            <w:pPr>
              <w:spacing w:before="0" w:after="0" w:line="320" w:lineRule="exact"/>
              <w:ind w:left="792"/>
              <w:jc w:val="both"/>
              <w:rPr>
                <w:rFonts w:hint="cs"/>
                <w:b/>
                <w:szCs w:val="28"/>
                <w:rtl/>
              </w:rPr>
            </w:pPr>
            <w:r>
              <w:rPr>
                <w:rFonts w:hint="cs"/>
                <w:b/>
                <w:szCs w:val="28"/>
                <w:rtl/>
              </w:rPr>
              <w:t>24</w:t>
            </w:r>
          </w:p>
        </w:tc>
        <w:tc>
          <w:tcPr>
            <w:tcW w:w="1517" w:type="dxa"/>
            <w:tcBorders>
              <w:bottom w:val="nil"/>
            </w:tcBorders>
          </w:tcPr>
          <w:p w:rsidR="00443EC1" w:rsidRDefault="00443EC1">
            <w:pPr>
              <w:spacing w:before="0" w:after="0" w:line="320" w:lineRule="exact"/>
              <w:jc w:val="center"/>
              <w:rPr>
                <w:rFonts w:hint="cs"/>
                <w:b/>
                <w:szCs w:val="28"/>
                <w:rtl/>
              </w:rPr>
            </w:pPr>
            <w:r>
              <w:rPr>
                <w:rFonts w:hint="cs"/>
                <w:b/>
                <w:szCs w:val="28"/>
                <w:rtl/>
              </w:rPr>
              <w:t>30</w:t>
            </w:r>
          </w:p>
        </w:tc>
      </w:tr>
      <w:tr w:rsidR="00443EC1" w:rsidTr="00443EC1">
        <w:tblPrEx>
          <w:tblCellMar>
            <w:top w:w="0" w:type="dxa"/>
            <w:bottom w:w="0" w:type="dxa"/>
          </w:tblCellMar>
        </w:tblPrEx>
        <w:trPr>
          <w:jc w:val="center"/>
        </w:trPr>
        <w:tc>
          <w:tcPr>
            <w:tcW w:w="3650" w:type="dxa"/>
            <w:tcBorders>
              <w:top w:val="nil"/>
              <w:bottom w:val="nil"/>
            </w:tcBorders>
          </w:tcPr>
          <w:p w:rsidR="00443EC1" w:rsidRDefault="00443EC1">
            <w:pPr>
              <w:spacing w:before="0" w:after="0" w:line="320" w:lineRule="exact"/>
              <w:jc w:val="both"/>
              <w:rPr>
                <w:rFonts w:hint="cs"/>
                <w:b/>
                <w:spacing w:val="0"/>
                <w:szCs w:val="28"/>
                <w:rtl/>
              </w:rPr>
            </w:pPr>
            <w:r>
              <w:rPr>
                <w:rFonts w:hint="cs"/>
                <w:b/>
                <w:spacing w:val="0"/>
                <w:szCs w:val="28"/>
                <w:rtl/>
              </w:rPr>
              <w:t>المنتخبون من الدوائر الوظيفية</w:t>
            </w:r>
          </w:p>
        </w:tc>
        <w:tc>
          <w:tcPr>
            <w:tcW w:w="1582" w:type="dxa"/>
            <w:tcBorders>
              <w:top w:val="nil"/>
              <w:bottom w:val="nil"/>
            </w:tcBorders>
          </w:tcPr>
          <w:p w:rsidR="00443EC1" w:rsidRDefault="00443EC1">
            <w:pPr>
              <w:spacing w:before="0" w:after="0" w:line="320" w:lineRule="exact"/>
              <w:jc w:val="center"/>
              <w:rPr>
                <w:rFonts w:hint="cs"/>
                <w:b/>
                <w:szCs w:val="28"/>
                <w:rtl/>
              </w:rPr>
            </w:pPr>
            <w:r>
              <w:rPr>
                <w:rFonts w:hint="cs"/>
                <w:b/>
                <w:szCs w:val="28"/>
                <w:rtl/>
              </w:rPr>
              <w:t>30</w:t>
            </w:r>
          </w:p>
        </w:tc>
        <w:tc>
          <w:tcPr>
            <w:tcW w:w="1695" w:type="dxa"/>
            <w:tcBorders>
              <w:top w:val="nil"/>
              <w:bottom w:val="nil"/>
            </w:tcBorders>
          </w:tcPr>
          <w:p w:rsidR="00443EC1" w:rsidRDefault="00443EC1">
            <w:pPr>
              <w:spacing w:before="0" w:after="0" w:line="320" w:lineRule="exact"/>
              <w:ind w:left="792"/>
              <w:jc w:val="both"/>
              <w:rPr>
                <w:rFonts w:hint="cs"/>
                <w:b/>
                <w:szCs w:val="28"/>
                <w:rtl/>
              </w:rPr>
            </w:pPr>
            <w:r>
              <w:rPr>
                <w:rFonts w:hint="cs"/>
                <w:b/>
                <w:szCs w:val="28"/>
                <w:rtl/>
              </w:rPr>
              <w:t>30</w:t>
            </w:r>
          </w:p>
        </w:tc>
        <w:tc>
          <w:tcPr>
            <w:tcW w:w="1517" w:type="dxa"/>
            <w:tcBorders>
              <w:top w:val="nil"/>
              <w:bottom w:val="nil"/>
            </w:tcBorders>
          </w:tcPr>
          <w:p w:rsidR="00443EC1" w:rsidRDefault="00443EC1">
            <w:pPr>
              <w:spacing w:before="0" w:after="0" w:line="320" w:lineRule="exact"/>
              <w:jc w:val="center"/>
              <w:rPr>
                <w:rFonts w:hint="cs"/>
                <w:b/>
                <w:szCs w:val="28"/>
                <w:rtl/>
              </w:rPr>
            </w:pPr>
            <w:r>
              <w:rPr>
                <w:rFonts w:hint="cs"/>
                <w:b/>
                <w:szCs w:val="28"/>
                <w:rtl/>
              </w:rPr>
              <w:t>30</w:t>
            </w:r>
          </w:p>
        </w:tc>
      </w:tr>
      <w:tr w:rsidR="00443EC1" w:rsidTr="00443EC1">
        <w:tblPrEx>
          <w:tblCellMar>
            <w:top w:w="0" w:type="dxa"/>
            <w:bottom w:w="0" w:type="dxa"/>
          </w:tblCellMar>
        </w:tblPrEx>
        <w:trPr>
          <w:jc w:val="center"/>
        </w:trPr>
        <w:tc>
          <w:tcPr>
            <w:tcW w:w="3650" w:type="dxa"/>
            <w:tcBorders>
              <w:top w:val="nil"/>
            </w:tcBorders>
          </w:tcPr>
          <w:p w:rsidR="00443EC1" w:rsidRDefault="00443EC1">
            <w:pPr>
              <w:spacing w:before="0" w:after="0" w:line="320" w:lineRule="exact"/>
              <w:jc w:val="both"/>
              <w:rPr>
                <w:rFonts w:hint="cs"/>
                <w:b/>
                <w:spacing w:val="0"/>
                <w:szCs w:val="28"/>
                <w:rtl/>
              </w:rPr>
            </w:pPr>
            <w:r>
              <w:rPr>
                <w:rFonts w:hint="cs"/>
                <w:b/>
                <w:spacing w:val="0"/>
                <w:szCs w:val="28"/>
                <w:rtl/>
              </w:rPr>
              <w:t>المنتخبون من لجنة انتخاب</w:t>
            </w:r>
          </w:p>
        </w:tc>
        <w:tc>
          <w:tcPr>
            <w:tcW w:w="1582" w:type="dxa"/>
            <w:tcBorders>
              <w:top w:val="nil"/>
            </w:tcBorders>
          </w:tcPr>
          <w:p w:rsidR="00443EC1" w:rsidRDefault="00443EC1">
            <w:pPr>
              <w:spacing w:before="0" w:after="0" w:line="320" w:lineRule="exact"/>
              <w:jc w:val="center"/>
              <w:rPr>
                <w:rFonts w:hint="cs"/>
                <w:b/>
                <w:szCs w:val="28"/>
                <w:rtl/>
              </w:rPr>
            </w:pPr>
            <w:r>
              <w:rPr>
                <w:rFonts w:hint="cs"/>
                <w:b/>
                <w:szCs w:val="28"/>
                <w:rtl/>
              </w:rPr>
              <w:t>10</w:t>
            </w:r>
          </w:p>
        </w:tc>
        <w:tc>
          <w:tcPr>
            <w:tcW w:w="1695" w:type="dxa"/>
            <w:tcBorders>
              <w:top w:val="nil"/>
            </w:tcBorders>
          </w:tcPr>
          <w:p w:rsidR="00443EC1" w:rsidRDefault="00443EC1">
            <w:pPr>
              <w:spacing w:before="0" w:after="0" w:line="320" w:lineRule="exact"/>
              <w:ind w:left="792"/>
              <w:jc w:val="both"/>
              <w:rPr>
                <w:rFonts w:hint="cs"/>
                <w:b/>
                <w:szCs w:val="28"/>
                <w:rtl/>
              </w:rPr>
            </w:pPr>
            <w:r>
              <w:rPr>
                <w:rFonts w:hint="cs"/>
                <w:b/>
                <w:szCs w:val="28"/>
                <w:rtl/>
              </w:rPr>
              <w:t>6</w:t>
            </w:r>
          </w:p>
        </w:tc>
        <w:tc>
          <w:tcPr>
            <w:tcW w:w="1517" w:type="dxa"/>
            <w:tcBorders>
              <w:top w:val="nil"/>
            </w:tcBorders>
          </w:tcPr>
          <w:p w:rsidR="00443EC1" w:rsidRDefault="00443EC1">
            <w:pPr>
              <w:spacing w:before="0" w:after="0" w:line="320" w:lineRule="exact"/>
              <w:jc w:val="center"/>
              <w:rPr>
                <w:rFonts w:hint="cs"/>
                <w:b/>
                <w:szCs w:val="28"/>
                <w:rtl/>
              </w:rPr>
            </w:pPr>
            <w:r>
              <w:rPr>
                <w:rFonts w:hint="cs"/>
                <w:b/>
                <w:szCs w:val="28"/>
                <w:rtl/>
              </w:rPr>
              <w:t>-</w:t>
            </w:r>
          </w:p>
        </w:tc>
      </w:tr>
      <w:tr w:rsidR="00443EC1" w:rsidTr="00443EC1">
        <w:tblPrEx>
          <w:tblCellMar>
            <w:top w:w="0" w:type="dxa"/>
            <w:bottom w:w="0" w:type="dxa"/>
          </w:tblCellMar>
        </w:tblPrEx>
        <w:trPr>
          <w:jc w:val="center"/>
        </w:trPr>
        <w:tc>
          <w:tcPr>
            <w:tcW w:w="3650" w:type="dxa"/>
          </w:tcPr>
          <w:p w:rsidR="00443EC1" w:rsidRDefault="00443EC1">
            <w:pPr>
              <w:spacing w:before="0" w:after="0" w:line="320" w:lineRule="exact"/>
              <w:jc w:val="both"/>
              <w:rPr>
                <w:rFonts w:hint="cs"/>
                <w:b/>
                <w:spacing w:val="0"/>
                <w:szCs w:val="28"/>
                <w:rtl/>
              </w:rPr>
            </w:pPr>
            <w:r>
              <w:rPr>
                <w:b/>
                <w:spacing w:val="0"/>
                <w:szCs w:val="28"/>
                <w:rtl/>
              </w:rPr>
              <w:tab/>
            </w:r>
            <w:r>
              <w:rPr>
                <w:rFonts w:hint="cs"/>
                <w:b/>
                <w:spacing w:val="0"/>
                <w:szCs w:val="28"/>
                <w:rtl/>
              </w:rPr>
              <w:t>المجموع</w:t>
            </w:r>
          </w:p>
        </w:tc>
        <w:tc>
          <w:tcPr>
            <w:tcW w:w="1582" w:type="dxa"/>
          </w:tcPr>
          <w:p w:rsidR="00443EC1" w:rsidRDefault="00443EC1">
            <w:pPr>
              <w:spacing w:before="0" w:after="0" w:line="320" w:lineRule="exact"/>
              <w:jc w:val="center"/>
              <w:rPr>
                <w:rFonts w:hint="cs"/>
                <w:b/>
                <w:szCs w:val="28"/>
                <w:rtl/>
              </w:rPr>
            </w:pPr>
            <w:r>
              <w:rPr>
                <w:rFonts w:hint="cs"/>
                <w:b/>
                <w:szCs w:val="28"/>
                <w:rtl/>
              </w:rPr>
              <w:t>60</w:t>
            </w:r>
          </w:p>
        </w:tc>
        <w:tc>
          <w:tcPr>
            <w:tcW w:w="1695" w:type="dxa"/>
          </w:tcPr>
          <w:p w:rsidR="00443EC1" w:rsidRDefault="00443EC1">
            <w:pPr>
              <w:spacing w:before="0" w:after="0" w:line="320" w:lineRule="exact"/>
              <w:ind w:left="792"/>
              <w:jc w:val="both"/>
              <w:rPr>
                <w:rFonts w:hint="cs"/>
                <w:b/>
                <w:szCs w:val="28"/>
                <w:rtl/>
              </w:rPr>
            </w:pPr>
            <w:r>
              <w:rPr>
                <w:rFonts w:hint="cs"/>
                <w:b/>
                <w:szCs w:val="28"/>
                <w:rtl/>
              </w:rPr>
              <w:t>60</w:t>
            </w:r>
          </w:p>
        </w:tc>
        <w:tc>
          <w:tcPr>
            <w:tcW w:w="1517" w:type="dxa"/>
          </w:tcPr>
          <w:p w:rsidR="00443EC1" w:rsidRDefault="00443EC1">
            <w:pPr>
              <w:spacing w:before="0" w:after="0" w:line="320" w:lineRule="exact"/>
              <w:jc w:val="center"/>
              <w:rPr>
                <w:rFonts w:hint="cs"/>
                <w:b/>
                <w:szCs w:val="28"/>
                <w:rtl/>
              </w:rPr>
            </w:pPr>
            <w:r>
              <w:rPr>
                <w:rFonts w:hint="cs"/>
                <w:b/>
                <w:szCs w:val="28"/>
                <w:rtl/>
              </w:rPr>
              <w:t>60</w:t>
            </w:r>
          </w:p>
        </w:tc>
      </w:tr>
    </w:tbl>
    <w:p w:rsidR="00000000" w:rsidRDefault="00443EC1">
      <w:pPr>
        <w:spacing w:line="380" w:lineRule="exact"/>
        <w:jc w:val="both"/>
        <w:rPr>
          <w:rFonts w:hint="cs"/>
          <w:b/>
          <w:spacing w:val="0"/>
          <w:rtl/>
        </w:rPr>
      </w:pPr>
      <w:r>
        <w:rPr>
          <w:rFonts w:hint="cs"/>
          <w:b/>
          <w:rtl/>
        </w:rPr>
        <w:t>300-</w:t>
      </w:r>
      <w:r>
        <w:rPr>
          <w:rFonts w:hint="cs"/>
          <w:b/>
          <w:spacing w:val="0"/>
          <w:rtl/>
        </w:rPr>
        <w:tab/>
        <w:t>وقد أجريت انتخابات المجلس التشريعي الثاني في 10 أيلول/سبتمبر 2000. وبلغت معدلات المشاركة بالنسبة للدا</w:t>
      </w:r>
      <w:r>
        <w:rPr>
          <w:rFonts w:hint="cs"/>
          <w:b/>
          <w:spacing w:val="0"/>
          <w:rtl/>
        </w:rPr>
        <w:t>ئرة الجغرافية والدائرة الوظيفية ولجنة الانتخاب في الانتخابات 43.57 في المائة و56.5 في المائة و95.53 في المائة على التوالي. واضطلع المجلس التشريعي الحالي (الولاية الثانية) بمهامه في 1 تشرين الأول/أكتوبر 2000.</w:t>
      </w:r>
    </w:p>
    <w:p w:rsidR="00000000" w:rsidRDefault="00443EC1">
      <w:pPr>
        <w:spacing w:line="380" w:lineRule="exact"/>
        <w:jc w:val="both"/>
        <w:rPr>
          <w:rFonts w:hint="cs"/>
          <w:b/>
          <w:rtl/>
        </w:rPr>
      </w:pPr>
      <w:r>
        <w:rPr>
          <w:rFonts w:hint="cs"/>
          <w:b/>
          <w:rtl/>
        </w:rPr>
        <w:t>301-</w:t>
      </w:r>
      <w:r>
        <w:rPr>
          <w:rFonts w:hint="cs"/>
          <w:b/>
          <w:rtl/>
        </w:rPr>
        <w:tab/>
        <w:t xml:space="preserve">وينص المرفق الثاني للقانون الأساسي على أنه </w:t>
      </w:r>
      <w:r>
        <w:rPr>
          <w:rFonts w:hint="cs"/>
          <w:b/>
          <w:rtl/>
        </w:rPr>
        <w:t>يجوز إدخال تعديلات على طريقة تشكيل المجلس التشريعي بعد عام 2007 بأغلبية ثلثي مجموع أعضاء المجلس وبموافقة الرئيس التنفيذي. وينبغي إبلاغ اللجنة الدائمة للمجلس الوطني الشعبي بأي تعديلات من هذا القبيل لإدراجها في السجلات.</w:t>
      </w:r>
    </w:p>
    <w:p w:rsidR="00000000" w:rsidRDefault="00443EC1">
      <w:pPr>
        <w:spacing w:line="380" w:lineRule="exact"/>
        <w:jc w:val="both"/>
        <w:rPr>
          <w:rFonts w:hint="cs"/>
          <w:b/>
          <w:spacing w:val="0"/>
          <w:rtl/>
        </w:rPr>
      </w:pPr>
      <w:r>
        <w:rPr>
          <w:rFonts w:hint="cs"/>
          <w:b/>
          <w:rtl/>
        </w:rPr>
        <w:t>302-</w:t>
      </w:r>
      <w:r>
        <w:rPr>
          <w:rFonts w:hint="cs"/>
          <w:b/>
          <w:rtl/>
        </w:rPr>
        <w:tab/>
      </w:r>
      <w:r>
        <w:rPr>
          <w:rFonts w:hint="cs"/>
          <w:b/>
          <w:spacing w:val="0"/>
          <w:rtl/>
        </w:rPr>
        <w:t>وتحدد المادة 73 من القانون الأساس</w:t>
      </w:r>
      <w:r>
        <w:rPr>
          <w:rFonts w:hint="cs"/>
          <w:b/>
          <w:spacing w:val="0"/>
          <w:rtl/>
        </w:rPr>
        <w:t>ي صلاحيات ووظائف المجلس التشريعي. وهي تشمل سن القوانين وتعديلها أو إلغاءها وفقاً لأحكام القانون الأساسي والإجراءات القانونية؛ ودراسة الميزانيات التي تقدمها الحكومة وإقرارها؛ والموافقة على الضرائب والنفقات العامة؛ وتلقي بيانات السياسة العامة من الرئيس التنف</w:t>
      </w:r>
      <w:r>
        <w:rPr>
          <w:rFonts w:hint="cs"/>
          <w:b/>
          <w:spacing w:val="0"/>
          <w:rtl/>
        </w:rPr>
        <w:t>يذي ومناقشتها؛ وطرح المسائل المتعلقة بعمل الحكومة؛ ومناقشة أي قضية تخص المصلحة العامة؛ وإقرار تعيين قضاة محكمة الاستئناف النهائي وكبير قضاة المحكمة العليا وعزلهم؛ وتلقي الشكاوى من السكان المقيمين في هونغ كونغ والبت فيها.</w:t>
      </w:r>
    </w:p>
    <w:p w:rsidR="00000000" w:rsidRDefault="00443EC1">
      <w:pPr>
        <w:spacing w:line="380" w:lineRule="exact"/>
        <w:jc w:val="both"/>
        <w:rPr>
          <w:rFonts w:hint="cs"/>
          <w:rtl/>
        </w:rPr>
      </w:pPr>
      <w:r>
        <w:rPr>
          <w:rFonts w:hint="cs"/>
          <w:b/>
          <w:rtl/>
        </w:rPr>
        <w:tab/>
      </w:r>
      <w:r>
        <w:rPr>
          <w:rFonts w:hint="cs"/>
          <w:b/>
          <w:bCs/>
          <w:rtl/>
        </w:rPr>
        <w:t>المجالس المحلية</w:t>
      </w:r>
    </w:p>
    <w:p w:rsidR="00000000" w:rsidRDefault="00443EC1">
      <w:pPr>
        <w:spacing w:line="380" w:lineRule="exact"/>
        <w:jc w:val="both"/>
        <w:rPr>
          <w:rFonts w:hint="cs"/>
          <w:rtl/>
        </w:rPr>
      </w:pPr>
      <w:r>
        <w:rPr>
          <w:rFonts w:hint="cs"/>
          <w:rtl/>
        </w:rPr>
        <w:t>303-</w:t>
      </w:r>
      <w:r>
        <w:rPr>
          <w:rFonts w:hint="cs"/>
          <w:rtl/>
        </w:rPr>
        <w:tab/>
        <w:t>أُجريت أولى ا</w:t>
      </w:r>
      <w:r>
        <w:rPr>
          <w:rFonts w:hint="cs"/>
          <w:rtl/>
        </w:rPr>
        <w:t xml:space="preserve">نتخابات المجالس المحلية في 28 تشرين الثاني/نوفمبر 1999. وبلغ معدل المشاركة الإجمالي في هذه الانتخابات 35.82 في المائة. وقد أُنشئ 18 مجلساً محلياً في 1 كانون الثاني/يناير 2000 بموجب قانون المجالس المحلية. وتسدي هذه المجالس المحلية المشورة لحكومة منطقة هونغ </w:t>
      </w:r>
      <w:r>
        <w:rPr>
          <w:rFonts w:hint="cs"/>
          <w:rtl/>
        </w:rPr>
        <w:t>كونغ الإدارية الخاصة فيما يتعلق بالشؤون المحلية وتشجع على إقامة الأنشطة الترفيهية والثقافية وعلى إدخال التحسينات البيئية في دوائرها. وتتألف المجالس المحلية من أعضاء منتخبين وآخرين معينين. وفضلاً عن ذلك، يكون رؤساء اللجان الريفية المحلية أعضاءً في المجالس ا</w:t>
      </w:r>
      <w:r>
        <w:rPr>
          <w:rFonts w:hint="cs"/>
          <w:rtl/>
        </w:rPr>
        <w:t>لمحلية بالأرياف بحكم منصبهم. وتقسم منطقة هونغ كونغ الإدارية الخاصة إلى 390 دائرة، لكل واحدة منها عضو منتخب. وتضم المجالس 102 من الأعضاء المعينين و27 عضواً بحكم منصبهم.</w:t>
      </w:r>
    </w:p>
    <w:p w:rsidR="00000000" w:rsidRDefault="00443EC1">
      <w:pPr>
        <w:spacing w:line="380" w:lineRule="exact"/>
        <w:jc w:val="both"/>
        <w:rPr>
          <w:rFonts w:hint="cs"/>
          <w:rtl/>
        </w:rPr>
      </w:pPr>
      <w:r>
        <w:rPr>
          <w:rFonts w:hint="cs"/>
          <w:rtl/>
        </w:rPr>
        <w:t>304-</w:t>
      </w:r>
      <w:r>
        <w:rPr>
          <w:rFonts w:hint="cs"/>
          <w:rtl/>
        </w:rPr>
        <w:tab/>
        <w:t>ووفقاً للاستعراض الذي أُجري في عام 2001 للمجالس المحلية، نفذت الإدارة التوصيات الرا</w:t>
      </w:r>
      <w:r>
        <w:rPr>
          <w:rFonts w:hint="cs"/>
          <w:rtl/>
        </w:rPr>
        <w:t>مية إلى تعزيز كل من دور المجالس المحلية ومهامها بوصفها جهات هامة تقدم المشورة إلى الحكومة في الشؤون المحلية ولأنها تملك قدرة التأثير على توفير الخدمات والتسهيلات المحلية وتقديمها وإدارتها. ويساعد ذلك في ضمان مساءلة الحكومة وتلبيتها لاحتياجات المجتمع المحلي</w:t>
      </w:r>
      <w:r>
        <w:rPr>
          <w:rFonts w:hint="cs"/>
          <w:rtl/>
        </w:rPr>
        <w:t xml:space="preserve"> المتغيرة.</w:t>
      </w:r>
    </w:p>
    <w:p w:rsidR="00000000" w:rsidRDefault="00443EC1">
      <w:pPr>
        <w:spacing w:line="380" w:lineRule="exact"/>
        <w:jc w:val="both"/>
        <w:rPr>
          <w:rFonts w:hint="cs"/>
          <w:b/>
          <w:bCs/>
          <w:rtl/>
        </w:rPr>
      </w:pPr>
      <w:r>
        <w:rPr>
          <w:rFonts w:hint="cs"/>
          <w:rtl/>
        </w:rPr>
        <w:tab/>
      </w:r>
      <w:r>
        <w:rPr>
          <w:rFonts w:hint="cs"/>
          <w:b/>
          <w:bCs/>
          <w:rtl/>
        </w:rPr>
        <w:t>إلغاء المجالس البلدية</w:t>
      </w:r>
    </w:p>
    <w:p w:rsidR="00000000" w:rsidRDefault="00443EC1">
      <w:pPr>
        <w:spacing w:line="380" w:lineRule="exact"/>
        <w:jc w:val="both"/>
        <w:rPr>
          <w:rFonts w:hint="cs"/>
          <w:rtl/>
        </w:rPr>
      </w:pPr>
      <w:r>
        <w:rPr>
          <w:rFonts w:hint="cs"/>
          <w:rtl/>
        </w:rPr>
        <w:t>305-</w:t>
      </w:r>
      <w:r>
        <w:rPr>
          <w:rFonts w:hint="cs"/>
          <w:rtl/>
        </w:rPr>
        <w:tab/>
        <w:t>حُل المجلسان البلديان المؤقتان بعد انتهاء مدة ولاية الأعضاء في 31 كانون الأول/ديسمبر 1999، عملاً بقانون توفير الخدمات البلدية (إعادة التنظيم)، الذي أصدره المجلس التشريعي في كانون الأول/ديسمبر 1999. وبغية الارتقاء بمست</w:t>
      </w:r>
      <w:r>
        <w:rPr>
          <w:rFonts w:hint="cs"/>
          <w:rtl/>
        </w:rPr>
        <w:t>وى التنسيق والكفاءة، أنشأت الحكومة وكالات متخصصة جديدة تتولى مسؤولية سلامة الأغذية ونظافة البيئة وتوفير الخدمات الترفيهية والثقافية اعتباراً من كانون الثاني/يناير 2000.</w:t>
      </w:r>
    </w:p>
    <w:p w:rsidR="00000000" w:rsidRDefault="00443EC1">
      <w:pPr>
        <w:spacing w:line="380" w:lineRule="exact"/>
        <w:jc w:val="both"/>
        <w:rPr>
          <w:rFonts w:hint="cs"/>
          <w:rtl/>
        </w:rPr>
      </w:pPr>
      <w:r>
        <w:rPr>
          <w:rFonts w:hint="cs"/>
          <w:rtl/>
        </w:rPr>
        <w:t>306-</w:t>
      </w:r>
      <w:r>
        <w:rPr>
          <w:rFonts w:hint="cs"/>
          <w:rtl/>
        </w:rPr>
        <w:tab/>
        <w:t>وقررت المحكمة العليا، في استعراضٍ قضائي لقانون توفير الخدمات البلدية (إعادة التنظي</w:t>
      </w:r>
      <w:r>
        <w:rPr>
          <w:rFonts w:hint="cs"/>
          <w:rtl/>
        </w:rPr>
        <w:t>م)، أن هذا القانون يتماشى مع القانون الأساسي ومع العهد الدولي الخاص بالحقوق المدنية والسياسية كما هو مطبق على منطقة هونغ كونغ الإدارية الخاصة.</w:t>
      </w:r>
    </w:p>
    <w:p w:rsidR="00000000" w:rsidRDefault="00443EC1">
      <w:pPr>
        <w:spacing w:line="380" w:lineRule="exact"/>
        <w:jc w:val="both"/>
        <w:rPr>
          <w:rFonts w:hint="cs"/>
          <w:b/>
          <w:bCs/>
          <w:rtl/>
        </w:rPr>
      </w:pPr>
      <w:r>
        <w:rPr>
          <w:rFonts w:hint="cs"/>
          <w:b/>
          <w:bCs/>
          <w:rtl/>
        </w:rPr>
        <w:t>هيكل الإدارة</w:t>
      </w:r>
    </w:p>
    <w:p w:rsidR="00000000" w:rsidRDefault="00443EC1">
      <w:pPr>
        <w:spacing w:line="380" w:lineRule="exact"/>
        <w:jc w:val="both"/>
        <w:rPr>
          <w:rFonts w:hint="cs"/>
          <w:rtl/>
        </w:rPr>
      </w:pPr>
      <w:r>
        <w:rPr>
          <w:rFonts w:hint="cs"/>
          <w:rtl/>
        </w:rPr>
        <w:t>307-</w:t>
      </w:r>
      <w:r>
        <w:rPr>
          <w:rFonts w:hint="cs"/>
          <w:rtl/>
        </w:rPr>
        <w:tab/>
        <w:t>الرئيس التنفيذي هو رئيس حكومة منطقة هونغ كونغ الإدارية الخاصة. وإذا عجز الرئيس التنفيذي عن الاض</w:t>
      </w:r>
      <w:r>
        <w:rPr>
          <w:rFonts w:hint="cs"/>
          <w:rtl/>
        </w:rPr>
        <w:t xml:space="preserve">طلاع بمهامه لفترةٍ قصيرة، يضطلع بها مؤقتاً وزير شؤون الإدارة أو وزير المالية أو وزير العدل وفقاً لهذا الترتيب. وتتألف حكومة منطقة هونغ كونغ الإدارية الخاصة من وزارة شؤون الإدارة ووزارة المالية ووزارة العدل ومن مكاتب وشعب ولجان مختلفة. </w:t>
      </w:r>
    </w:p>
    <w:p w:rsidR="00000000" w:rsidRDefault="00443EC1">
      <w:pPr>
        <w:spacing w:line="380" w:lineRule="exact"/>
        <w:jc w:val="both"/>
        <w:rPr>
          <w:rFonts w:hint="cs"/>
          <w:rtl/>
        </w:rPr>
      </w:pPr>
      <w:r>
        <w:rPr>
          <w:rFonts w:hint="cs"/>
          <w:rtl/>
        </w:rPr>
        <w:t>308-</w:t>
      </w:r>
      <w:r>
        <w:rPr>
          <w:rFonts w:hint="cs"/>
          <w:rtl/>
        </w:rPr>
        <w:tab/>
        <w:t>ويوجد حالياً 11</w:t>
      </w:r>
      <w:r>
        <w:rPr>
          <w:rFonts w:hint="cs"/>
          <w:rtl/>
        </w:rPr>
        <w:t xml:space="preserve"> مكتباً يرأس كلاً منها مدير مكتب وتشكل مجتمعةً أمانة الحكومة. ورؤساء الإدارات الحكومية مسؤولون تجاه أمناء الوزارات ومدبري المكاتب، ما عدا في استثناءين محددين. وهذان الاسثناءان هما مفوض اللجنة المستقلة لمحاربة الفساد ومدير مكتب مراجعة الحسابات، اللذان يعملا</w:t>
      </w:r>
      <w:r>
        <w:rPr>
          <w:rFonts w:hint="cs"/>
          <w:rtl/>
        </w:rPr>
        <w:t>ن بصورةٍ مستقلة ويكونان مسؤولين تجاه الرئيس التنفيذي.</w:t>
      </w:r>
    </w:p>
    <w:p w:rsidR="00000000" w:rsidRDefault="00443EC1">
      <w:pPr>
        <w:spacing w:line="380" w:lineRule="exact"/>
        <w:jc w:val="both"/>
        <w:rPr>
          <w:rFonts w:hint="cs"/>
          <w:rtl/>
        </w:rPr>
      </w:pPr>
      <w:r>
        <w:rPr>
          <w:rFonts w:hint="cs"/>
          <w:rtl/>
        </w:rPr>
        <w:t>309-</w:t>
      </w:r>
      <w:r>
        <w:rPr>
          <w:rFonts w:hint="cs"/>
          <w:rtl/>
        </w:rPr>
        <w:tab/>
        <w:t xml:space="preserve">وإثر تنفيذ نظام المساءلة الجديد للموظفين الرئيسيين، لم يعد وزير شؤون الإدارة ووزير المالية ووزير العدل و11 مديراً من مديري المكاتب يعتبرون موظفين مدنيين، بل أصبحوا مسؤولين بصورة مباشرة تجاه الرئيس </w:t>
      </w:r>
      <w:r>
        <w:rPr>
          <w:rFonts w:hint="cs"/>
          <w:rtl/>
        </w:rPr>
        <w:t>التنفيذي ويخضعون للمساءلة من قِبله عن نجاحهم أو فشلهم في أداء المهام التي تشتمل عليها الحقائب المسندة إليهم. وهم يعينون في المجلس التنفيذي. ويقومون، بالتعاون مع خمسة أعضاء غير رسميين من أعضاء المجلس التنفيذي، بمساعدة الرئيس التنفيذي في رسم السياسات. ووفقاً</w:t>
      </w:r>
      <w:r>
        <w:rPr>
          <w:rFonts w:hint="cs"/>
          <w:rtl/>
        </w:rPr>
        <w:t xml:space="preserve"> لنظام المساءلة الجديد، تبقى الخدمة المدنية دائمة وتستند إلى معيار الجدارة وتتصف بالمهنية والحياد السياسي.</w:t>
      </w:r>
    </w:p>
    <w:p w:rsidR="00000000" w:rsidRDefault="00443EC1">
      <w:pPr>
        <w:spacing w:line="380" w:lineRule="exact"/>
        <w:jc w:val="both"/>
        <w:rPr>
          <w:rFonts w:hint="cs"/>
          <w:rtl/>
        </w:rPr>
      </w:pPr>
      <w:r>
        <w:rPr>
          <w:rFonts w:hint="cs"/>
          <w:b/>
          <w:bCs/>
          <w:rtl/>
        </w:rPr>
        <w:t>النظام القضائي لمنطقة هونغ كونغ الإدارية الخاصة</w:t>
      </w:r>
    </w:p>
    <w:p w:rsidR="00000000" w:rsidRDefault="00443EC1">
      <w:pPr>
        <w:spacing w:line="380" w:lineRule="exact"/>
        <w:jc w:val="both"/>
        <w:rPr>
          <w:rFonts w:hint="cs"/>
          <w:rtl/>
        </w:rPr>
      </w:pPr>
      <w:r>
        <w:rPr>
          <w:rFonts w:hint="cs"/>
          <w:rtl/>
        </w:rPr>
        <w:t>310-</w:t>
      </w:r>
      <w:r>
        <w:rPr>
          <w:rFonts w:hint="cs"/>
          <w:rtl/>
        </w:rPr>
        <w:tab/>
        <w:t>يستند النظام القانوني استناداً راسخاً إلى سيادة القانون، وإلى سلطة قضائية مستقلة عن السلطتين الت</w:t>
      </w:r>
      <w:r>
        <w:rPr>
          <w:rFonts w:hint="cs"/>
          <w:rtl/>
        </w:rPr>
        <w:t>نفيذية والتشريعية.</w:t>
      </w:r>
    </w:p>
    <w:p w:rsidR="00000000" w:rsidRDefault="00443EC1">
      <w:pPr>
        <w:spacing w:line="380" w:lineRule="exact"/>
        <w:jc w:val="both"/>
        <w:rPr>
          <w:rFonts w:hint="cs"/>
          <w:rtl/>
        </w:rPr>
      </w:pPr>
      <w:r>
        <w:rPr>
          <w:rFonts w:hint="cs"/>
          <w:rtl/>
        </w:rPr>
        <w:t>311-</w:t>
      </w:r>
      <w:r>
        <w:rPr>
          <w:rFonts w:hint="cs"/>
          <w:rtl/>
        </w:rPr>
        <w:tab/>
        <w:t>وتنص المادة 19 من القانون الأساسي على منح منطقة هونغ كونغ الإدارية الخاصة سلطة قضائية مستقلة، بما فيها سلطة إصدار الأحكام النهائية. وتتمتع محاكم المنطقة باختصاص في جميع الدعاوى في المنطقة، ولكن تبقى القيود التي يفرضها على اختصاصها ا</w:t>
      </w:r>
      <w:r>
        <w:rPr>
          <w:rFonts w:hint="cs"/>
          <w:rtl/>
        </w:rPr>
        <w:t>لنظام القانوني والمبادئ التي كانت سارية المفعول سابقاً في هونغ كونغ. ولا تتمتع محاكم المنطقة باختصاص فيما يتعلق بأفعال الدولة مثل الدفاع والشؤون الخارجية. وتحصل محاكم المنطقة على أمر من الرئيس التنفيذي بشأن المسائل التي تتعلق بأفعال الدولة مثل الدفاع والشؤ</w:t>
      </w:r>
      <w:r>
        <w:rPr>
          <w:rFonts w:hint="cs"/>
          <w:rtl/>
        </w:rPr>
        <w:t>ون الخارجية متى ظهرت هذه المسائل أثناء البت في القضايا. ويكون هذا الأمر ملزماً للمحاكم. وقبل أن يصدر الرئيس التنفيذي هذا الأمر، يحصل على تخويلٍ بذلك من الحكومة المركزية.</w:t>
      </w:r>
    </w:p>
    <w:p w:rsidR="00000000" w:rsidRDefault="00443EC1">
      <w:pPr>
        <w:spacing w:line="380" w:lineRule="exact"/>
        <w:jc w:val="both"/>
        <w:rPr>
          <w:rFonts w:hint="cs"/>
          <w:rtl/>
        </w:rPr>
      </w:pPr>
      <w:r>
        <w:rPr>
          <w:rFonts w:hint="cs"/>
          <w:rtl/>
        </w:rPr>
        <w:t>312-</w:t>
      </w:r>
      <w:r>
        <w:rPr>
          <w:rFonts w:hint="cs"/>
          <w:rtl/>
        </w:rPr>
        <w:tab/>
        <w:t>وتضم المحاكم القضائية محكمة الاستئناف النهائي والمحكمة العليا (التي تضم محكمة الا</w:t>
      </w:r>
      <w:r>
        <w:rPr>
          <w:rFonts w:hint="cs"/>
          <w:rtl/>
        </w:rPr>
        <w:t>ستئناف ومحكمة البداية) والمحكمة المحلية ومحكمة الصلح ومحكمة الأراضي ومحكمة العمل ومحكمة الشكاوى الصغيرة ومحكمة المواد البذيئة  ومحكمة قاضي الوفيات. وتنظر المحاكم وتفصل في جميع المحاكمات الجنائية والمنازعات المدنية، سواء أحصلت بين الأفراد أم بين الأفراد وحك</w:t>
      </w:r>
      <w:r>
        <w:rPr>
          <w:rFonts w:hint="cs"/>
          <w:rtl/>
        </w:rPr>
        <w:t xml:space="preserve">ومة "المنطقة". </w:t>
      </w:r>
    </w:p>
    <w:p w:rsidR="00000000" w:rsidRDefault="00443EC1">
      <w:pPr>
        <w:spacing w:line="380" w:lineRule="exact"/>
        <w:jc w:val="both"/>
        <w:rPr>
          <w:rFonts w:hint="cs"/>
          <w:rtl/>
        </w:rPr>
      </w:pPr>
      <w:r>
        <w:rPr>
          <w:rFonts w:hint="cs"/>
          <w:rtl/>
        </w:rPr>
        <w:t>313-</w:t>
      </w:r>
      <w:r>
        <w:rPr>
          <w:rFonts w:hint="cs"/>
          <w:rtl/>
        </w:rPr>
        <w:tab/>
        <w:t>وتنص المادة 82 من القانون الأساسي أيضاً على أن تناط سلطة إصدار الأحكام النهائية في منطقة هونغ كونغ الإدارية الخاصة بمحكمة الاستئناف العليا في المنطقة، التي يجوز لها، عند الاقتضاء، دعوة قضاة من اختصاصات أخرى في القانون العام للانضمام إل</w:t>
      </w:r>
      <w:r>
        <w:rPr>
          <w:rFonts w:hint="cs"/>
          <w:rtl/>
        </w:rPr>
        <w:t xml:space="preserve">ى محكمة الاستئناف النهائي. كما تنص المادة 83 على أن القانون يحدد بنية وصلاحيات ووظائف المحاكم في منطقة هونغ كونغ الإدارية الخاصة على جميع المستويات. </w:t>
      </w:r>
    </w:p>
    <w:p w:rsidR="00000000" w:rsidRDefault="00443EC1">
      <w:pPr>
        <w:spacing w:line="380" w:lineRule="exact"/>
        <w:jc w:val="both"/>
        <w:rPr>
          <w:rFonts w:hint="cs"/>
          <w:rtl/>
        </w:rPr>
      </w:pPr>
      <w:r>
        <w:rPr>
          <w:rFonts w:hint="cs"/>
          <w:rtl/>
        </w:rPr>
        <w:t>314-</w:t>
      </w:r>
      <w:r>
        <w:rPr>
          <w:rFonts w:hint="cs"/>
          <w:rtl/>
        </w:rPr>
        <w:tab/>
        <w:t>ويجب أن يتمتع القضاة والمسؤولين القضائيين بالكفاءة كممارسين قانونيين في هونغ كونغ أو باختصاص في القان</w:t>
      </w:r>
      <w:r>
        <w:rPr>
          <w:rFonts w:hint="cs"/>
          <w:rtl/>
        </w:rPr>
        <w:t>ون العام وأن تتوفر لديهم خبرة مهنية واسعة. وتنص المادة 88 من القانون الأساسي على "أن يعين الرئيس التنفيذي قضاة المحاكم في منطقة هونغ كونغ الإدارية الخاصة بناءً على توصية لجنة مستقلة تتألف من قضاة محليين وأشخاص يمارسون المحاماة وشخصيات مرموقة تعمل في قطاعات</w:t>
      </w:r>
      <w:r>
        <w:rPr>
          <w:rFonts w:hint="cs"/>
          <w:rtl/>
        </w:rPr>
        <w:t xml:space="preserve"> أخرى".</w:t>
      </w:r>
    </w:p>
    <w:p w:rsidR="00000000" w:rsidRDefault="00443EC1">
      <w:pPr>
        <w:spacing w:line="380" w:lineRule="exact"/>
        <w:jc w:val="both"/>
        <w:rPr>
          <w:rFonts w:hint="cs"/>
          <w:rtl/>
        </w:rPr>
      </w:pPr>
      <w:r>
        <w:rPr>
          <w:rFonts w:hint="cs"/>
          <w:rtl/>
        </w:rPr>
        <w:t>315-</w:t>
      </w:r>
      <w:r>
        <w:rPr>
          <w:rFonts w:hint="cs"/>
          <w:rtl/>
        </w:rPr>
        <w:tab/>
        <w:t xml:space="preserve">ويضمن للقضاة أمنهم الوظيفي. إذ تنص المادة 89 من القانون الأساسي على أنه "لا يجوز للرئيس التنفيذي أن يعزل أي قاضٍ من قضاة المحاكم في منطقة هونغ كونغ الإدارية الخاصة إلا لعجزه عن الاضطلاع بواجباته أو لإساءته التصرف والسلوك، وذلك بناءً على توصية </w:t>
      </w:r>
      <w:r>
        <w:rPr>
          <w:rFonts w:hint="cs"/>
          <w:rtl/>
        </w:rPr>
        <w:t xml:space="preserve">من محكمةٍ يعينها كبير قضاة محكمة الاستئناف النهائي وتضم ثلاثة قضاة محليين على الأقل. ولا يجوز التحقيق مع كبير قضاة محكمة الاستئناف النهائي في منطقة هونغ كونغ الإدارية الخاصة إلا في حالة عجزه عن الاضطلاع بواجباته أو إساءة التصرف والسلوك، وتتولى التحقيق معه </w:t>
      </w:r>
      <w:r>
        <w:rPr>
          <w:rFonts w:hint="cs"/>
          <w:rtl/>
        </w:rPr>
        <w:t>محكمة يعينها الرئيس التنفيذي وتتألف من خمسة قضاة محليين على الأقل ويجوز للرئيس التنفيذي أن يعزله بناءً على توصية من المحكمة وطبقاً للإجراءات الواردة في هذا القانون".</w:t>
      </w:r>
    </w:p>
    <w:p w:rsidR="00000000" w:rsidRDefault="00443EC1">
      <w:pPr>
        <w:spacing w:line="380" w:lineRule="exact"/>
        <w:jc w:val="center"/>
        <w:rPr>
          <w:rFonts w:hint="cs"/>
          <w:sz w:val="38"/>
          <w:szCs w:val="36"/>
          <w:rtl/>
        </w:rPr>
      </w:pPr>
      <w:r>
        <w:rPr>
          <w:rFonts w:hint="cs"/>
          <w:b/>
          <w:bCs/>
          <w:sz w:val="38"/>
          <w:szCs w:val="36"/>
          <w:rtl/>
        </w:rPr>
        <w:t>ثالثاً - الإطار القانوني العام لحماية حقوق الإنسان</w:t>
      </w:r>
    </w:p>
    <w:p w:rsidR="00000000" w:rsidRDefault="00443EC1">
      <w:pPr>
        <w:spacing w:line="380" w:lineRule="exact"/>
        <w:jc w:val="both"/>
        <w:rPr>
          <w:rFonts w:hint="cs"/>
          <w:b/>
          <w:bCs/>
          <w:rtl/>
        </w:rPr>
      </w:pPr>
      <w:r>
        <w:rPr>
          <w:rFonts w:hint="cs"/>
          <w:b/>
          <w:bCs/>
          <w:rtl/>
        </w:rPr>
        <w:t>حكم القانون</w:t>
      </w:r>
    </w:p>
    <w:p w:rsidR="00000000" w:rsidRDefault="00443EC1">
      <w:pPr>
        <w:spacing w:line="380" w:lineRule="exact"/>
        <w:jc w:val="both"/>
        <w:rPr>
          <w:rFonts w:hint="cs"/>
          <w:rtl/>
        </w:rPr>
      </w:pPr>
      <w:r>
        <w:rPr>
          <w:rFonts w:hint="cs"/>
          <w:rtl/>
        </w:rPr>
        <w:t>316-</w:t>
      </w:r>
      <w:r>
        <w:rPr>
          <w:rFonts w:hint="cs"/>
          <w:rtl/>
        </w:rPr>
        <w:tab/>
        <w:t>إن الأساس الهام لحماية</w:t>
      </w:r>
      <w:r>
        <w:rPr>
          <w:rFonts w:hint="cs"/>
          <w:rtl/>
        </w:rPr>
        <w:t xml:space="preserve"> حقوق الإنسان هو حكم القانون الذي يصونه جهاز قضائي مستقل (انظر الفقرات 311 إلى 315 أعلاه). والمبادئ التي يرتكز إليها حكم القانون هي:</w:t>
      </w:r>
    </w:p>
    <w:p w:rsidR="00000000" w:rsidRDefault="00443EC1">
      <w:pPr>
        <w:spacing w:line="380" w:lineRule="exact"/>
        <w:jc w:val="both"/>
        <w:rPr>
          <w:rFonts w:hint="cs"/>
          <w:rtl/>
        </w:rPr>
      </w:pPr>
      <w:r>
        <w:rPr>
          <w:rFonts w:hint="cs"/>
          <w:rtl/>
        </w:rPr>
        <w:tab/>
        <w:t>(أ)</w:t>
      </w:r>
      <w:r>
        <w:rPr>
          <w:rFonts w:hint="cs"/>
          <w:rtl/>
        </w:rPr>
        <w:tab/>
      </w:r>
      <w:r>
        <w:rPr>
          <w:rFonts w:hint="cs"/>
          <w:b/>
          <w:bCs/>
          <w:rtl/>
        </w:rPr>
        <w:t>سيادة القانون</w:t>
      </w:r>
      <w:r>
        <w:rPr>
          <w:rFonts w:hint="cs"/>
          <w:rtl/>
        </w:rPr>
        <w:t>: لا يجوز معاقبة أي فرد أو إخضاعه قانوناً لمعاناة شخصية أو مالية إلا إذا ثبت للمحاكم المستقلة أنه انتهك ا</w:t>
      </w:r>
      <w:r>
        <w:rPr>
          <w:rFonts w:hint="cs"/>
          <w:rtl/>
        </w:rPr>
        <w:t xml:space="preserve">لقانون. وعندما يتمتع أي مسؤول أو أي هيئة، بموجب القانون، بسلطة تقديرية لاتخاذ قرار، يجب ممارسة هذه السلطة ممارسة قانونية ومنصفة وعقلانية. وعندما لا تمارس على هذا النحو، يمكن الطعن قانوناً بهذا القرار أمام المحاكم. ويكفل القانون الأساسي حق المقيمين في هونغ </w:t>
      </w:r>
      <w:r>
        <w:rPr>
          <w:rFonts w:hint="cs"/>
          <w:rtl/>
        </w:rPr>
        <w:t xml:space="preserve">كونغ في رفع دعاوى أمام المحاكم ضد الأفعال الصادرة عن السلطات التنفيذية وموظفيها؛ </w:t>
      </w:r>
    </w:p>
    <w:p w:rsidR="00000000" w:rsidRDefault="00443EC1">
      <w:pPr>
        <w:spacing w:line="380" w:lineRule="exact"/>
        <w:jc w:val="both"/>
        <w:rPr>
          <w:rFonts w:hint="cs"/>
          <w:rtl/>
        </w:rPr>
      </w:pPr>
      <w:r>
        <w:rPr>
          <w:rFonts w:hint="cs"/>
          <w:rtl/>
        </w:rPr>
        <w:tab/>
        <w:t>(ب)</w:t>
      </w:r>
      <w:r>
        <w:rPr>
          <w:rFonts w:hint="cs"/>
          <w:rtl/>
        </w:rPr>
        <w:tab/>
      </w:r>
      <w:r>
        <w:rPr>
          <w:rFonts w:hint="cs"/>
          <w:b/>
          <w:bCs/>
          <w:rtl/>
        </w:rPr>
        <w:t>المساواة أمام القانون</w:t>
      </w:r>
      <w:r>
        <w:rPr>
          <w:rFonts w:hint="cs"/>
          <w:rtl/>
        </w:rPr>
        <w:t>: تنص المادة 25 من القانون الأساسي على أن جميع المقيمين في هونغ كونغ متساوون أمام القانون. وتنص المادة 22 على وجوب تقيُد جميع المكاتب التي تنشئها في</w:t>
      </w:r>
      <w:r>
        <w:rPr>
          <w:rFonts w:hint="cs"/>
          <w:rtl/>
        </w:rPr>
        <w:t xml:space="preserve"> منطقة هونغ كونغ الإدارية الخاصة وزارات الحكومة المركزية أو المقاطعات أو المناطق المستقلة ذاتياً أو البلديات التابعة مباشرةً للحكومة المركزية وجميع موظفي هذه المكاتب، بقوانين المنطقة. وتنص المادة 14 على وجوب تقيُد أعضاء الحامية بقوانين منطقة هونغ كونغ الإد</w:t>
      </w:r>
      <w:r>
        <w:rPr>
          <w:rFonts w:hint="cs"/>
          <w:rtl/>
        </w:rPr>
        <w:t xml:space="preserve">ارية الخاصة، بالإضافة إلى تقيدهم بالقوانين الوطنية لجمهورية الصين الشعبية. كما تنص المادة 35 على حق المقيمين في منطقة هونغ كونغ الإدارية الخاصة في إقامة دعاوى أمام المحاكم ضد الأفعال الصادرة عن السلطات التنفيذية وموظفيها. ولا يجوز اعتبار أي سلطة حكومية أو </w:t>
      </w:r>
      <w:r>
        <w:rPr>
          <w:rFonts w:hint="cs"/>
          <w:rtl/>
        </w:rPr>
        <w:t>مسؤول أو فرد فوق القانون. وجميع الأشخاص متساوون أمام القانون بصرف النظر عن عرقهم أو رتبتهم أو آرائهم السياسية أو دينهم أو جنسهم، ويخضعون للقانون ذاته. وتُوفر للأفراد ولحكومة منطقة هونغ كونغ الإدارية الخاصة نفس فرص الوصول إلى المحاكم لإعمال الحقوق القانونية</w:t>
      </w:r>
      <w:r>
        <w:rPr>
          <w:rFonts w:hint="cs"/>
          <w:rtl/>
        </w:rPr>
        <w:t xml:space="preserve"> أو للدفاع عن أي إجراء. </w:t>
      </w:r>
    </w:p>
    <w:p w:rsidR="00000000" w:rsidRDefault="00443EC1">
      <w:pPr>
        <w:spacing w:line="380" w:lineRule="exact"/>
        <w:jc w:val="both"/>
        <w:rPr>
          <w:rFonts w:hint="cs"/>
          <w:rtl/>
        </w:rPr>
      </w:pPr>
      <w:r>
        <w:rPr>
          <w:rFonts w:hint="cs"/>
          <w:rtl/>
        </w:rPr>
        <w:t>317-</w:t>
      </w:r>
      <w:r>
        <w:rPr>
          <w:rFonts w:hint="cs"/>
          <w:rtl/>
        </w:rPr>
        <w:tab/>
        <w:t xml:space="preserve">وقال بعض المعلقين إن مبدأ المساواة أمام القانون قد اهتز بسبب تعديل أُدخل (في عام 1997) على قانون التفسير والأحكام العامة (الفصل الأول من قوانين منطقة هونغ كونغ الإدارية الخاصة). وتمثل هذا التعديل في إحلال الإشارة إلى "الدولة" </w:t>
      </w:r>
      <w:r>
        <w:rPr>
          <w:rFonts w:hint="cs"/>
          <w:rtl/>
        </w:rPr>
        <w:t>محل الإشارة إلى "التاج" في المادة 66 من القانون. فقد كانت المادة 66 تنص، قبل 1 تموز/يوليه 1997، على أن أي قانون لا يلزم "التاج" ما لم ينص على ذلك صراحة، أو يعنيه بالضرورة. وبعد 1 تموز/يوليه 1997 وجب تعديل الإشارة إلى "التاج" في المادة 66. ولم يُدخَل التعدي</w:t>
      </w:r>
      <w:r>
        <w:rPr>
          <w:rFonts w:hint="cs"/>
          <w:rtl/>
        </w:rPr>
        <w:t xml:space="preserve">ل على المادة 66 من الفصل الأول إلا للحفاظ على جوهر القانون قبل 1 تموز/يوليه 1997 والإشارة إلى تغير السيادة. </w:t>
      </w:r>
    </w:p>
    <w:p w:rsidR="00000000" w:rsidRDefault="00443EC1">
      <w:pPr>
        <w:spacing w:line="380" w:lineRule="exact"/>
        <w:jc w:val="both"/>
        <w:rPr>
          <w:rFonts w:hint="cs"/>
          <w:b/>
          <w:bCs/>
          <w:rtl/>
        </w:rPr>
      </w:pPr>
      <w:r>
        <w:rPr>
          <w:rFonts w:hint="cs"/>
          <w:b/>
          <w:bCs/>
          <w:rtl/>
        </w:rPr>
        <w:t>ضمانات حقوق الإنسان في القانون الأساسي</w:t>
      </w:r>
    </w:p>
    <w:p w:rsidR="00000000" w:rsidRDefault="00443EC1">
      <w:pPr>
        <w:spacing w:line="380" w:lineRule="exact"/>
        <w:jc w:val="both"/>
        <w:rPr>
          <w:rFonts w:hint="cs"/>
          <w:rtl/>
        </w:rPr>
      </w:pPr>
      <w:r>
        <w:rPr>
          <w:rFonts w:hint="cs"/>
          <w:rtl/>
        </w:rPr>
        <w:t>318-</w:t>
      </w:r>
      <w:r>
        <w:rPr>
          <w:rFonts w:hint="cs"/>
          <w:rtl/>
        </w:rPr>
        <w:tab/>
        <w:t>تنص المادة 4 من القانون الأساسي على أن تضمن منطقة هونغ كونغ الإدارية الخاصة حقوق وحريات سكان المنطقة وا</w:t>
      </w:r>
      <w:r>
        <w:rPr>
          <w:rFonts w:hint="cs"/>
          <w:rtl/>
        </w:rPr>
        <w:t>لأشخاص الآخرين في الإقليم وفقاً لأحكام القانون. ويضمن القانون الأساسي مجموعة واسعة من الحريات والحقوق، منها:</w:t>
      </w:r>
    </w:p>
    <w:p w:rsidR="00000000" w:rsidRDefault="00443EC1">
      <w:pPr>
        <w:spacing w:line="380" w:lineRule="exact"/>
        <w:jc w:val="both"/>
        <w:rPr>
          <w:rFonts w:hint="cs"/>
          <w:rtl/>
        </w:rPr>
      </w:pPr>
      <w:r>
        <w:rPr>
          <w:rFonts w:hint="cs"/>
          <w:rtl/>
        </w:rPr>
        <w:tab/>
        <w:t>(أ)</w:t>
      </w:r>
      <w:r>
        <w:rPr>
          <w:rFonts w:hint="cs"/>
          <w:rtl/>
        </w:rPr>
        <w:tab/>
        <w:t>المساواة أمام القانون؛</w:t>
      </w:r>
    </w:p>
    <w:p w:rsidR="00000000" w:rsidRDefault="00443EC1">
      <w:pPr>
        <w:spacing w:line="380" w:lineRule="exact"/>
        <w:jc w:val="both"/>
        <w:rPr>
          <w:rFonts w:hint="cs"/>
          <w:rtl/>
        </w:rPr>
      </w:pPr>
      <w:r>
        <w:rPr>
          <w:rFonts w:hint="cs"/>
          <w:rtl/>
        </w:rPr>
        <w:tab/>
        <w:t>(ب)</w:t>
      </w:r>
      <w:r>
        <w:rPr>
          <w:rFonts w:hint="cs"/>
          <w:rtl/>
        </w:rPr>
        <w:tab/>
        <w:t xml:space="preserve">حرية التعبير والصحافة والنشر؛ وحرية الانضمام إلى النقابات وحرية التجمع وتنظيم المسيرات والمظاهرات؛ والحق في تشكيل </w:t>
      </w:r>
      <w:r>
        <w:rPr>
          <w:rFonts w:hint="cs"/>
          <w:rtl/>
        </w:rPr>
        <w:t xml:space="preserve">النقابات العمالية والانضمام إليها وفي الإضراب؛ </w:t>
      </w:r>
    </w:p>
    <w:p w:rsidR="00000000" w:rsidRDefault="00443EC1">
      <w:pPr>
        <w:spacing w:line="380" w:lineRule="exact"/>
        <w:jc w:val="both"/>
        <w:rPr>
          <w:rFonts w:hint="cs"/>
          <w:rtl/>
        </w:rPr>
      </w:pPr>
      <w:r>
        <w:rPr>
          <w:rFonts w:hint="cs"/>
          <w:rtl/>
        </w:rPr>
        <w:tab/>
        <w:t>(ج)</w:t>
      </w:r>
      <w:r>
        <w:rPr>
          <w:rFonts w:hint="cs"/>
          <w:rtl/>
        </w:rPr>
        <w:tab/>
        <w:t>حرية الفرد؛ وعدم اخضاعه للتعذيب أو التوقيف أو الاحتجاز أو الحبس التعسفي أو غير القانوني أو للتفتيش التعسفي أو غير القانوني؛ والحق في مقاومة الحرمان التعسفي أو غير المشروع من الحياة؛</w:t>
      </w:r>
    </w:p>
    <w:p w:rsidR="00000000" w:rsidRDefault="00443EC1">
      <w:pPr>
        <w:spacing w:line="380" w:lineRule="exact"/>
        <w:jc w:val="both"/>
        <w:rPr>
          <w:rFonts w:hint="cs"/>
          <w:rtl/>
        </w:rPr>
      </w:pPr>
      <w:r>
        <w:rPr>
          <w:rFonts w:hint="cs"/>
          <w:rtl/>
        </w:rPr>
        <w:tab/>
        <w:t>(د)</w:t>
      </w:r>
      <w:r>
        <w:rPr>
          <w:rFonts w:hint="cs"/>
          <w:rtl/>
        </w:rPr>
        <w:tab/>
        <w:t>حظر التفتيش أو ا</w:t>
      </w:r>
      <w:r>
        <w:rPr>
          <w:rFonts w:hint="cs"/>
          <w:rtl/>
        </w:rPr>
        <w:t>لاقتحام التعسفي أو غير القانوني لمنزل الفرد أو لما يملكه من عقارات أخرى؛</w:t>
      </w:r>
    </w:p>
    <w:p w:rsidR="00000000" w:rsidRDefault="00443EC1">
      <w:pPr>
        <w:spacing w:line="380" w:lineRule="exact"/>
        <w:jc w:val="both"/>
        <w:rPr>
          <w:rFonts w:hint="cs"/>
          <w:rtl/>
        </w:rPr>
      </w:pPr>
      <w:r>
        <w:rPr>
          <w:rFonts w:hint="cs"/>
          <w:rtl/>
        </w:rPr>
        <w:tab/>
        <w:t>(ه‍)</w:t>
      </w:r>
      <w:r>
        <w:rPr>
          <w:rFonts w:hint="cs"/>
          <w:rtl/>
        </w:rPr>
        <w:tab/>
        <w:t>حرية الاتصال وسريته؛</w:t>
      </w:r>
    </w:p>
    <w:p w:rsidR="00000000" w:rsidRDefault="00443EC1">
      <w:pPr>
        <w:spacing w:line="380" w:lineRule="exact"/>
        <w:jc w:val="both"/>
        <w:rPr>
          <w:rFonts w:hint="cs"/>
          <w:rtl/>
        </w:rPr>
      </w:pPr>
      <w:r>
        <w:rPr>
          <w:rFonts w:hint="cs"/>
          <w:rtl/>
        </w:rPr>
        <w:tab/>
        <w:t>(و)</w:t>
      </w:r>
      <w:r>
        <w:rPr>
          <w:rFonts w:hint="cs"/>
          <w:rtl/>
        </w:rPr>
        <w:tab/>
        <w:t>حرية التنقل داخل منطقة هونغ كونغ الإدارية الخاصة وحرية الهجرة إلى البلدان والأقاليم الأخرى وحرية السفر والدخول إلى "المنطقة" أو مغادرتها؛</w:t>
      </w:r>
    </w:p>
    <w:p w:rsidR="00000000" w:rsidRDefault="00443EC1">
      <w:pPr>
        <w:spacing w:line="380" w:lineRule="exact"/>
        <w:jc w:val="both"/>
        <w:rPr>
          <w:rFonts w:hint="cs"/>
          <w:rtl/>
        </w:rPr>
      </w:pPr>
      <w:r>
        <w:rPr>
          <w:rFonts w:hint="cs"/>
          <w:rtl/>
        </w:rPr>
        <w:tab/>
        <w:t>(ز)</w:t>
      </w:r>
      <w:r>
        <w:rPr>
          <w:rFonts w:hint="cs"/>
          <w:rtl/>
        </w:rPr>
        <w:tab/>
        <w:t>حرية الض</w:t>
      </w:r>
      <w:r>
        <w:rPr>
          <w:rFonts w:hint="cs"/>
          <w:rtl/>
        </w:rPr>
        <w:t xml:space="preserve">مير وحرية المعتقد الديني وحرية الوعظ والقيام بأنشطة دينية والمشاركة فيها علناً؛ </w:t>
      </w:r>
    </w:p>
    <w:p w:rsidR="00000000" w:rsidRDefault="00443EC1">
      <w:pPr>
        <w:spacing w:line="380" w:lineRule="exact"/>
        <w:jc w:val="both"/>
        <w:rPr>
          <w:rFonts w:hint="cs"/>
          <w:rtl/>
        </w:rPr>
      </w:pPr>
      <w:r>
        <w:rPr>
          <w:rFonts w:hint="cs"/>
          <w:rtl/>
        </w:rPr>
        <w:tab/>
        <w:t>(ح)</w:t>
      </w:r>
      <w:r>
        <w:rPr>
          <w:rFonts w:hint="cs"/>
          <w:rtl/>
        </w:rPr>
        <w:tab/>
        <w:t>حرية اختيار المهنة؛</w:t>
      </w:r>
    </w:p>
    <w:p w:rsidR="00000000" w:rsidRDefault="00443EC1">
      <w:pPr>
        <w:spacing w:line="380" w:lineRule="exact"/>
        <w:jc w:val="both"/>
        <w:rPr>
          <w:rFonts w:hint="cs"/>
          <w:rtl/>
        </w:rPr>
      </w:pPr>
      <w:r>
        <w:rPr>
          <w:rFonts w:hint="cs"/>
          <w:rtl/>
        </w:rPr>
        <w:tab/>
        <w:t>(ط)</w:t>
      </w:r>
      <w:r>
        <w:rPr>
          <w:rFonts w:hint="cs"/>
          <w:rtl/>
        </w:rPr>
        <w:tab/>
        <w:t xml:space="preserve">حرية المشاركة في البحث الأكاديمي والإبداع الأدبي والفني وغيرها من الأنشطة الثقافية؛ </w:t>
      </w:r>
    </w:p>
    <w:p w:rsidR="00000000" w:rsidRDefault="00443EC1">
      <w:pPr>
        <w:spacing w:line="380" w:lineRule="exact"/>
        <w:jc w:val="both"/>
        <w:rPr>
          <w:rFonts w:hint="cs"/>
          <w:rtl/>
        </w:rPr>
      </w:pPr>
      <w:r>
        <w:rPr>
          <w:rFonts w:hint="cs"/>
          <w:rtl/>
        </w:rPr>
        <w:tab/>
        <w:t>(ي)</w:t>
      </w:r>
      <w:r>
        <w:rPr>
          <w:rFonts w:hint="cs"/>
          <w:rtl/>
        </w:rPr>
        <w:tab/>
        <w:t>الحق في المشورة القانونية السرية وفي الوصول إلى المحاكم</w:t>
      </w:r>
      <w:r>
        <w:rPr>
          <w:rFonts w:hint="cs"/>
          <w:rtl/>
        </w:rPr>
        <w:t xml:space="preserve"> وفي اختيار المحامين من أجل حماية الحقوق والمصالح المشروعة أو التمثيل في المحاكم والحق في سبل الانتصاف القضائية وفي إقامة الدعاوى في المحاكم ضد أفعال السلطات التنفيذية وموظفيها؛</w:t>
      </w:r>
    </w:p>
    <w:p w:rsidR="00000000" w:rsidRDefault="00443EC1">
      <w:pPr>
        <w:spacing w:line="380" w:lineRule="exact"/>
        <w:jc w:val="both"/>
        <w:rPr>
          <w:rFonts w:hint="cs"/>
          <w:rtl/>
        </w:rPr>
      </w:pPr>
      <w:r>
        <w:rPr>
          <w:rFonts w:hint="cs"/>
          <w:rtl/>
        </w:rPr>
        <w:tab/>
        <w:t>(ك)</w:t>
      </w:r>
      <w:r>
        <w:rPr>
          <w:rFonts w:hint="cs"/>
          <w:rtl/>
        </w:rPr>
        <w:tab/>
        <w:t>الحق في الرعاية الاجتماعية طبقاً للقانون؛</w:t>
      </w:r>
    </w:p>
    <w:p w:rsidR="00000000" w:rsidRDefault="00443EC1">
      <w:pPr>
        <w:spacing w:line="380" w:lineRule="exact"/>
        <w:jc w:val="both"/>
        <w:rPr>
          <w:rFonts w:hint="cs"/>
          <w:rtl/>
        </w:rPr>
      </w:pPr>
      <w:r>
        <w:rPr>
          <w:rFonts w:hint="cs"/>
          <w:rtl/>
        </w:rPr>
        <w:tab/>
        <w:t>(ل)</w:t>
      </w:r>
      <w:r>
        <w:rPr>
          <w:rFonts w:hint="cs"/>
          <w:rtl/>
        </w:rPr>
        <w:tab/>
        <w:t>حرية الزواج والحق في تنشئة</w:t>
      </w:r>
      <w:r>
        <w:rPr>
          <w:rFonts w:hint="cs"/>
          <w:rtl/>
        </w:rPr>
        <w:t xml:space="preserve"> أفراد الأسرة بحرية.</w:t>
      </w:r>
    </w:p>
    <w:p w:rsidR="00000000" w:rsidRDefault="00443EC1">
      <w:pPr>
        <w:spacing w:line="380" w:lineRule="exact"/>
        <w:jc w:val="both"/>
        <w:rPr>
          <w:rFonts w:hint="cs"/>
          <w:rtl/>
        </w:rPr>
      </w:pPr>
      <w:r>
        <w:rPr>
          <w:rFonts w:hint="cs"/>
          <w:rtl/>
        </w:rPr>
        <w:t>ويتمتع الأشخاص الآخرون غير المقيمين في هونغ كونغ بالحقوق والحريات الممنوحة للمقيمين والمنصوص عليها في الفصل الثالث من القانون الأساسي. وبالإضافة إلى ذلك، يتمتع المقيمون الدائمون في منطقة هونغ كونغ الإدارية الخاصة بحقوق التصويت والترشيح</w:t>
      </w:r>
      <w:r>
        <w:rPr>
          <w:rFonts w:hint="cs"/>
          <w:rtl/>
        </w:rPr>
        <w:t xml:space="preserve"> وفقاً للقانون.</w:t>
      </w:r>
    </w:p>
    <w:p w:rsidR="00000000" w:rsidRDefault="00443EC1">
      <w:pPr>
        <w:spacing w:line="380" w:lineRule="exact"/>
        <w:jc w:val="both"/>
        <w:rPr>
          <w:rFonts w:hint="cs"/>
          <w:b/>
          <w:bCs/>
          <w:rtl/>
        </w:rPr>
      </w:pPr>
    </w:p>
    <w:p w:rsidR="00000000" w:rsidRDefault="00443EC1">
      <w:pPr>
        <w:spacing w:line="380" w:lineRule="exact"/>
        <w:jc w:val="both"/>
        <w:rPr>
          <w:rFonts w:hint="cs"/>
          <w:rtl/>
        </w:rPr>
      </w:pPr>
      <w:r>
        <w:rPr>
          <w:rFonts w:hint="cs"/>
          <w:b/>
          <w:bCs/>
          <w:rtl/>
        </w:rPr>
        <w:t xml:space="preserve">أثر صكوك حقوق الإنسان الأخرى على قانون منطقة هونغ كونغ الإدارية الخاصة </w:t>
      </w:r>
    </w:p>
    <w:p w:rsidR="00000000" w:rsidRDefault="00443EC1">
      <w:pPr>
        <w:spacing w:line="380" w:lineRule="exact"/>
        <w:jc w:val="both"/>
        <w:rPr>
          <w:rFonts w:hint="cs"/>
          <w:rtl/>
        </w:rPr>
      </w:pPr>
      <w:r>
        <w:rPr>
          <w:rFonts w:hint="cs"/>
          <w:rtl/>
        </w:rPr>
        <w:t>319-</w:t>
      </w:r>
      <w:r>
        <w:rPr>
          <w:rFonts w:hint="cs"/>
          <w:rtl/>
        </w:rPr>
        <w:tab/>
        <w:t>تنص المادة 39 من القانون الأساسي على ما يلي:</w:t>
      </w:r>
    </w:p>
    <w:p w:rsidR="00000000" w:rsidRDefault="00443EC1">
      <w:pPr>
        <w:spacing w:line="380" w:lineRule="exact"/>
        <w:ind w:left="714"/>
        <w:jc w:val="both"/>
        <w:rPr>
          <w:rFonts w:hint="cs"/>
          <w:rtl/>
        </w:rPr>
      </w:pPr>
      <w:r>
        <w:rPr>
          <w:rFonts w:hint="cs"/>
          <w:rtl/>
        </w:rPr>
        <w:tab/>
        <w:t>"تظل أحكام العهد الدولي الخاص بالحقوق المدنية والسياسية والعهد الدولي الخاص بالحقوق الاقتصادية والاجتماعية والثقافية</w:t>
      </w:r>
      <w:r>
        <w:rPr>
          <w:rFonts w:hint="cs"/>
          <w:rtl/>
        </w:rPr>
        <w:t xml:space="preserve"> واتفاقيات العمل الدولية المطبقة في هونغ كونغ نافذة وتطبق من خلال قوانين منطقة هونغ كونغ الإدارية الخاصة.</w:t>
      </w:r>
    </w:p>
    <w:p w:rsidR="00000000" w:rsidRDefault="00443EC1">
      <w:pPr>
        <w:spacing w:line="380" w:lineRule="exact"/>
        <w:ind w:left="714"/>
        <w:jc w:val="both"/>
        <w:rPr>
          <w:rFonts w:hint="cs"/>
          <w:rtl/>
        </w:rPr>
      </w:pPr>
      <w:r>
        <w:rPr>
          <w:rFonts w:hint="cs"/>
          <w:rtl/>
        </w:rPr>
        <w:tab/>
        <w:t>"ولا تخضع الحقوق والحريات التي يتمتع بها سكان هونغ كونغ لأية قيود خلاف تلك التي ينص عليها القانون. ولا تخل هذه القيود بأحكام الفقرة السابقة من هذه ال</w:t>
      </w:r>
      <w:r>
        <w:rPr>
          <w:rFonts w:hint="cs"/>
          <w:rtl/>
        </w:rPr>
        <w:t>مادة".</w:t>
      </w:r>
    </w:p>
    <w:p w:rsidR="00000000" w:rsidRDefault="00443EC1">
      <w:pPr>
        <w:spacing w:line="380" w:lineRule="exact"/>
        <w:jc w:val="both"/>
        <w:rPr>
          <w:rFonts w:hint="cs"/>
          <w:rtl/>
        </w:rPr>
      </w:pPr>
      <w:r>
        <w:rPr>
          <w:rFonts w:hint="cs"/>
          <w:rtl/>
        </w:rPr>
        <w:t>320-</w:t>
      </w:r>
      <w:r>
        <w:rPr>
          <w:rFonts w:hint="cs"/>
          <w:rtl/>
        </w:rPr>
        <w:tab/>
        <w:t xml:space="preserve">وعموماً، ووفقاً لما تنص عليه عادةً نُظم القانون العام، فإن المعاهدات التي تنطبق على هونغ كونغ (بما فيها معاهدات حقوق الإنسان) ليست لها في حد ذاتها قوة القانون في نظام هونغ كونغ القانوني المحلي. ولا يجوز الاستشهاد بها مباشرةً أمام المحاكم بأنها </w:t>
      </w:r>
      <w:r>
        <w:rPr>
          <w:rFonts w:hint="cs"/>
          <w:rtl/>
        </w:rPr>
        <w:t>مصدر الحقوق الفردية. غير أن المحاكم تفسر، متى أمكن، التشريعات المحلية على نحوٍ يجنبها التعارض مع المعاهدات الدولية التي تنطبق على هونغ كونغ. والطريقة المألوفة لتنفيذ الالتزامات التعاهدية من خلال القوانين المحلية (عندما تتطلب هذه الالتزامات إجراء بعض التغيي</w:t>
      </w:r>
      <w:r>
        <w:rPr>
          <w:rFonts w:hint="cs"/>
          <w:rtl/>
        </w:rPr>
        <w:t>ر في القوانين والممارسات القائمة) هي سن تشريعات جديدة محددة</w:t>
      </w:r>
      <w:r>
        <w:rPr>
          <w:rFonts w:hint="cs"/>
          <w:vertAlign w:val="superscript"/>
          <w:rtl/>
        </w:rPr>
        <w:t>(8)</w:t>
      </w:r>
      <w:r>
        <w:rPr>
          <w:rFonts w:hint="cs"/>
          <w:rtl/>
        </w:rPr>
        <w:t>.</w:t>
      </w:r>
      <w:r>
        <w:rPr>
          <w:rFonts w:hint="cs"/>
          <w:vertAlign w:val="superscript"/>
          <w:rtl/>
        </w:rPr>
        <w:t xml:space="preserve"> </w:t>
      </w:r>
      <w:r>
        <w:rPr>
          <w:rFonts w:hint="cs"/>
          <w:rtl/>
        </w:rPr>
        <w:t>وعندما يفضي ذلك إلى إنشاء أو تحديد حقوق قانونية محددة، وعندما تُنكر هذه الحقوق أو يتم التدخل فيها (أو يكون هناك تهديد بمثل ذلك)، يتاح في المحاكم سبيل انتصاف من خلال الإجراءات العادية للدعاوى ا</w:t>
      </w:r>
      <w:r>
        <w:rPr>
          <w:rFonts w:hint="cs"/>
          <w:rtl/>
        </w:rPr>
        <w:t>لمدنية؛ أو يمكن أن ينص القانون على عقوبات جنائية.</w:t>
      </w:r>
    </w:p>
    <w:p w:rsidR="00000000" w:rsidRDefault="00443EC1">
      <w:pPr>
        <w:spacing w:line="380" w:lineRule="exact"/>
        <w:jc w:val="both"/>
        <w:rPr>
          <w:rFonts w:hint="cs"/>
          <w:b/>
          <w:bCs/>
          <w:rtl/>
        </w:rPr>
      </w:pPr>
      <w:r>
        <w:rPr>
          <w:rFonts w:hint="cs"/>
          <w:b/>
          <w:bCs/>
          <w:rtl/>
        </w:rPr>
        <w:t>قانون شرعة الحقوق</w:t>
      </w:r>
    </w:p>
    <w:p w:rsidR="00000000" w:rsidRDefault="00443EC1">
      <w:pPr>
        <w:spacing w:line="380" w:lineRule="exact"/>
        <w:jc w:val="both"/>
        <w:rPr>
          <w:rFonts w:hint="cs"/>
          <w:rtl/>
        </w:rPr>
      </w:pPr>
      <w:r>
        <w:rPr>
          <w:rFonts w:hint="cs"/>
          <w:rtl/>
        </w:rPr>
        <w:t>321-</w:t>
      </w:r>
      <w:r>
        <w:rPr>
          <w:rFonts w:hint="cs"/>
          <w:rtl/>
        </w:rPr>
        <w:tab/>
        <w:t>سُن قانون شرعة الحقوق في هونغ كونغ (الفصل 383 من قوانين منطقة هونغ كونغ الإدارية الخاصة) في حزيران/يونيه 1991، تحديداً، لتنفيذ أحكام العهد الدولي الخاص بالحقوق المدنية والسياسية من خل</w:t>
      </w:r>
      <w:r>
        <w:rPr>
          <w:rFonts w:hint="cs"/>
          <w:rtl/>
        </w:rPr>
        <w:t>ال القانون المحلي الساري في هونغ كونغ. وهو يحقق ذلك بوضع شرعة حقوق مفصلة، تكاد أحكامها تماثل تلك المنصوص عليها في العهد الدولي الخاص بالحقوق المدنية والسياسية.</w:t>
      </w:r>
    </w:p>
    <w:p w:rsidR="00000000" w:rsidRDefault="00443EC1">
      <w:pPr>
        <w:spacing w:line="380" w:lineRule="exact"/>
        <w:jc w:val="both"/>
        <w:rPr>
          <w:rFonts w:hint="cs"/>
          <w:rtl/>
        </w:rPr>
      </w:pPr>
      <w:r>
        <w:rPr>
          <w:rFonts w:hint="cs"/>
          <w:b/>
          <w:bCs/>
          <w:rtl/>
        </w:rPr>
        <w:t>اعتماد القوانين: أثرها على قانون شرعة الحقوق</w:t>
      </w:r>
    </w:p>
    <w:p w:rsidR="00000000" w:rsidRDefault="00443EC1">
      <w:pPr>
        <w:spacing w:line="380" w:lineRule="exact"/>
        <w:jc w:val="both"/>
        <w:rPr>
          <w:rFonts w:hint="cs"/>
          <w:rtl/>
        </w:rPr>
      </w:pPr>
      <w:r>
        <w:rPr>
          <w:rFonts w:hint="cs"/>
          <w:rtl/>
        </w:rPr>
        <w:t>322-</w:t>
      </w:r>
      <w:r>
        <w:rPr>
          <w:rFonts w:hint="cs"/>
          <w:rtl/>
        </w:rPr>
        <w:tab/>
        <w:t>تنص المادة 160 من القانون الأساسي على أن تعتمد</w:t>
      </w:r>
      <w:r>
        <w:rPr>
          <w:rFonts w:hint="cs"/>
          <w:rtl/>
        </w:rPr>
        <w:t xml:space="preserve"> القوانين التي كانت سارية من قبل في هونغ كونغ قوانين "للمنطقة"، باستثناء تلك التي تعلن اللجنة الدائمة للمجلس الوطني الشعبي أنها تتعارض مع القانون الأساسي. وفي شباط/فبراير 1997، رأت اللجنة الدائمة أن هناك ثلاثة بنود من قانون شرعة الحقوق (تتصل بتفسير القانون</w:t>
      </w:r>
      <w:r>
        <w:rPr>
          <w:rFonts w:hint="cs"/>
          <w:rtl/>
        </w:rPr>
        <w:t xml:space="preserve"> وتطبيقه)</w:t>
      </w:r>
      <w:r>
        <w:rPr>
          <w:rFonts w:hint="cs"/>
          <w:vertAlign w:val="superscript"/>
          <w:rtl/>
        </w:rPr>
        <w:t xml:space="preserve">(9) </w:t>
      </w:r>
      <w:r>
        <w:rPr>
          <w:rFonts w:hint="cs"/>
          <w:rtl/>
        </w:rPr>
        <w:t>تسود على القوانين الأخرى، بما فيها القانون الأساسي. وعليه، فإنها تتعارض مع القانون الأساسي ولا يمكن اعتمادها.</w:t>
      </w:r>
    </w:p>
    <w:p w:rsidR="00000000" w:rsidRDefault="00443EC1">
      <w:pPr>
        <w:spacing w:line="380" w:lineRule="exact"/>
        <w:jc w:val="both"/>
        <w:rPr>
          <w:rFonts w:hint="cs"/>
          <w:rtl/>
        </w:rPr>
      </w:pPr>
      <w:r>
        <w:rPr>
          <w:rFonts w:hint="cs"/>
          <w:rtl/>
        </w:rPr>
        <w:t>323</w:t>
      </w:r>
      <w:r>
        <w:rPr>
          <w:rtl/>
        </w:rPr>
        <w:t>-</w:t>
      </w:r>
      <w:r>
        <w:rPr>
          <w:rtl/>
        </w:rPr>
        <w:tab/>
        <w:t xml:space="preserve">وعدم اعتماد هذه البنود </w:t>
      </w:r>
      <w:r>
        <w:rPr>
          <w:rFonts w:hint="cs"/>
          <w:rtl/>
        </w:rPr>
        <w:t xml:space="preserve">لا </w:t>
      </w:r>
      <w:r>
        <w:rPr>
          <w:rtl/>
        </w:rPr>
        <w:t xml:space="preserve">أثر </w:t>
      </w:r>
      <w:r>
        <w:rPr>
          <w:rFonts w:hint="cs"/>
          <w:rtl/>
        </w:rPr>
        <w:t xml:space="preserve">لـه </w:t>
      </w:r>
      <w:r>
        <w:rPr>
          <w:rtl/>
        </w:rPr>
        <w:t xml:space="preserve">على حماية حقوق الإنسان في منطقة هونغ كونغ الإدارية الخاصة نظراً </w:t>
      </w:r>
      <w:r>
        <w:rPr>
          <w:rFonts w:hint="cs"/>
          <w:rtl/>
        </w:rPr>
        <w:t xml:space="preserve">لما تقدمه </w:t>
      </w:r>
      <w:r>
        <w:rPr>
          <w:rtl/>
        </w:rPr>
        <w:t>المادة 39 من القانون</w:t>
      </w:r>
      <w:r>
        <w:rPr>
          <w:rtl/>
        </w:rPr>
        <w:t xml:space="preserve"> الأساسي </w:t>
      </w:r>
      <w:r>
        <w:rPr>
          <w:rFonts w:hint="cs"/>
          <w:rtl/>
        </w:rPr>
        <w:t xml:space="preserve">من </w:t>
      </w:r>
      <w:r>
        <w:rPr>
          <w:rtl/>
        </w:rPr>
        <w:t xml:space="preserve">ضمان دستوري. </w:t>
      </w:r>
      <w:r>
        <w:rPr>
          <w:rFonts w:hint="cs"/>
          <w:rtl/>
        </w:rPr>
        <w:t>ف</w:t>
      </w:r>
      <w:r>
        <w:rPr>
          <w:rtl/>
        </w:rPr>
        <w:t>لم يطرأ أي تغيير على جوانب الحماية الجوهرية الواردة في الجزء الثاني من القانون (التي تكاد تكون مماثلة لأحكام العهد الدولي الخاص بالحقوق المدنية والسياسية). و</w:t>
      </w:r>
      <w:r>
        <w:rPr>
          <w:rFonts w:hint="cs"/>
          <w:rtl/>
        </w:rPr>
        <w:t>ينسحب هذا ا</w:t>
      </w:r>
      <w:r>
        <w:rPr>
          <w:rtl/>
        </w:rPr>
        <w:t xml:space="preserve">لأمر </w:t>
      </w:r>
      <w:r>
        <w:rPr>
          <w:rFonts w:hint="cs"/>
          <w:rtl/>
        </w:rPr>
        <w:t>أيضاً ع</w:t>
      </w:r>
      <w:r>
        <w:rPr>
          <w:rtl/>
        </w:rPr>
        <w:t xml:space="preserve">لى سبل الانتصاف </w:t>
      </w:r>
      <w:r>
        <w:rPr>
          <w:rFonts w:hint="cs"/>
          <w:rtl/>
        </w:rPr>
        <w:t xml:space="preserve">الواردة في </w:t>
      </w:r>
      <w:r>
        <w:rPr>
          <w:rtl/>
        </w:rPr>
        <w:t xml:space="preserve">البند 6 </w:t>
      </w:r>
      <w:r>
        <w:rPr>
          <w:rFonts w:hint="cs"/>
          <w:rtl/>
        </w:rPr>
        <w:t xml:space="preserve">عن </w:t>
      </w:r>
      <w:r>
        <w:rPr>
          <w:rtl/>
        </w:rPr>
        <w:t>مخالفة هذا ا</w:t>
      </w:r>
      <w:r>
        <w:rPr>
          <w:rtl/>
        </w:rPr>
        <w:t xml:space="preserve">لقانون والأثر الملزم </w:t>
      </w:r>
      <w:r>
        <w:rPr>
          <w:rFonts w:hint="cs"/>
          <w:rtl/>
        </w:rPr>
        <w:t>ل</w:t>
      </w:r>
      <w:r>
        <w:rPr>
          <w:rtl/>
        </w:rPr>
        <w:t>لحكومة و</w:t>
      </w:r>
      <w:r>
        <w:rPr>
          <w:rFonts w:hint="cs"/>
          <w:rtl/>
        </w:rPr>
        <w:t>ل</w:t>
      </w:r>
      <w:r>
        <w:rPr>
          <w:rtl/>
        </w:rPr>
        <w:t>كافة السلطات الرسمية بمقتضى البند 7</w:t>
      </w:r>
      <w:r>
        <w:rPr>
          <w:rFonts w:hint="cs"/>
          <w:rtl/>
        </w:rPr>
        <w:t xml:space="preserve"> (يرد في المرفق 2 النص الكامل لقانون شرعة الحقوق بشكله الحالي)</w:t>
      </w:r>
      <w:r>
        <w:rPr>
          <w:rtl/>
        </w:rPr>
        <w:t xml:space="preserve">. </w:t>
      </w:r>
    </w:p>
    <w:p w:rsidR="00000000" w:rsidRDefault="00443EC1">
      <w:pPr>
        <w:spacing w:line="380" w:lineRule="exact"/>
        <w:jc w:val="both"/>
        <w:rPr>
          <w:rFonts w:hint="cs"/>
          <w:b/>
          <w:bCs/>
          <w:rtl/>
        </w:rPr>
      </w:pPr>
      <w:r>
        <w:rPr>
          <w:rFonts w:hint="cs"/>
          <w:b/>
          <w:bCs/>
          <w:rtl/>
        </w:rPr>
        <w:t>المساعدة القضائية</w:t>
      </w:r>
    </w:p>
    <w:p w:rsidR="00000000" w:rsidRDefault="00443EC1">
      <w:pPr>
        <w:spacing w:line="380" w:lineRule="exact"/>
        <w:jc w:val="both"/>
        <w:rPr>
          <w:rFonts w:hint="cs"/>
          <w:rtl/>
        </w:rPr>
      </w:pPr>
      <w:r>
        <w:rPr>
          <w:rFonts w:hint="cs"/>
          <w:rtl/>
        </w:rPr>
        <w:t>324-</w:t>
      </w:r>
      <w:r>
        <w:rPr>
          <w:rFonts w:hint="cs"/>
          <w:rtl/>
        </w:rPr>
        <w:tab/>
        <w:t xml:space="preserve">يتلقى المؤهلون من مقدمي طلبات المساعدة القانونية مثل هذه المساعدة عن طريق توفير خدمات وكيل أو محام في </w:t>
      </w:r>
      <w:r>
        <w:rPr>
          <w:rFonts w:hint="cs"/>
          <w:rtl/>
        </w:rPr>
        <w:t xml:space="preserve">الدعاوى أمام المحاكم، حسب الاقتضاء، لضمان عدم حرمان أي شخص لديه أسباب معقولة لمتابعة إجراء قانوني أو الدفاع عنه من القيام بذلك لافتقاره للموارد المالية اللازمة. وتقدم خدمات المساعدة القانونية، الممولة تمويلاً عاماً، عن طريق إدارة المساعدة القانونية ودائرة </w:t>
      </w:r>
      <w:r>
        <w:rPr>
          <w:rFonts w:hint="cs"/>
          <w:rtl/>
        </w:rPr>
        <w:t>المحامين المناوبين.</w:t>
      </w:r>
    </w:p>
    <w:p w:rsidR="00000000" w:rsidRDefault="00443EC1">
      <w:pPr>
        <w:spacing w:line="380" w:lineRule="exact"/>
        <w:jc w:val="both"/>
        <w:rPr>
          <w:rFonts w:hint="cs"/>
          <w:i/>
          <w:iCs/>
          <w:rtl/>
        </w:rPr>
      </w:pPr>
      <w:r>
        <w:rPr>
          <w:rFonts w:hint="cs"/>
          <w:i/>
          <w:iCs/>
          <w:rtl/>
        </w:rPr>
        <w:t xml:space="preserve">إدارة المساعدة القانونية </w:t>
      </w:r>
    </w:p>
    <w:p w:rsidR="00000000" w:rsidRDefault="00443EC1">
      <w:pPr>
        <w:spacing w:line="380" w:lineRule="exact"/>
        <w:jc w:val="both"/>
        <w:rPr>
          <w:rFonts w:hint="cs"/>
          <w:rtl/>
        </w:rPr>
      </w:pPr>
      <w:r>
        <w:rPr>
          <w:rFonts w:hint="cs"/>
          <w:rtl/>
        </w:rPr>
        <w:t>325-</w:t>
      </w:r>
      <w:r>
        <w:rPr>
          <w:rFonts w:hint="cs"/>
          <w:rtl/>
        </w:rPr>
        <w:tab/>
        <w:t>توفر "إدارة المساعدة القانونية" التمثيل القانوني للأشخاص المؤهلين في كل من القضايا المدنية والجنائية التي تنظر فيها محكمة الاستئناف النهائي ومحكمة الاستئناف والمحكمة الابتدائية والمحاكم المحلية ومحكمة الصل</w:t>
      </w:r>
      <w:r>
        <w:rPr>
          <w:rFonts w:hint="cs"/>
          <w:rtl/>
        </w:rPr>
        <w:t>ح (إجراءات الحبس). وتوفر المساعدة القانونية المدنية لإجراءات تشمل جوانب هامة من حياة المجتمع، من النزاعات الأسرية إلى قضايا الهجرة وتحقيقات قاضي الوفيات. ويتعين على مقدمي الطلبات إقناع مدير إدارة المساعدة القانونية بأهليتهم المالية (اختبار الموارد المعيشية</w:t>
      </w:r>
      <w:r>
        <w:rPr>
          <w:rFonts w:hint="cs"/>
          <w:rtl/>
        </w:rPr>
        <w:t>) وبمبررات الإجراء القانوني (اختبار الأسس الموضوعية للدعوى). ولا يتوقف تقديم المساعدة القانونية على استيفاء شرط الإقامة. ويعود للمدير، في القضايا الجنائية، أمر التغاضي عن الحدود القصوى لاختبار الموارد المعيشية إذا رأى أن ذلك في صالح العدالة. ويعود له أيضاً</w:t>
      </w:r>
      <w:r>
        <w:rPr>
          <w:rFonts w:hint="cs"/>
          <w:rtl/>
        </w:rPr>
        <w:t xml:space="preserve"> أمر استعمال هذه السلطة التقديرية في الطلبات الجديرة بالاعتبار حيثما أصبح انتهاك قانون شرعة الحقوق في هونغ كونغ أو العهد الدولي الخاص بالحقوق المدنية والسياسية كما يطبق فيها مشكلة. ورهناً باختبار الموارد المعيشية، يكون منح المساعدة القانونية إلزامياً إذا ط</w:t>
      </w:r>
      <w:r>
        <w:rPr>
          <w:rFonts w:hint="cs"/>
          <w:rtl/>
        </w:rPr>
        <w:t xml:space="preserve">لبها شخص متهم بالقتل العمد أو الخيانة أو القرصنة باستخدام العنف. </w:t>
      </w:r>
    </w:p>
    <w:p w:rsidR="00000000" w:rsidRDefault="00443EC1">
      <w:pPr>
        <w:spacing w:line="380" w:lineRule="exact"/>
        <w:jc w:val="both"/>
        <w:rPr>
          <w:rFonts w:hint="cs"/>
          <w:i/>
          <w:iCs/>
          <w:rtl/>
        </w:rPr>
      </w:pPr>
      <w:r>
        <w:rPr>
          <w:rFonts w:hint="cs"/>
          <w:i/>
          <w:iCs/>
          <w:rtl/>
        </w:rPr>
        <w:t>دائرة المحامين المناوبين</w:t>
      </w:r>
    </w:p>
    <w:p w:rsidR="00000000" w:rsidRDefault="00443EC1">
      <w:pPr>
        <w:spacing w:line="380" w:lineRule="exact"/>
        <w:jc w:val="both"/>
        <w:rPr>
          <w:rFonts w:hint="cs"/>
          <w:rtl/>
        </w:rPr>
      </w:pPr>
      <w:r>
        <w:rPr>
          <w:rFonts w:hint="cs"/>
          <w:rtl/>
        </w:rPr>
        <w:t>326-</w:t>
      </w:r>
      <w:r>
        <w:rPr>
          <w:rFonts w:hint="cs"/>
          <w:rtl/>
        </w:rPr>
        <w:tab/>
        <w:t>تُكمِّل هذه الدائرة خدمات المساعدة القانونية التي تقدمها إدارة المساعدة القانونية. وتنفذ هذه الدائرة ثلاثة برامج توفر على التوالي التمثيل القانوني (برنامج المحا</w:t>
      </w:r>
      <w:r>
        <w:rPr>
          <w:rFonts w:hint="cs"/>
          <w:rtl/>
        </w:rPr>
        <w:t>مين المناوبين) والمشورة القانونية (برنامج المشورة القانونية) والمعلومات القانونية (برنامج الخدمات القانونية الهاتفية). ويوفر برنامج المحامين المناوبين التمثيل القانوني لجميع المدعى عليهم تقريباً (الأحداث والبالغين) المتهمين في الهيئات القضائية والذين لا يس</w:t>
      </w:r>
      <w:r>
        <w:rPr>
          <w:rFonts w:hint="cs"/>
          <w:rtl/>
        </w:rPr>
        <w:t>تطيعون دفع أتعاب محامٍ خاص. كما يوفر التمثيل القانوني للأشخاص الذين من المحتمل أن يخضعوا لمحاكمة جنائية نتيجة تقديمهم أدلة تعرضهم للتهمة أثناء تحقيقات أجراها قاضي الوفيات المشتبه فيها. ويخضع مقدمو الطلبات لاختبار بشأن الموارد المعيشية والأسس الموضوعية للدع</w:t>
      </w:r>
      <w:r>
        <w:rPr>
          <w:rFonts w:hint="cs"/>
          <w:rtl/>
        </w:rPr>
        <w:t>وى استناداً إلى مبدأ "مصلحة العدالة" وفقاً للمادة 14 من العهد الدولي الخاص بالحقوق المدنية والسياسية وللمادة 11 من قانون شرعة الحقوق في هونغ كونغ. ويقدم كل من برنامج المشورة القانونية وبرنامج المعلومات القانونية الهاتفية المشورة القانونية مجاناً للجمهور من</w:t>
      </w:r>
      <w:r>
        <w:rPr>
          <w:rFonts w:hint="cs"/>
          <w:rtl/>
        </w:rPr>
        <w:t xml:space="preserve"> خلال مقابلات فردية ومعلومات مسجلة عن الجوانب القانونية للمشاكل اليومية.</w:t>
      </w:r>
    </w:p>
    <w:p w:rsidR="00000000" w:rsidRDefault="00443EC1">
      <w:pPr>
        <w:spacing w:line="380" w:lineRule="exact"/>
        <w:jc w:val="both"/>
        <w:rPr>
          <w:rFonts w:hint="cs"/>
          <w:i/>
          <w:iCs/>
          <w:rtl/>
        </w:rPr>
      </w:pPr>
      <w:r>
        <w:rPr>
          <w:rFonts w:hint="cs"/>
          <w:i/>
          <w:iCs/>
          <w:rtl/>
        </w:rPr>
        <w:t>مجلس خدمات المساعدة القانونية</w:t>
      </w:r>
    </w:p>
    <w:p w:rsidR="00000000" w:rsidRDefault="00443EC1">
      <w:pPr>
        <w:spacing w:line="380" w:lineRule="exact"/>
        <w:jc w:val="both"/>
        <w:rPr>
          <w:rFonts w:hint="cs"/>
          <w:rtl/>
        </w:rPr>
      </w:pPr>
      <w:r>
        <w:rPr>
          <w:rFonts w:hint="cs"/>
          <w:rtl/>
        </w:rPr>
        <w:t>327-</w:t>
      </w:r>
      <w:r>
        <w:rPr>
          <w:rFonts w:hint="cs"/>
          <w:rtl/>
        </w:rPr>
        <w:tab/>
        <w:t>أُنشئ مجلس خدمات المساعدة القانونية، كهيئة قانونية مستقلة، في عام 1996. ويتمثل دوره في الإشراف على تقديم إدارة المساعدة القانونية لخدمات المساعدة ال</w:t>
      </w:r>
      <w:r>
        <w:rPr>
          <w:rFonts w:hint="cs"/>
          <w:rtl/>
        </w:rPr>
        <w:t xml:space="preserve">قانونية وإسداء المشورة إلى الرئيس التنفيذي بشأن السياسة الخاصة بالمساعدة القانونية. </w:t>
      </w:r>
    </w:p>
    <w:p w:rsidR="00000000" w:rsidRDefault="00443EC1">
      <w:pPr>
        <w:spacing w:line="380" w:lineRule="exact"/>
        <w:jc w:val="both"/>
        <w:rPr>
          <w:rFonts w:hint="cs"/>
          <w:b/>
          <w:bCs/>
          <w:rtl/>
        </w:rPr>
      </w:pPr>
      <w:r>
        <w:rPr>
          <w:rFonts w:hint="cs"/>
          <w:b/>
          <w:bCs/>
          <w:rtl/>
        </w:rPr>
        <w:t>أمانة المظالم</w:t>
      </w:r>
    </w:p>
    <w:p w:rsidR="00000000" w:rsidRDefault="00443EC1">
      <w:pPr>
        <w:spacing w:line="380" w:lineRule="exact"/>
        <w:jc w:val="both"/>
        <w:rPr>
          <w:rFonts w:hint="cs"/>
          <w:rtl/>
        </w:rPr>
      </w:pPr>
      <w:r>
        <w:rPr>
          <w:rFonts w:hint="cs"/>
          <w:rtl/>
        </w:rPr>
        <w:t>328-</w:t>
      </w:r>
      <w:r>
        <w:rPr>
          <w:rFonts w:hint="cs"/>
          <w:rtl/>
        </w:rPr>
        <w:tab/>
        <w:t>إن أمينة المظالم - التي كانت تُعرف فيما سبق بمفوض الشكاوى الإدارية - هي هيئة مستقلة، أُنشئت بموجب القانون الخاص بأمين المظالم (الفصل 397)</w:t>
      </w:r>
      <w:r>
        <w:rPr>
          <w:rFonts w:hint="cs"/>
          <w:vertAlign w:val="superscript"/>
          <w:rtl/>
        </w:rPr>
        <w:t>(10)</w:t>
      </w:r>
      <w:r>
        <w:rPr>
          <w:rFonts w:hint="cs"/>
          <w:rtl/>
        </w:rPr>
        <w:t>. وتحقق أمي</w:t>
      </w:r>
      <w:r>
        <w:rPr>
          <w:rFonts w:hint="cs"/>
          <w:rtl/>
        </w:rPr>
        <w:t>نة المظالم في المظالم الناشئة عن سوء الإدارة وتقدم التقارير عنها. ويشمل "سوء الإدارة" أموراً مثل القرارات الإدارية أو التصرفات أو التوصيات غير الناجعة، أو السيئة، أو غير الصحيحة، أو جوانب التقصير. ويمكن لأفراد المجتمع أن يقدموا الشكاوى مباشرة إلى أمينة الم</w:t>
      </w:r>
      <w:r>
        <w:rPr>
          <w:rFonts w:hint="cs"/>
          <w:rtl/>
        </w:rPr>
        <w:t>ظالم، التي تستطيع أيضاً بمبادرةٍ منها أن تجري التحقيقات وأن تنشر تقارير عن التحقيقات موضع اهتمام الجمهور. وبالإضافة إلى ذلك، فإنها خولت سلطة التحقيق في الشكاوى المتصلة بعدم الامتثال للقانون المتعلق بالحق في الحصول على المعلومات.</w:t>
      </w:r>
    </w:p>
    <w:p w:rsidR="00000000" w:rsidRDefault="00443EC1">
      <w:pPr>
        <w:spacing w:line="380" w:lineRule="exact"/>
        <w:jc w:val="both"/>
        <w:rPr>
          <w:rFonts w:hint="cs"/>
          <w:rtl/>
        </w:rPr>
      </w:pPr>
      <w:r>
        <w:rPr>
          <w:rFonts w:hint="cs"/>
          <w:rtl/>
        </w:rPr>
        <w:t>329-</w:t>
      </w:r>
      <w:r>
        <w:rPr>
          <w:rFonts w:hint="cs"/>
          <w:rtl/>
        </w:rPr>
        <w:tab/>
        <w:t xml:space="preserve">وإن سن قانون عام 2001 </w:t>
      </w:r>
      <w:r>
        <w:rPr>
          <w:rFonts w:hint="cs"/>
          <w:rtl/>
        </w:rPr>
        <w:t>الخاص بأمينة المظالم (التعديل) يمكّن هذه الأخيرة من الاضطلاع بمهامها بمزيدٍ من الفاعلية. فهذا القانون يجعل أمانة المظالم بمثابة هيئة تعاونية مخولة بكامل الصلاحيات القانونية اللازمة لإدارة شؤونها الإدارية والمالية. وتتمتع أمينة المظالم بسلطة تعيين موظفيها أ</w:t>
      </w:r>
      <w:r>
        <w:rPr>
          <w:rFonts w:hint="cs"/>
          <w:rtl/>
        </w:rPr>
        <w:t xml:space="preserve">و مستشاريها التقنيين والفنيين لمساعدتها في الاضطلاع بواجباتها. وقد عزز القانون أيضاً من استقلالية أمينة المظالم موضحاً أن أمينة المظالم ليست عاملة أو موظفة لدى الحكومة. </w:t>
      </w:r>
    </w:p>
    <w:p w:rsidR="00000000" w:rsidRDefault="00443EC1">
      <w:pPr>
        <w:spacing w:line="380" w:lineRule="exact"/>
        <w:jc w:val="both"/>
        <w:rPr>
          <w:rFonts w:hint="cs"/>
          <w:rtl/>
        </w:rPr>
      </w:pPr>
      <w:r>
        <w:rPr>
          <w:rFonts w:hint="cs"/>
          <w:rtl/>
        </w:rPr>
        <w:t>330-</w:t>
      </w:r>
      <w:r>
        <w:rPr>
          <w:rFonts w:hint="cs"/>
          <w:rtl/>
        </w:rPr>
        <w:tab/>
        <w:t xml:space="preserve">ويجوز لأمينة المظالم، رهناً بأحكام قانون أمين المظالم، الحصول على أية معلومات أو </w:t>
      </w:r>
      <w:r>
        <w:rPr>
          <w:rFonts w:hint="cs"/>
          <w:rtl/>
        </w:rPr>
        <w:t>وثائق من أي شخص تراه مناسباً. ويجوز لها استدعاء أي شخص لتقديم معلومات مفيدة لتحقيقاتها ودخول أي من مباني المؤسسات التابعة لولايتها القضائية لإجراء التحقيقات فيها. وهي تملك أيضاً الوسائل الكافية لضمان اتباع توصياتها وتنفيذها.</w:t>
      </w:r>
    </w:p>
    <w:p w:rsidR="00000000" w:rsidRDefault="00443EC1">
      <w:pPr>
        <w:spacing w:line="380" w:lineRule="exact"/>
        <w:jc w:val="both"/>
        <w:rPr>
          <w:rFonts w:hint="cs"/>
          <w:rtl/>
        </w:rPr>
      </w:pPr>
      <w:r>
        <w:rPr>
          <w:rFonts w:hint="cs"/>
          <w:rtl/>
        </w:rPr>
        <w:t>331-</w:t>
      </w:r>
      <w:r>
        <w:rPr>
          <w:rFonts w:hint="cs"/>
          <w:rtl/>
        </w:rPr>
        <w:tab/>
        <w:t xml:space="preserve">ومُنحت أمينة المظالم سلطة </w:t>
      </w:r>
      <w:r>
        <w:rPr>
          <w:rFonts w:hint="cs"/>
          <w:rtl/>
        </w:rPr>
        <w:t>القيام، بعد التحقيق في أي شكوى من الشكاوى، بإبلاغ رئيس المؤسسة المعنية برأيها وبأسبابها، مشفوعة ببيان ما تراه ضرورياً من سبل الانتصاف والتوصيات. وفي حالة عدم تنفيذ التوصية خلال فترة زمنية معقولة، يجوز لأمينة المظالم أن ترفع القضية إلى الرئيس التنفيذي ويجوز</w:t>
      </w:r>
      <w:r>
        <w:rPr>
          <w:rFonts w:hint="cs"/>
          <w:rtl/>
        </w:rPr>
        <w:t xml:space="preserve"> لها أن تفعل ذلك أيضاً إذا اعتقدت أن مخالفة كبيرة قد ارتكبت أو ظلماً خطيراً قد وقع. وينص القانون على وجوب تقديم هذه التقارير إلى المجلس التشريعي.</w:t>
      </w:r>
    </w:p>
    <w:p w:rsidR="00000000" w:rsidRDefault="00443EC1">
      <w:pPr>
        <w:spacing w:line="380" w:lineRule="exact"/>
        <w:jc w:val="both"/>
        <w:rPr>
          <w:rFonts w:hint="cs"/>
          <w:rtl/>
        </w:rPr>
      </w:pPr>
      <w:r>
        <w:rPr>
          <w:rFonts w:hint="cs"/>
          <w:rtl/>
        </w:rPr>
        <w:t>332-</w:t>
      </w:r>
      <w:r>
        <w:rPr>
          <w:rFonts w:hint="cs"/>
          <w:rtl/>
        </w:rPr>
        <w:tab/>
        <w:t>وفيما عدا استثناءين، تتمتع أمينة المظالم بسلطة قانونية على جميع الإدارات الحكومية في منطقة هونغ كونغ الإد</w:t>
      </w:r>
      <w:r>
        <w:rPr>
          <w:rFonts w:hint="cs"/>
          <w:rtl/>
        </w:rPr>
        <w:t>ارية الخاصة والهيئات القانونية الرئيسية. والاستثناءان هما الشرطة واللجنة المستقلة لمكافحة الفساد. وتعالج الشكاوى ضد هاتين الإدارتين هيئات مستقلة ومخصصة لهذا الغرض (انظر الفقرتين 336 و337 أدناه).</w:t>
      </w:r>
    </w:p>
    <w:p w:rsidR="00000000" w:rsidRDefault="00443EC1">
      <w:pPr>
        <w:spacing w:line="380" w:lineRule="exact"/>
        <w:jc w:val="both"/>
        <w:rPr>
          <w:rFonts w:hint="cs"/>
          <w:b/>
          <w:bCs/>
          <w:rtl/>
        </w:rPr>
      </w:pPr>
      <w:r>
        <w:rPr>
          <w:rFonts w:hint="cs"/>
          <w:b/>
          <w:bCs/>
          <w:rtl/>
        </w:rPr>
        <w:t>اللجنة المعنية بتكافؤ الفرص</w:t>
      </w:r>
    </w:p>
    <w:p w:rsidR="00000000" w:rsidRDefault="00443EC1">
      <w:pPr>
        <w:spacing w:line="380" w:lineRule="exact"/>
        <w:jc w:val="both"/>
        <w:rPr>
          <w:rFonts w:hint="cs"/>
          <w:rtl/>
        </w:rPr>
      </w:pPr>
      <w:r>
        <w:rPr>
          <w:rFonts w:hint="cs"/>
          <w:rtl/>
        </w:rPr>
        <w:t>333-</w:t>
      </w:r>
      <w:r>
        <w:rPr>
          <w:rFonts w:hint="cs"/>
          <w:rtl/>
        </w:rPr>
        <w:tab/>
        <w:t xml:space="preserve">أنشئت اللجنة المعنية بتكافؤ </w:t>
      </w:r>
      <w:r>
        <w:rPr>
          <w:rFonts w:hint="cs"/>
          <w:rtl/>
        </w:rPr>
        <w:t>الفرص بموجب قانون مكافحة التمييز القائم على أساس الجنس في أيار/مايو 1996 وأخذت تمارس عملها كاملاً في أيلول/سبتمبر من ذلك العام. وتتولى هذه اللجنة المسؤولية عن إجراء التحقيقات الرسمية ومعالجة الشكاوى وتشجيع المصالحة بين الأطراف المتنازعة وتقديم المساعدة للم</w:t>
      </w:r>
      <w:r>
        <w:rPr>
          <w:rFonts w:hint="cs"/>
          <w:rtl/>
        </w:rPr>
        <w:t>تضررين عملاً بقانون مكافحة التمييز القائم على أساس الجنس وقانون مكافحة التمييز ضد المعوقين وقانون مكافحة التميز على أساس الوضع العائلي. وتضطلع ببرامج البحث وبتثقيف الجمهور لتعزيز تكافؤ الفرص في المجتمع. وقد خولت أيضاً سلطة إصدار مدونات قواعد ممارسات لوضع م</w:t>
      </w:r>
      <w:r>
        <w:rPr>
          <w:rFonts w:hint="cs"/>
          <w:rtl/>
        </w:rPr>
        <w:t>بادئ توجيهية عملية تيسر امتثال الجمهور للقوانين المتعلقة بتكافؤ الفرص. وبناءً على ذلك، أصدرت اللجنة في كانون الأول/ديسمبر 1996 مدونات قواعد الممارسات المتعلقة بالاستخدام فيما يتصل بقانون مكافحة التمييز القائم على أساس الجنس وبقانون مكافحة التمييز ضد المعوق</w:t>
      </w:r>
      <w:r>
        <w:rPr>
          <w:rFonts w:hint="cs"/>
          <w:rtl/>
        </w:rPr>
        <w:t>ين. وأصدرت في آذار/مارس 1998 مدونة مماثلة فيما يخص قانون مكافحة التمييز على أساس الوضع العائلي. وأصدرت في تموز/يوليه 2001 مدونة قواعد الممارسات المتعلقة بالتعليم بموجب قانون مكافحة التمييز ضد المعوقين لمساعدة المؤسسات التعليمية على الامتثال لشروط هذا القان</w:t>
      </w:r>
      <w:r>
        <w:rPr>
          <w:rFonts w:hint="cs"/>
          <w:rtl/>
        </w:rPr>
        <w:t xml:space="preserve">ون. </w:t>
      </w:r>
    </w:p>
    <w:p w:rsidR="00000000" w:rsidRDefault="00443EC1">
      <w:pPr>
        <w:spacing w:line="380" w:lineRule="exact"/>
        <w:jc w:val="both"/>
        <w:rPr>
          <w:rFonts w:hint="cs"/>
          <w:b/>
          <w:bCs/>
          <w:rtl/>
        </w:rPr>
      </w:pPr>
      <w:r>
        <w:rPr>
          <w:rFonts w:hint="cs"/>
          <w:b/>
          <w:bCs/>
          <w:rtl/>
        </w:rPr>
        <w:t>مفوض شؤون الخصوصية المعني بالبيانات الشخصية</w:t>
      </w:r>
    </w:p>
    <w:p w:rsidR="00000000" w:rsidRDefault="00443EC1">
      <w:pPr>
        <w:spacing w:line="380" w:lineRule="exact"/>
        <w:jc w:val="both"/>
        <w:rPr>
          <w:rFonts w:hint="cs"/>
          <w:rtl/>
        </w:rPr>
      </w:pPr>
      <w:r>
        <w:rPr>
          <w:rFonts w:hint="cs"/>
          <w:rtl/>
        </w:rPr>
        <w:t>334-</w:t>
      </w:r>
      <w:r>
        <w:rPr>
          <w:rFonts w:hint="cs"/>
          <w:rtl/>
        </w:rPr>
        <w:tab/>
        <w:t>ينص قانون البيانات الشخصية (الخصوصية) على المراقبة القانونية لجمع وحيازة واستخدام البيانات الشخصية في كل من القطاع العام والخاص. وتستند أحكامه إلى مبادئ حماية البيانات المقبولة دولياً. ويسري على البيانا</w:t>
      </w:r>
      <w:r>
        <w:rPr>
          <w:rFonts w:hint="cs"/>
          <w:rtl/>
        </w:rPr>
        <w:t>ت الشخصية التي يمكن الحصول عليها بطريقةٍ سهلة إلى حدٍ ما، سواء اتخذت شكلاً محوسباً أو يدوياً (ملفات ورقية) أو سمعياً - بصرياً. ولتعزيز وفرض الامتثال لأحكام القانون، نص هذا القانون على إنشاء هيئة قانونية مستقلة - تسمى مفوَّض شؤون الخصوصية المعني بالبيانات ا</w:t>
      </w:r>
      <w:r>
        <w:rPr>
          <w:rFonts w:hint="cs"/>
          <w:rtl/>
        </w:rPr>
        <w:t xml:space="preserve">لشخصية - وتفوض إليها السلطات المناسبة للتحقيق والإنفاذ. وتشمل مسؤوليات المفوض أيضاً نشر الوعي بالقانون وتفهمه وإصدار مدونات قواعد الممارسات المتعلقة بكيفية الامتثال لـه والنظر في التشريعات المقترحة التي يمكن أن تؤثر على خصوصية الأفراد فيما يتعلق بالبيانات </w:t>
      </w:r>
      <w:r>
        <w:rPr>
          <w:rFonts w:hint="cs"/>
          <w:rtl/>
        </w:rPr>
        <w:t xml:space="preserve">الشخصية. </w:t>
      </w:r>
    </w:p>
    <w:p w:rsidR="00000000" w:rsidRDefault="00443EC1">
      <w:pPr>
        <w:spacing w:line="380" w:lineRule="exact"/>
        <w:jc w:val="both"/>
      </w:pPr>
      <w:r>
        <w:rPr>
          <w:b/>
          <w:bCs/>
          <w:rtl/>
        </w:rPr>
        <w:t>الشكاوى والتحقيقات</w:t>
      </w:r>
    </w:p>
    <w:p w:rsidR="00000000" w:rsidRDefault="00443EC1">
      <w:pPr>
        <w:spacing w:line="380" w:lineRule="exact"/>
        <w:jc w:val="both"/>
        <w:rPr>
          <w:rFonts w:hint="cs"/>
          <w:rtl/>
        </w:rPr>
      </w:pPr>
      <w:r>
        <w:rPr>
          <w:rFonts w:hint="cs"/>
          <w:b/>
          <w:bCs/>
          <w:rtl/>
        </w:rPr>
        <w:t>الشرطة</w:t>
      </w:r>
    </w:p>
    <w:p w:rsidR="00000000" w:rsidRDefault="00443EC1">
      <w:pPr>
        <w:spacing w:line="380" w:lineRule="exact"/>
        <w:jc w:val="both"/>
        <w:rPr>
          <w:rFonts w:hint="cs"/>
          <w:rtl/>
        </w:rPr>
      </w:pPr>
      <w:r>
        <w:rPr>
          <w:rFonts w:hint="cs"/>
          <w:rtl/>
        </w:rPr>
        <w:t>335-</w:t>
      </w:r>
      <w:r>
        <w:rPr>
          <w:rFonts w:hint="cs"/>
          <w:rtl/>
        </w:rPr>
        <w:tab/>
        <w:t xml:space="preserve"> </w:t>
      </w:r>
      <w:r>
        <w:rPr>
          <w:rtl/>
        </w:rPr>
        <w:t xml:space="preserve">يحقق </w:t>
      </w:r>
      <w:r>
        <w:rPr>
          <w:rFonts w:hint="cs"/>
          <w:rtl/>
        </w:rPr>
        <w:t>"</w:t>
      </w:r>
      <w:r>
        <w:rPr>
          <w:rtl/>
        </w:rPr>
        <w:t>مكتب الشكاوى ضد الشرطة</w:t>
      </w:r>
      <w:r>
        <w:rPr>
          <w:rFonts w:hint="cs"/>
          <w:rtl/>
        </w:rPr>
        <w:t>"</w:t>
      </w:r>
      <w:r>
        <w:rPr>
          <w:rtl/>
        </w:rPr>
        <w:t xml:space="preserve"> </w:t>
      </w:r>
      <w:r>
        <w:rPr>
          <w:rFonts w:hint="cs"/>
          <w:rtl/>
        </w:rPr>
        <w:t xml:space="preserve">في </w:t>
      </w:r>
      <w:r>
        <w:rPr>
          <w:rtl/>
        </w:rPr>
        <w:t xml:space="preserve">جميع الشكاوى المتعلقة بتصرف وسلوك أفراد قوى الشرطة. ويتولى </w:t>
      </w:r>
      <w:r>
        <w:rPr>
          <w:rFonts w:hint="cs"/>
          <w:rtl/>
        </w:rPr>
        <w:t>"</w:t>
      </w:r>
      <w:r>
        <w:rPr>
          <w:rtl/>
        </w:rPr>
        <w:t>المجلس المستقل المعني بالشكاوى ضد الشرطة</w:t>
      </w:r>
      <w:r>
        <w:rPr>
          <w:rFonts w:hint="cs"/>
          <w:rtl/>
        </w:rPr>
        <w:t>"</w:t>
      </w:r>
      <w:r>
        <w:rPr>
          <w:rtl/>
        </w:rPr>
        <w:t xml:space="preserve"> رصد واستعراض تحقيقات مكتب الشكاوى ضد الشرطة. والمجلس </w:t>
      </w:r>
      <w:r>
        <w:rPr>
          <w:rFonts w:hint="cs"/>
          <w:rtl/>
        </w:rPr>
        <w:t xml:space="preserve">هو </w:t>
      </w:r>
      <w:r>
        <w:rPr>
          <w:rtl/>
        </w:rPr>
        <w:t>هيئة مستقلة تتألف من أع</w:t>
      </w:r>
      <w:r>
        <w:rPr>
          <w:rtl/>
        </w:rPr>
        <w:t>ضاء غير رسميين يعينهم الرئيس التنفيذي من ضمن مجموعة كبيرة من أفراد المجتمع</w:t>
      </w:r>
      <w:r>
        <w:rPr>
          <w:rFonts w:hint="cs"/>
          <w:rtl/>
        </w:rPr>
        <w:t xml:space="preserve"> وتشمل أعضاء من المجلس التشريعي وأمينة المظالم أو ممثلاً عنها.</w:t>
      </w:r>
    </w:p>
    <w:p w:rsidR="00000000" w:rsidRDefault="00443EC1">
      <w:pPr>
        <w:spacing w:line="380" w:lineRule="exact"/>
        <w:jc w:val="both"/>
        <w:rPr>
          <w:rFonts w:hint="cs"/>
          <w:b/>
          <w:bCs/>
        </w:rPr>
      </w:pPr>
      <w:r>
        <w:rPr>
          <w:rFonts w:hint="cs"/>
          <w:b/>
          <w:bCs/>
          <w:rtl/>
        </w:rPr>
        <w:t>اللجنة المستقلة لمحاربة الفساد</w:t>
      </w:r>
    </w:p>
    <w:p w:rsidR="00000000" w:rsidRDefault="00443EC1">
      <w:pPr>
        <w:spacing w:line="380" w:lineRule="exact"/>
        <w:jc w:val="both"/>
      </w:pPr>
      <w:r>
        <w:rPr>
          <w:rFonts w:hint="cs"/>
          <w:rtl/>
        </w:rPr>
        <w:t>336</w:t>
      </w:r>
      <w:r>
        <w:rPr>
          <w:rtl/>
        </w:rPr>
        <w:t>-</w:t>
      </w:r>
      <w:r>
        <w:rPr>
          <w:rtl/>
        </w:rPr>
        <w:tab/>
      </w:r>
      <w:r>
        <w:rPr>
          <w:spacing w:val="0"/>
          <w:rtl/>
        </w:rPr>
        <w:t>ترصد لجنــة الشكاوى التابعة للجنة المستقلة لمحاربـة الفساد - التي أنشئت في عام 1977</w:t>
      </w:r>
      <w:r>
        <w:rPr>
          <w:spacing w:val="0"/>
          <w:rtl/>
        </w:rPr>
        <w:t xml:space="preserve"> - وتستعرض </w:t>
      </w:r>
      <w:r>
        <w:rPr>
          <w:rtl/>
        </w:rPr>
        <w:t xml:space="preserve">طريقة تناول اللجنة المستقلة لمحاربة الفساد الشكاوى </w:t>
      </w:r>
      <w:r>
        <w:rPr>
          <w:rFonts w:hint="cs"/>
          <w:rtl/>
        </w:rPr>
        <w:t xml:space="preserve">غير الجنائية </w:t>
      </w:r>
      <w:r>
        <w:rPr>
          <w:rtl/>
        </w:rPr>
        <w:t>المقدمة ضد هذه اللجنة</w:t>
      </w:r>
      <w:r>
        <w:rPr>
          <w:rFonts w:hint="cs"/>
          <w:rtl/>
        </w:rPr>
        <w:t xml:space="preserve"> وموظفيها</w:t>
      </w:r>
      <w:r>
        <w:rPr>
          <w:rtl/>
        </w:rPr>
        <w:t xml:space="preserve">. </w:t>
      </w:r>
      <w:r>
        <w:rPr>
          <w:rFonts w:hint="cs"/>
          <w:rtl/>
        </w:rPr>
        <w:t xml:space="preserve">وهي أيضاً لجنة </w:t>
      </w:r>
      <w:r>
        <w:rPr>
          <w:rtl/>
        </w:rPr>
        <w:t>مستقلة يعينها الرئيس التنفيذي. وتتألف بصورة رئيسية من أعضاء المجلسين التنفيذي والتشريعي و</w:t>
      </w:r>
      <w:r>
        <w:rPr>
          <w:rFonts w:hint="cs"/>
          <w:rtl/>
        </w:rPr>
        <w:t xml:space="preserve">من </w:t>
      </w:r>
      <w:r>
        <w:rPr>
          <w:rtl/>
        </w:rPr>
        <w:t>ممثل عن أمي</w:t>
      </w:r>
      <w:r>
        <w:rPr>
          <w:rFonts w:hint="cs"/>
          <w:rtl/>
        </w:rPr>
        <w:t>نة</w:t>
      </w:r>
      <w:r>
        <w:rPr>
          <w:rtl/>
        </w:rPr>
        <w:t xml:space="preserve"> المظالم. </w:t>
      </w:r>
      <w:r>
        <w:rPr>
          <w:rFonts w:hint="cs"/>
          <w:rtl/>
        </w:rPr>
        <w:t>ويمكن أن تقدم الشكا</w:t>
      </w:r>
      <w:r>
        <w:rPr>
          <w:rFonts w:hint="cs"/>
          <w:rtl/>
        </w:rPr>
        <w:t xml:space="preserve">وى </w:t>
      </w:r>
      <w:r>
        <w:rPr>
          <w:rtl/>
        </w:rPr>
        <w:t xml:space="preserve">ضد اللجنة المستقلة لمحاربة الفساد أو مسؤوليها </w:t>
      </w:r>
      <w:r>
        <w:rPr>
          <w:rFonts w:hint="cs"/>
          <w:rtl/>
        </w:rPr>
        <w:t xml:space="preserve">إلى لجنة الشكاوى مباشرة أو </w:t>
      </w:r>
      <w:r>
        <w:rPr>
          <w:rtl/>
        </w:rPr>
        <w:t>إلى اللجنة المستقلة لمحاربة الفساد</w:t>
      </w:r>
      <w:r>
        <w:rPr>
          <w:rFonts w:hint="cs"/>
          <w:rtl/>
        </w:rPr>
        <w:t xml:space="preserve"> في أي مكتبٍ من مكاتبها</w:t>
      </w:r>
      <w:r>
        <w:rPr>
          <w:rtl/>
        </w:rPr>
        <w:t>. وت</w:t>
      </w:r>
      <w:r>
        <w:rPr>
          <w:rFonts w:hint="cs"/>
          <w:rtl/>
        </w:rPr>
        <w:t>تولى</w:t>
      </w:r>
      <w:r>
        <w:rPr>
          <w:rtl/>
        </w:rPr>
        <w:t xml:space="preserve"> التحقيق في هذه الشكاوى وحدة خاصة تابعة ل</w:t>
      </w:r>
      <w:r>
        <w:rPr>
          <w:rFonts w:hint="cs"/>
          <w:rtl/>
        </w:rPr>
        <w:t>إدا</w:t>
      </w:r>
      <w:r>
        <w:rPr>
          <w:rtl/>
        </w:rPr>
        <w:t>رة عمليات اللجنة المستقلة لمحاربة الفساد. وعندما تستكمل هذه الوحدة تحقي</w:t>
      </w:r>
      <w:r>
        <w:rPr>
          <w:rtl/>
        </w:rPr>
        <w:t xml:space="preserve">قاتها في </w:t>
      </w:r>
      <w:r>
        <w:rPr>
          <w:rFonts w:hint="cs"/>
          <w:rtl/>
        </w:rPr>
        <w:t xml:space="preserve">أي </w:t>
      </w:r>
      <w:r>
        <w:rPr>
          <w:rtl/>
        </w:rPr>
        <w:t xml:space="preserve">شكوى من الشكاوى، تقدم استنتاجاتها وتوصياتها إلى </w:t>
      </w:r>
      <w:r>
        <w:rPr>
          <w:rFonts w:hint="cs"/>
          <w:rtl/>
        </w:rPr>
        <w:t xml:space="preserve">لجنة الشكاوى </w:t>
      </w:r>
      <w:r>
        <w:rPr>
          <w:rtl/>
        </w:rPr>
        <w:t>للنظر فيها.</w:t>
      </w:r>
    </w:p>
    <w:p w:rsidR="00000000" w:rsidRDefault="00443EC1">
      <w:pPr>
        <w:spacing w:line="380" w:lineRule="exact"/>
        <w:jc w:val="both"/>
        <w:rPr>
          <w:rFonts w:hint="cs"/>
          <w:b/>
          <w:bCs/>
          <w:rtl/>
        </w:rPr>
      </w:pPr>
      <w:r>
        <w:rPr>
          <w:rFonts w:hint="cs"/>
          <w:b/>
          <w:bCs/>
          <w:rtl/>
        </w:rPr>
        <w:t>الخدمات المنظمة الأخرى</w:t>
      </w:r>
    </w:p>
    <w:p w:rsidR="00000000" w:rsidRDefault="00443EC1">
      <w:pPr>
        <w:spacing w:line="380" w:lineRule="exact"/>
        <w:jc w:val="both"/>
      </w:pPr>
      <w:r>
        <w:rPr>
          <w:rFonts w:hint="cs"/>
          <w:rtl/>
        </w:rPr>
        <w:t>337</w:t>
      </w:r>
      <w:r>
        <w:rPr>
          <w:rtl/>
        </w:rPr>
        <w:t>-</w:t>
      </w:r>
      <w:r>
        <w:rPr>
          <w:rtl/>
        </w:rPr>
        <w:tab/>
      </w:r>
      <w:r>
        <w:rPr>
          <w:rFonts w:hint="cs"/>
          <w:rtl/>
        </w:rPr>
        <w:t xml:space="preserve">لدى إدارات </w:t>
      </w:r>
      <w:r>
        <w:rPr>
          <w:rtl/>
        </w:rPr>
        <w:t xml:space="preserve">خدمات منظمة أخرى مبادئ توجيهية وإجراءات واضحة </w:t>
      </w:r>
      <w:r>
        <w:rPr>
          <w:rFonts w:hint="cs"/>
          <w:rtl/>
        </w:rPr>
        <w:t>بشأن</w:t>
      </w:r>
      <w:r>
        <w:rPr>
          <w:rtl/>
        </w:rPr>
        <w:t xml:space="preserve"> معالجة الشكاوى. وعلى سبيل المثال</w:t>
      </w:r>
      <w:r>
        <w:rPr>
          <w:rFonts w:hint="cs"/>
          <w:rtl/>
        </w:rPr>
        <w:t>،</w:t>
      </w:r>
      <w:r>
        <w:rPr>
          <w:rtl/>
        </w:rPr>
        <w:t xml:space="preserve"> تضم </w:t>
      </w:r>
      <w:r>
        <w:rPr>
          <w:rFonts w:hint="cs"/>
          <w:rtl/>
        </w:rPr>
        <w:t>إدارة</w:t>
      </w:r>
      <w:r>
        <w:rPr>
          <w:rtl/>
        </w:rPr>
        <w:t xml:space="preserve"> الخدمات </w:t>
      </w:r>
      <w:r>
        <w:rPr>
          <w:rFonts w:hint="cs"/>
          <w:rtl/>
        </w:rPr>
        <w:t>الإصلاحية،</w:t>
      </w:r>
      <w:r>
        <w:rPr>
          <w:rtl/>
        </w:rPr>
        <w:t xml:space="preserve"> التي تدير السجون ف</w:t>
      </w:r>
      <w:r>
        <w:rPr>
          <w:rtl/>
        </w:rPr>
        <w:t xml:space="preserve">ي منطقة هونغ كونغ الإدارية الخاصة، وحدة تحقيق في الشكاوى لإدارة النظام الداخلي للانتصاف من المظالم الخاص بالموظفين والسجناء. ويحق </w:t>
      </w:r>
      <w:r>
        <w:rPr>
          <w:rFonts w:hint="cs"/>
          <w:rtl/>
        </w:rPr>
        <w:t xml:space="preserve">أيضاً </w:t>
      </w:r>
      <w:r>
        <w:rPr>
          <w:rtl/>
        </w:rPr>
        <w:t>لموظفي دائرة الخدمات ال</w:t>
      </w:r>
      <w:r>
        <w:rPr>
          <w:rFonts w:hint="cs"/>
          <w:rtl/>
        </w:rPr>
        <w:t>إ</w:t>
      </w:r>
      <w:r>
        <w:rPr>
          <w:rtl/>
        </w:rPr>
        <w:t>صلاحية وللسجناء تقديم الشكاوى مباشرة</w:t>
      </w:r>
      <w:r>
        <w:rPr>
          <w:rFonts w:hint="cs"/>
          <w:rtl/>
        </w:rPr>
        <w:t>ً</w:t>
      </w:r>
      <w:r>
        <w:rPr>
          <w:rtl/>
        </w:rPr>
        <w:t xml:space="preserve"> إلى أمين</w:t>
      </w:r>
      <w:r>
        <w:rPr>
          <w:rFonts w:hint="cs"/>
          <w:rtl/>
        </w:rPr>
        <w:t>ة</w:t>
      </w:r>
      <w:r>
        <w:rPr>
          <w:rtl/>
        </w:rPr>
        <w:t xml:space="preserve"> المظالم. وتعتبر قنوات معالجة الشكاوى القائمة فعا</w:t>
      </w:r>
      <w:r>
        <w:rPr>
          <w:rtl/>
        </w:rPr>
        <w:t xml:space="preserve">لة بالنظر إلى عدد وطبيعة الشكاوى التي </w:t>
      </w:r>
      <w:r>
        <w:rPr>
          <w:rFonts w:hint="cs"/>
          <w:rtl/>
        </w:rPr>
        <w:t>ت</w:t>
      </w:r>
      <w:r>
        <w:rPr>
          <w:rtl/>
        </w:rPr>
        <w:t>عالج.</w:t>
      </w:r>
    </w:p>
    <w:p w:rsidR="00000000" w:rsidRDefault="00443EC1">
      <w:pPr>
        <w:spacing w:line="380" w:lineRule="exact"/>
        <w:jc w:val="both"/>
      </w:pPr>
      <w:r>
        <w:rPr>
          <w:rFonts w:hint="cs"/>
          <w:rtl/>
        </w:rPr>
        <w:t>338</w:t>
      </w:r>
      <w:r>
        <w:rPr>
          <w:rtl/>
        </w:rPr>
        <w:t>-</w:t>
      </w:r>
      <w:r>
        <w:rPr>
          <w:rtl/>
        </w:rPr>
        <w:tab/>
        <w:t xml:space="preserve">وتطبق </w:t>
      </w:r>
      <w:r>
        <w:rPr>
          <w:rFonts w:hint="cs"/>
          <w:rtl/>
        </w:rPr>
        <w:t>إدارة</w:t>
      </w:r>
      <w:r>
        <w:rPr>
          <w:rtl/>
        </w:rPr>
        <w:t xml:space="preserve"> الهجرة الإجراءات الخاصة بالشكاوى </w:t>
      </w:r>
      <w:r>
        <w:rPr>
          <w:rFonts w:hint="cs"/>
          <w:rtl/>
        </w:rPr>
        <w:t xml:space="preserve">الواردة في </w:t>
      </w:r>
      <w:r>
        <w:rPr>
          <w:rtl/>
        </w:rPr>
        <w:t>ال</w:t>
      </w:r>
      <w:r>
        <w:rPr>
          <w:rFonts w:hint="cs"/>
          <w:rtl/>
        </w:rPr>
        <w:t xml:space="preserve">أوامر </w:t>
      </w:r>
      <w:r>
        <w:rPr>
          <w:rtl/>
        </w:rPr>
        <w:t xml:space="preserve">الثابتة </w:t>
      </w:r>
      <w:r>
        <w:rPr>
          <w:rFonts w:hint="cs"/>
          <w:rtl/>
        </w:rPr>
        <w:t>لدائرة</w:t>
      </w:r>
      <w:r>
        <w:rPr>
          <w:rtl/>
        </w:rPr>
        <w:t xml:space="preserve"> الهجرة التي ي</w:t>
      </w:r>
      <w:r>
        <w:rPr>
          <w:rFonts w:hint="cs"/>
          <w:rtl/>
        </w:rPr>
        <w:t>صدر</w:t>
      </w:r>
      <w:r>
        <w:rPr>
          <w:rtl/>
        </w:rPr>
        <w:t xml:space="preserve">ها مدير الهجرة </w:t>
      </w:r>
      <w:r>
        <w:rPr>
          <w:rFonts w:hint="cs"/>
          <w:rtl/>
        </w:rPr>
        <w:t>بموجب سلطة قانون دائرة</w:t>
      </w:r>
      <w:r>
        <w:rPr>
          <w:rtl/>
        </w:rPr>
        <w:t xml:space="preserve"> الهجرة. ويمكن تقديم الشكاوى إلى مدير الهجرة </w:t>
      </w:r>
      <w:r>
        <w:rPr>
          <w:rFonts w:hint="cs"/>
          <w:rtl/>
        </w:rPr>
        <w:t>ع</w:t>
      </w:r>
      <w:r>
        <w:rPr>
          <w:rtl/>
        </w:rPr>
        <w:t xml:space="preserve">ن إساءة أفراد هذه </w:t>
      </w:r>
      <w:r>
        <w:rPr>
          <w:rFonts w:hint="cs"/>
          <w:rtl/>
        </w:rPr>
        <w:t>الدائرة</w:t>
      </w:r>
      <w:r>
        <w:rPr>
          <w:rtl/>
        </w:rPr>
        <w:t xml:space="preserve"> اس</w:t>
      </w:r>
      <w:r>
        <w:rPr>
          <w:rtl/>
        </w:rPr>
        <w:t xml:space="preserve">تعمال السلطة أو </w:t>
      </w:r>
      <w:r>
        <w:rPr>
          <w:rFonts w:hint="cs"/>
          <w:rtl/>
        </w:rPr>
        <w:t xml:space="preserve">إساءة </w:t>
      </w:r>
      <w:r>
        <w:rPr>
          <w:rtl/>
        </w:rPr>
        <w:t xml:space="preserve">معاملة </w:t>
      </w:r>
      <w:r>
        <w:rPr>
          <w:rFonts w:hint="cs"/>
          <w:rtl/>
        </w:rPr>
        <w:t xml:space="preserve">الغير فيتم التحقيق </w:t>
      </w:r>
      <w:r>
        <w:rPr>
          <w:rtl/>
        </w:rPr>
        <w:t>فيها على الفور وفقاً للإجراءات التي تنص عليها ال</w:t>
      </w:r>
      <w:r>
        <w:rPr>
          <w:rFonts w:hint="cs"/>
          <w:rtl/>
        </w:rPr>
        <w:t xml:space="preserve">أوامر </w:t>
      </w:r>
      <w:r>
        <w:rPr>
          <w:rtl/>
        </w:rPr>
        <w:t>الثابتة. و</w:t>
      </w:r>
      <w:r>
        <w:rPr>
          <w:rFonts w:hint="cs"/>
          <w:rtl/>
        </w:rPr>
        <w:t>ل</w:t>
      </w:r>
      <w:r>
        <w:rPr>
          <w:rtl/>
        </w:rPr>
        <w:t xml:space="preserve">ضمان </w:t>
      </w:r>
      <w:r>
        <w:rPr>
          <w:rFonts w:hint="cs"/>
          <w:rtl/>
        </w:rPr>
        <w:t xml:space="preserve">معالجة </w:t>
      </w:r>
      <w:r>
        <w:rPr>
          <w:rtl/>
        </w:rPr>
        <w:t>جميع الشكاوى على النحو الصحيح، ت</w:t>
      </w:r>
      <w:r>
        <w:rPr>
          <w:rFonts w:hint="cs"/>
          <w:rtl/>
        </w:rPr>
        <w:t>درس</w:t>
      </w:r>
      <w:r>
        <w:rPr>
          <w:rtl/>
        </w:rPr>
        <w:t xml:space="preserve"> فرقة عاملة لاستعراض الشكاوى نتائج التحقيقات، وتجري استعراضات لها وتوصي بمتابعتها</w:t>
      </w:r>
      <w:r>
        <w:rPr>
          <w:rFonts w:hint="cs"/>
          <w:rtl/>
        </w:rPr>
        <w:t xml:space="preserve"> متى لزم الأمر</w:t>
      </w:r>
      <w:r>
        <w:rPr>
          <w:rtl/>
        </w:rPr>
        <w:t>.</w:t>
      </w:r>
      <w:r>
        <w:rPr>
          <w:rtl/>
        </w:rPr>
        <w:t xml:space="preserve"> وتتاح سبل الوصول إلى أم</w:t>
      </w:r>
      <w:r>
        <w:rPr>
          <w:rFonts w:hint="cs"/>
          <w:rtl/>
        </w:rPr>
        <w:t xml:space="preserve">ينة </w:t>
      </w:r>
      <w:r>
        <w:rPr>
          <w:rtl/>
        </w:rPr>
        <w:t xml:space="preserve">المظالم للأشخاص </w:t>
      </w:r>
      <w:r>
        <w:rPr>
          <w:rFonts w:hint="cs"/>
          <w:rtl/>
        </w:rPr>
        <w:t>الذين يعتقدون ب</w:t>
      </w:r>
      <w:r>
        <w:rPr>
          <w:rtl/>
        </w:rPr>
        <w:t xml:space="preserve">أنهم عوملوا معاملة غير </w:t>
      </w:r>
      <w:r>
        <w:rPr>
          <w:rFonts w:hint="cs"/>
          <w:rtl/>
        </w:rPr>
        <w:t>لائق</w:t>
      </w:r>
      <w:r>
        <w:rPr>
          <w:rtl/>
        </w:rPr>
        <w:t xml:space="preserve">ة أو </w:t>
      </w:r>
      <w:r>
        <w:rPr>
          <w:rFonts w:hint="cs"/>
          <w:rtl/>
        </w:rPr>
        <w:t>ب</w:t>
      </w:r>
      <w:r>
        <w:rPr>
          <w:rtl/>
        </w:rPr>
        <w:t>أن قضاياهم قد أسيء تناولها</w:t>
      </w:r>
      <w:r>
        <w:rPr>
          <w:rFonts w:hint="cs"/>
          <w:rtl/>
        </w:rPr>
        <w:t>.</w:t>
      </w:r>
      <w:r>
        <w:rPr>
          <w:rtl/>
        </w:rPr>
        <w:t xml:space="preserve"> وإذا توفرت أدلة </w:t>
      </w:r>
      <w:r>
        <w:rPr>
          <w:rFonts w:hint="cs"/>
          <w:rtl/>
        </w:rPr>
        <w:t>ظاهرة</w:t>
      </w:r>
      <w:r>
        <w:rPr>
          <w:rtl/>
        </w:rPr>
        <w:t xml:space="preserve"> على أن أحد أفراد </w:t>
      </w:r>
      <w:r>
        <w:rPr>
          <w:rFonts w:hint="cs"/>
          <w:rtl/>
        </w:rPr>
        <w:t>دائرة</w:t>
      </w:r>
      <w:r>
        <w:rPr>
          <w:rtl/>
        </w:rPr>
        <w:t xml:space="preserve"> الهجرة قد ارتكب جريمة جنائية، تقدم </w:t>
      </w:r>
      <w:r>
        <w:rPr>
          <w:rFonts w:hint="cs"/>
          <w:rtl/>
        </w:rPr>
        <w:t xml:space="preserve">على الفور دائرة </w:t>
      </w:r>
      <w:r>
        <w:rPr>
          <w:rtl/>
        </w:rPr>
        <w:t>الهجرة تقريراً حول هذا الموضوع إلى الشرط</w:t>
      </w:r>
      <w:r>
        <w:rPr>
          <w:rtl/>
        </w:rPr>
        <w:t>ة لإجراء المزيد من التحقيق فيها. وت</w:t>
      </w:r>
      <w:r>
        <w:rPr>
          <w:rFonts w:hint="cs"/>
          <w:rtl/>
        </w:rPr>
        <w:t xml:space="preserve">خضع </w:t>
      </w:r>
      <w:r>
        <w:rPr>
          <w:rtl/>
        </w:rPr>
        <w:t xml:space="preserve">أيضا الإجراءات التأديبية ضد موظفي </w:t>
      </w:r>
      <w:r>
        <w:rPr>
          <w:rFonts w:hint="cs"/>
          <w:rtl/>
        </w:rPr>
        <w:t xml:space="preserve">دائرة </w:t>
      </w:r>
      <w:r>
        <w:rPr>
          <w:rtl/>
        </w:rPr>
        <w:t xml:space="preserve">الهجرة </w:t>
      </w:r>
      <w:r>
        <w:rPr>
          <w:rFonts w:hint="cs"/>
          <w:rtl/>
        </w:rPr>
        <w:t>لقانون دائرة</w:t>
      </w:r>
      <w:r>
        <w:rPr>
          <w:rtl/>
        </w:rPr>
        <w:t xml:space="preserve"> الهجرة و</w:t>
      </w:r>
      <w:r>
        <w:rPr>
          <w:rFonts w:hint="cs"/>
          <w:rtl/>
        </w:rPr>
        <w:t>ل</w:t>
      </w:r>
      <w:r>
        <w:rPr>
          <w:rtl/>
        </w:rPr>
        <w:t xml:space="preserve">لأوامر الثابتة </w:t>
      </w:r>
      <w:r>
        <w:rPr>
          <w:rFonts w:hint="cs"/>
          <w:rtl/>
        </w:rPr>
        <w:t>لدائرة</w:t>
      </w:r>
      <w:r>
        <w:rPr>
          <w:rtl/>
        </w:rPr>
        <w:t xml:space="preserve"> الهجرة. و</w:t>
      </w:r>
      <w:r>
        <w:rPr>
          <w:rFonts w:hint="cs"/>
          <w:rtl/>
        </w:rPr>
        <w:t>وفقاً</w:t>
      </w:r>
      <w:r>
        <w:rPr>
          <w:rtl/>
        </w:rPr>
        <w:t xml:space="preserve"> </w:t>
      </w:r>
      <w:r>
        <w:rPr>
          <w:rFonts w:hint="cs"/>
          <w:rtl/>
        </w:rPr>
        <w:t>ل</w:t>
      </w:r>
      <w:r>
        <w:rPr>
          <w:rtl/>
        </w:rPr>
        <w:t xml:space="preserve">لبند 8 من </w:t>
      </w:r>
      <w:r>
        <w:rPr>
          <w:rFonts w:hint="cs"/>
          <w:rtl/>
        </w:rPr>
        <w:t>قانون دائرة</w:t>
      </w:r>
      <w:r>
        <w:rPr>
          <w:rtl/>
        </w:rPr>
        <w:t xml:space="preserve"> الهجرة</w:t>
      </w:r>
      <w:r>
        <w:rPr>
          <w:rFonts w:hint="cs"/>
          <w:rtl/>
        </w:rPr>
        <w:t xml:space="preserve"> (الفصل 115)، </w:t>
      </w:r>
      <w:r>
        <w:rPr>
          <w:rtl/>
        </w:rPr>
        <w:t xml:space="preserve">تعتبر </w:t>
      </w:r>
      <w:r>
        <w:rPr>
          <w:spacing w:val="0"/>
          <w:rtl/>
        </w:rPr>
        <w:t xml:space="preserve">ممارسة السلطة على نحو غير قانوني أو غير ضروري </w:t>
      </w:r>
      <w:r>
        <w:rPr>
          <w:rFonts w:hint="cs"/>
          <w:spacing w:val="0"/>
          <w:rtl/>
        </w:rPr>
        <w:t>يؤدي إلى إلحاق خ</w:t>
      </w:r>
      <w:r>
        <w:rPr>
          <w:rFonts w:hint="cs"/>
          <w:spacing w:val="0"/>
          <w:rtl/>
        </w:rPr>
        <w:t>سارة أو أذى بأي شخص</w:t>
      </w:r>
      <w:r>
        <w:rPr>
          <w:spacing w:val="0"/>
          <w:rtl/>
        </w:rPr>
        <w:t xml:space="preserve"> جرماً ي</w:t>
      </w:r>
      <w:r>
        <w:rPr>
          <w:rFonts w:hint="cs"/>
          <w:spacing w:val="0"/>
          <w:rtl/>
        </w:rPr>
        <w:t>عاقب عليه</w:t>
      </w:r>
      <w:r>
        <w:rPr>
          <w:spacing w:val="0"/>
          <w:rtl/>
        </w:rPr>
        <w:t>.</w:t>
      </w:r>
    </w:p>
    <w:p w:rsidR="00000000" w:rsidRDefault="00443EC1">
      <w:pPr>
        <w:spacing w:line="380" w:lineRule="exact"/>
        <w:jc w:val="center"/>
        <w:rPr>
          <w:b/>
          <w:bCs/>
          <w:sz w:val="36"/>
          <w:szCs w:val="36"/>
        </w:rPr>
      </w:pPr>
      <w:r>
        <w:rPr>
          <w:b/>
          <w:bCs/>
          <w:sz w:val="36"/>
          <w:szCs w:val="36"/>
          <w:rtl/>
        </w:rPr>
        <w:t>رابعاً- الإعلام والإعلان</w:t>
      </w:r>
    </w:p>
    <w:p w:rsidR="00000000" w:rsidRDefault="00443EC1">
      <w:pPr>
        <w:spacing w:line="380" w:lineRule="exact"/>
        <w:jc w:val="both"/>
        <w:rPr>
          <w:b/>
          <w:bCs/>
        </w:rPr>
      </w:pPr>
      <w:r>
        <w:rPr>
          <w:b/>
          <w:bCs/>
          <w:rtl/>
        </w:rPr>
        <w:t xml:space="preserve">تعزيز </w:t>
      </w:r>
      <w:r>
        <w:rPr>
          <w:rFonts w:hint="cs"/>
          <w:b/>
          <w:bCs/>
          <w:rtl/>
        </w:rPr>
        <w:t>الوعي</w:t>
      </w:r>
      <w:r>
        <w:rPr>
          <w:b/>
          <w:bCs/>
          <w:rtl/>
        </w:rPr>
        <w:t xml:space="preserve"> بمعاهدات حقوق الإنسان</w:t>
      </w:r>
    </w:p>
    <w:p w:rsidR="00000000" w:rsidRDefault="00443EC1">
      <w:pPr>
        <w:spacing w:before="180" w:after="180" w:line="360" w:lineRule="exact"/>
        <w:jc w:val="both"/>
        <w:rPr>
          <w:rFonts w:hint="cs"/>
          <w:rtl/>
        </w:rPr>
      </w:pPr>
      <w:r>
        <w:rPr>
          <w:rFonts w:hint="cs"/>
          <w:rtl/>
        </w:rPr>
        <w:t>339</w:t>
      </w:r>
      <w:r>
        <w:rPr>
          <w:rtl/>
        </w:rPr>
        <w:t>-</w:t>
      </w:r>
      <w:r>
        <w:rPr>
          <w:rtl/>
        </w:rPr>
        <w:tab/>
        <w:t>ي</w:t>
      </w:r>
      <w:r>
        <w:rPr>
          <w:rFonts w:hint="cs"/>
          <w:rtl/>
        </w:rPr>
        <w:t>ضطلع</w:t>
      </w:r>
      <w:r>
        <w:rPr>
          <w:rtl/>
        </w:rPr>
        <w:t xml:space="preserve"> مكتب الشؤون الداخلية لحكومة منطقة هونغ كونغ الإدارية الخاصة </w:t>
      </w:r>
      <w:r>
        <w:rPr>
          <w:rFonts w:hint="cs"/>
          <w:rtl/>
        </w:rPr>
        <w:t>ب</w:t>
      </w:r>
      <w:r>
        <w:rPr>
          <w:rtl/>
        </w:rPr>
        <w:t>مسؤولية تعزيز ال</w:t>
      </w:r>
      <w:r>
        <w:rPr>
          <w:rFonts w:hint="cs"/>
          <w:rtl/>
        </w:rPr>
        <w:t>إ</w:t>
      </w:r>
      <w:r>
        <w:rPr>
          <w:rtl/>
        </w:rPr>
        <w:t>لمام العام بالحقوق والالتزامات المنصوص عليها في معاهدات حقوق الإنسان ا</w:t>
      </w:r>
      <w:r>
        <w:rPr>
          <w:rtl/>
        </w:rPr>
        <w:t>لمطبقة في "المنطقة". و</w:t>
      </w:r>
      <w:r>
        <w:rPr>
          <w:rFonts w:hint="cs"/>
          <w:rtl/>
        </w:rPr>
        <w:t>في أعقاب</w:t>
      </w:r>
      <w:r>
        <w:rPr>
          <w:rtl/>
        </w:rPr>
        <w:t xml:space="preserve"> سن قانون شرعة الحقوق في هونغ كونغ عام 1991</w:t>
      </w:r>
      <w:r>
        <w:rPr>
          <w:rFonts w:hint="cs"/>
          <w:rtl/>
        </w:rPr>
        <w:t>،</w:t>
      </w:r>
      <w:r>
        <w:rPr>
          <w:rtl/>
        </w:rPr>
        <w:t xml:space="preserve"> أنشأت اللجنة المعنية بتعزيز التربية المدنية التابعة لمكتب الشؤون الداخلية لجنة فرعية معنية بتعليم حقوق الإنسان لت</w:t>
      </w:r>
      <w:r>
        <w:rPr>
          <w:rFonts w:hint="cs"/>
          <w:rtl/>
        </w:rPr>
        <w:t>حسين</w:t>
      </w:r>
      <w:r>
        <w:rPr>
          <w:rtl/>
        </w:rPr>
        <w:t xml:space="preserve"> الفهم العام </w:t>
      </w:r>
      <w:r>
        <w:rPr>
          <w:rFonts w:hint="cs"/>
          <w:rtl/>
        </w:rPr>
        <w:t xml:space="preserve">لقانون شرعة الحقوق </w:t>
      </w:r>
      <w:r>
        <w:rPr>
          <w:rtl/>
        </w:rPr>
        <w:t>واحترام حقوق الإنسان المنصوص علي</w:t>
      </w:r>
      <w:r>
        <w:rPr>
          <w:rtl/>
        </w:rPr>
        <w:t>ها في مختلف المعاهدات. وكان موضوع حقوق الإنسان على مدى السنوات الست الماضية أحد مجالات التركيز الرئيسية لعمل اللجنة المعنية بتعزيز التربية المدنية. وقد ضاعفت هذه اللجنة مؤخراً جهودها لت</w:t>
      </w:r>
      <w:r>
        <w:rPr>
          <w:rFonts w:hint="cs"/>
          <w:rtl/>
        </w:rPr>
        <w:t>حسين</w:t>
      </w:r>
      <w:r>
        <w:rPr>
          <w:rtl/>
        </w:rPr>
        <w:t xml:space="preserve"> الفهم العام للقانون الأساسي الذي ينص على ضمانات دستورية لحماية حقو</w:t>
      </w:r>
      <w:r>
        <w:rPr>
          <w:rtl/>
        </w:rPr>
        <w:t xml:space="preserve">ق الإنسان في "المنطقة". </w:t>
      </w:r>
      <w:r>
        <w:rPr>
          <w:rFonts w:hint="cs"/>
          <w:rtl/>
        </w:rPr>
        <w:t>وأُنشئت في كانون الثاني/يناير 1998 لجنة توجيهية للتعريف بالقانون الأساسي برئاسة المدير العام لشؤون الإدارة لتتولى توجيه استراتيجية الترويج.</w:t>
      </w:r>
    </w:p>
    <w:p w:rsidR="00000000" w:rsidRDefault="00443EC1">
      <w:pPr>
        <w:spacing w:before="180" w:after="180" w:line="360" w:lineRule="exact"/>
        <w:jc w:val="both"/>
        <w:rPr>
          <w:rFonts w:hint="cs"/>
          <w:u w:val="single"/>
          <w:rtl/>
        </w:rPr>
      </w:pPr>
      <w:r>
        <w:rPr>
          <w:rFonts w:hint="cs"/>
          <w:rtl/>
        </w:rPr>
        <w:t>340-</w:t>
      </w:r>
      <w:r>
        <w:rPr>
          <w:rFonts w:hint="cs"/>
          <w:rtl/>
        </w:rPr>
        <w:tab/>
        <w:t>وفي عام 2002، أنشأ المكتب منتدى مشتركاً بين الحكومة والمنظمات غير الحكومية هو اللجنة ال</w:t>
      </w:r>
      <w:r>
        <w:rPr>
          <w:rFonts w:hint="cs"/>
          <w:rtl/>
        </w:rPr>
        <w:t xml:space="preserve">معنية بتعزيز الانسجام العرقي، لإسداء المشورة إلى الحكومة بشأن تعزيز الاحترام والتسامح على الصعيد الدولي وبشأن المسائل المتعلقة بالاتفاقية الدولية للقضاء على جميع أشكال التمييز العنصري. وتتولى خدمة هذه اللجنة وحدةُ العلاقات العنصرية التي أُنشئت كذلك في عام </w:t>
      </w:r>
      <w:r>
        <w:rPr>
          <w:rFonts w:hint="cs"/>
          <w:rtl/>
        </w:rPr>
        <w:t>2002 تحت إشراف مكتب الشؤون الداخلية.</w:t>
      </w:r>
    </w:p>
    <w:p w:rsidR="00000000" w:rsidRDefault="00443EC1">
      <w:pPr>
        <w:spacing w:before="180" w:after="180" w:line="360" w:lineRule="exact"/>
        <w:jc w:val="both"/>
        <w:rPr>
          <w:b/>
          <w:bCs/>
        </w:rPr>
      </w:pPr>
      <w:r>
        <w:rPr>
          <w:b/>
          <w:bCs/>
          <w:rtl/>
        </w:rPr>
        <w:t>المنشورات الحكومية</w:t>
      </w:r>
    </w:p>
    <w:p w:rsidR="00000000" w:rsidRDefault="00443EC1">
      <w:pPr>
        <w:spacing w:before="180" w:after="180" w:line="360" w:lineRule="exact"/>
        <w:jc w:val="both"/>
      </w:pPr>
      <w:r>
        <w:rPr>
          <w:rFonts w:hint="cs"/>
          <w:rtl/>
        </w:rPr>
        <w:t>341</w:t>
      </w:r>
      <w:r>
        <w:rPr>
          <w:rtl/>
        </w:rPr>
        <w:t>-</w:t>
      </w:r>
      <w:r>
        <w:rPr>
          <w:rtl/>
        </w:rPr>
        <w:tab/>
      </w:r>
      <w:r>
        <w:rPr>
          <w:rFonts w:hint="cs"/>
          <w:rtl/>
        </w:rPr>
        <w:t>إن الحكومة المركزية لجمهورية الصين الشعبية ملزمة بتقديم تقارير فيما يتصل بمنطقة هونغ كونغ الإدارية الخاصة بموجب مختلف معاهدات حقوق الإنسان لكن (انظر الفقرة 342 أدناه بخصوص العهد الدولي الخاص بالح</w:t>
      </w:r>
      <w:r>
        <w:rPr>
          <w:rFonts w:hint="cs"/>
          <w:rtl/>
        </w:rPr>
        <w:t xml:space="preserve">قوق المدنية والسياسية). </w:t>
      </w:r>
      <w:r>
        <w:rPr>
          <w:rtl/>
        </w:rPr>
        <w:t>وي</w:t>
      </w:r>
      <w:r>
        <w:rPr>
          <w:rFonts w:hint="cs"/>
          <w:rtl/>
        </w:rPr>
        <w:t>تولى</w:t>
      </w:r>
      <w:r>
        <w:rPr>
          <w:rtl/>
        </w:rPr>
        <w:t xml:space="preserve"> مكتب الشؤون الداخلية </w:t>
      </w:r>
      <w:r>
        <w:rPr>
          <w:rFonts w:hint="cs"/>
          <w:rtl/>
        </w:rPr>
        <w:t xml:space="preserve">والمكتب المعني بالصحة والرفاه والأغذية في حكومة </w:t>
      </w:r>
      <w:r>
        <w:rPr>
          <w:rtl/>
        </w:rPr>
        <w:t xml:space="preserve">منطقة هونغ كونغ الإدارية الخاصة إعداد مشاريع التقارير. ويتشاور </w:t>
      </w:r>
      <w:r>
        <w:rPr>
          <w:rFonts w:hint="cs"/>
          <w:rtl/>
        </w:rPr>
        <w:t xml:space="preserve">المكتبان </w:t>
      </w:r>
      <w:r>
        <w:rPr>
          <w:rtl/>
        </w:rPr>
        <w:t xml:space="preserve">مع المجلس التشريعي والمنظمات غير الحكومية بشأن حالة </w:t>
      </w:r>
      <w:r>
        <w:rPr>
          <w:rFonts w:hint="cs"/>
          <w:rtl/>
        </w:rPr>
        <w:t>تنفي</w:t>
      </w:r>
      <w:r>
        <w:rPr>
          <w:rFonts w:hint="eastAsia"/>
          <w:rtl/>
        </w:rPr>
        <w:t>ذ</w:t>
      </w:r>
      <w:r>
        <w:rPr>
          <w:rtl/>
        </w:rPr>
        <w:t xml:space="preserve"> هذه المعاهدات في "</w:t>
      </w:r>
      <w:r>
        <w:rPr>
          <w:rFonts w:hint="cs"/>
          <w:rtl/>
        </w:rPr>
        <w:t>هونغ كون</w:t>
      </w:r>
      <w:r>
        <w:rPr>
          <w:rFonts w:hint="cs"/>
          <w:rtl/>
        </w:rPr>
        <w:t>غ</w:t>
      </w:r>
      <w:r>
        <w:rPr>
          <w:rtl/>
        </w:rPr>
        <w:t>". ويتناول</w:t>
      </w:r>
      <w:r>
        <w:rPr>
          <w:rFonts w:hint="cs"/>
          <w:rtl/>
        </w:rPr>
        <w:t>ان</w:t>
      </w:r>
      <w:r>
        <w:rPr>
          <w:rtl/>
        </w:rPr>
        <w:t xml:space="preserve"> آراءها في التقارير </w:t>
      </w:r>
      <w:r>
        <w:rPr>
          <w:rFonts w:hint="cs"/>
          <w:rtl/>
        </w:rPr>
        <w:t xml:space="preserve">ويقدمان هذه التقارير إلى المجلس التشريعي - وتنشر </w:t>
      </w:r>
      <w:r>
        <w:rPr>
          <w:rtl/>
        </w:rPr>
        <w:t>في نسخ</w:t>
      </w:r>
      <w:r>
        <w:rPr>
          <w:rFonts w:hint="cs"/>
          <w:rtl/>
        </w:rPr>
        <w:t>ٍ</w:t>
      </w:r>
      <w:r>
        <w:rPr>
          <w:rtl/>
        </w:rPr>
        <w:t xml:space="preserve"> مجلدة ثنائية اللغات بعد </w:t>
      </w:r>
      <w:r>
        <w:rPr>
          <w:rFonts w:hint="cs"/>
          <w:rtl/>
        </w:rPr>
        <w:t>أن تقدم الحكومة المركزية لجمهورية الصين الشعبية</w:t>
      </w:r>
      <w:r>
        <w:rPr>
          <w:rtl/>
        </w:rPr>
        <w:t xml:space="preserve"> هذه التقارير إلى </w:t>
      </w:r>
      <w:r>
        <w:rPr>
          <w:rFonts w:hint="cs"/>
          <w:rtl/>
        </w:rPr>
        <w:t xml:space="preserve">الهيئات المختصة في </w:t>
      </w:r>
      <w:r>
        <w:rPr>
          <w:rtl/>
        </w:rPr>
        <w:t xml:space="preserve">الأمم المتحدة. </w:t>
      </w:r>
      <w:r>
        <w:rPr>
          <w:rFonts w:hint="cs"/>
          <w:rtl/>
        </w:rPr>
        <w:t xml:space="preserve">وتودع </w:t>
      </w:r>
      <w:r>
        <w:rPr>
          <w:rtl/>
        </w:rPr>
        <w:t>نسخ منها في المكتبات العامة و</w:t>
      </w:r>
      <w:r>
        <w:rPr>
          <w:rFonts w:hint="cs"/>
          <w:rtl/>
        </w:rPr>
        <w:t>ت</w:t>
      </w:r>
      <w:r>
        <w:rPr>
          <w:rtl/>
        </w:rPr>
        <w:t>نشر على</w:t>
      </w:r>
      <w:r>
        <w:rPr>
          <w:rtl/>
        </w:rPr>
        <w:t xml:space="preserve"> شبكة الإنترنت ل</w:t>
      </w:r>
      <w:r>
        <w:rPr>
          <w:rFonts w:hint="cs"/>
          <w:rtl/>
        </w:rPr>
        <w:t>إ</w:t>
      </w:r>
      <w:r>
        <w:rPr>
          <w:rtl/>
        </w:rPr>
        <w:t>طلاع الجمهور عليها.</w:t>
      </w:r>
    </w:p>
    <w:p w:rsidR="00000000" w:rsidRDefault="00443EC1">
      <w:pPr>
        <w:spacing w:before="180" w:after="180" w:line="360" w:lineRule="exact"/>
        <w:jc w:val="both"/>
        <w:rPr>
          <w:u w:val="single"/>
        </w:rPr>
      </w:pPr>
      <w:r>
        <w:rPr>
          <w:b/>
          <w:bCs/>
          <w:rtl/>
        </w:rPr>
        <w:t xml:space="preserve">تقارير منطقة هونغ كونغ الإدارية الخاصة في إطار العهد الدولي الخاص بالحقوق المدنية والسياسية </w:t>
      </w:r>
    </w:p>
    <w:p w:rsidR="00000000" w:rsidRDefault="00443EC1">
      <w:pPr>
        <w:spacing w:before="180" w:after="180" w:line="360" w:lineRule="exact"/>
        <w:jc w:val="both"/>
      </w:pPr>
      <w:r>
        <w:rPr>
          <w:rFonts w:hint="cs"/>
          <w:rtl/>
        </w:rPr>
        <w:t>342</w:t>
      </w:r>
      <w:r>
        <w:rPr>
          <w:rtl/>
        </w:rPr>
        <w:t>-</w:t>
      </w:r>
      <w:r>
        <w:rPr>
          <w:rtl/>
        </w:rPr>
        <w:tab/>
        <w:t xml:space="preserve">أعلنت </w:t>
      </w:r>
      <w:r>
        <w:rPr>
          <w:rFonts w:hint="cs"/>
          <w:rtl/>
        </w:rPr>
        <w:t>الحكومة المركزية لجمهورية الصين الشعبية</w:t>
      </w:r>
      <w:r>
        <w:rPr>
          <w:rtl/>
        </w:rPr>
        <w:t xml:space="preserve"> في تشرين الثاني/نوفمبر 1997 أنها</w:t>
      </w:r>
      <w:r>
        <w:rPr>
          <w:rFonts w:hint="cs"/>
          <w:rtl/>
        </w:rPr>
        <w:t xml:space="preserve">، تمشياً مع </w:t>
      </w:r>
      <w:r>
        <w:rPr>
          <w:rtl/>
        </w:rPr>
        <w:t>الإعلان المشترك والقانون الأساس</w:t>
      </w:r>
      <w:r>
        <w:rPr>
          <w:rtl/>
        </w:rPr>
        <w:t>ي</w:t>
      </w:r>
      <w:r>
        <w:rPr>
          <w:rFonts w:hint="cs"/>
          <w:rtl/>
        </w:rPr>
        <w:t>،</w:t>
      </w:r>
      <w:r>
        <w:rPr>
          <w:rtl/>
        </w:rPr>
        <w:t xml:space="preserve"> و</w:t>
      </w:r>
      <w:r>
        <w:rPr>
          <w:rFonts w:hint="cs"/>
          <w:rtl/>
        </w:rPr>
        <w:t>نظراً</w:t>
      </w:r>
      <w:r>
        <w:rPr>
          <w:rtl/>
        </w:rPr>
        <w:t xml:space="preserve"> إلى أن الصين لم توقّع بعد على العهدين</w:t>
      </w:r>
      <w:r>
        <w:rPr>
          <w:rFonts w:hint="cs"/>
          <w:rtl/>
        </w:rPr>
        <w:t xml:space="preserve"> الدوليين الخاصين بحقوق الإنسان، ستشير إلى أحكام العهدين كما هي مطبقة في هونغ كونغ وستقدم تقارير عن تنفيذها في </w:t>
      </w:r>
      <w:r>
        <w:rPr>
          <w:rtl/>
        </w:rPr>
        <w:t xml:space="preserve">منطقة هونغ كونغ الإدارية </w:t>
      </w:r>
      <w:r>
        <w:rPr>
          <w:rFonts w:hint="cs"/>
          <w:rtl/>
        </w:rPr>
        <w:t>إلى الهيئات المعنية المنشأة بموجب المعاهدات</w:t>
      </w:r>
      <w:r>
        <w:rPr>
          <w:rtl/>
        </w:rPr>
        <w:t xml:space="preserve">. </w:t>
      </w:r>
      <w:r>
        <w:rPr>
          <w:rFonts w:hint="cs"/>
          <w:rtl/>
        </w:rPr>
        <w:t>وقد صدقت الصين على العهد الد</w:t>
      </w:r>
      <w:r>
        <w:rPr>
          <w:rFonts w:hint="cs"/>
          <w:rtl/>
        </w:rPr>
        <w:t xml:space="preserve">ولي الخاص بالحقوق الاقتصادية والاجتماعية والثقافية في عام 2001، ويشكل الآن تقرير منطقة هونغ كونغ الإدارية الخاصة جزءاً من تقرير الصين. </w:t>
      </w:r>
      <w:r>
        <w:rPr>
          <w:rtl/>
        </w:rPr>
        <w:t>وعليه</w:t>
      </w:r>
      <w:r>
        <w:rPr>
          <w:rFonts w:hint="cs"/>
          <w:rtl/>
        </w:rPr>
        <w:t>،</w:t>
      </w:r>
      <w:r>
        <w:rPr>
          <w:rtl/>
        </w:rPr>
        <w:t xml:space="preserve"> فإن حكومة منطقة هونغ كونغ الإدارية الخاصة مسؤولة عن إع</w:t>
      </w:r>
      <w:r>
        <w:rPr>
          <w:rFonts w:hint="cs"/>
          <w:rtl/>
        </w:rPr>
        <w:t>ـ</w:t>
      </w:r>
      <w:r>
        <w:rPr>
          <w:rtl/>
        </w:rPr>
        <w:t xml:space="preserve">داد </w:t>
      </w:r>
      <w:r>
        <w:rPr>
          <w:rFonts w:hint="cs"/>
          <w:rtl/>
        </w:rPr>
        <w:t>التقـرير عن</w:t>
      </w:r>
      <w:r>
        <w:rPr>
          <w:rtl/>
        </w:rPr>
        <w:t xml:space="preserve"> "المنطقة" فيما يتعلق </w:t>
      </w:r>
      <w:r>
        <w:rPr>
          <w:rFonts w:hint="cs"/>
          <w:rtl/>
        </w:rPr>
        <w:t>بالعهد الدولي الخاص با</w:t>
      </w:r>
      <w:r>
        <w:rPr>
          <w:rFonts w:hint="cs"/>
          <w:rtl/>
        </w:rPr>
        <w:t>لحقوق المدنية والسياسية لإحالته إلى الهيئة المعنية المنشأة بموجب المعاهدة.</w:t>
      </w:r>
    </w:p>
    <w:p w:rsidR="00000000" w:rsidRDefault="00443EC1">
      <w:pPr>
        <w:spacing w:before="180" w:after="180" w:line="360" w:lineRule="exact"/>
        <w:jc w:val="center"/>
        <w:rPr>
          <w:rFonts w:hint="cs"/>
          <w:b/>
          <w:bCs/>
          <w:sz w:val="38"/>
          <w:szCs w:val="36"/>
          <w:rtl/>
          <w:lang w:eastAsia="en-US"/>
        </w:rPr>
      </w:pPr>
      <w:r>
        <w:rPr>
          <w:rFonts w:hint="cs"/>
          <w:b/>
          <w:bCs/>
          <w:sz w:val="38"/>
          <w:szCs w:val="36"/>
          <w:rtl/>
        </w:rPr>
        <w:t>خامساً -</w:t>
      </w:r>
      <w:r>
        <w:rPr>
          <w:rFonts w:hint="cs"/>
          <w:b/>
          <w:bCs/>
          <w:sz w:val="28"/>
          <w:szCs w:val="36"/>
          <w:rtl/>
          <w:lang w:eastAsia="en-US"/>
        </w:rPr>
        <w:t xml:space="preserve"> </w:t>
      </w:r>
      <w:r>
        <w:rPr>
          <w:rFonts w:hint="cs"/>
          <w:b/>
          <w:bCs/>
          <w:sz w:val="38"/>
          <w:szCs w:val="36"/>
          <w:rtl/>
          <w:lang w:eastAsia="en-US"/>
        </w:rPr>
        <w:t>تنفيذ</w:t>
      </w:r>
      <w:r>
        <w:rPr>
          <w:rFonts w:hint="cs"/>
          <w:sz w:val="38"/>
          <w:szCs w:val="36"/>
          <w:rtl/>
          <w:lang w:eastAsia="en-US"/>
        </w:rPr>
        <w:t xml:space="preserve"> </w:t>
      </w:r>
      <w:r>
        <w:rPr>
          <w:rFonts w:hint="cs"/>
          <w:b/>
          <w:bCs/>
          <w:sz w:val="38"/>
          <w:szCs w:val="36"/>
          <w:rtl/>
          <w:lang w:eastAsia="en-US"/>
        </w:rPr>
        <w:t>المواد من 1 إلى 16 من العهد</w:t>
      </w:r>
    </w:p>
    <w:p w:rsidR="00000000" w:rsidRDefault="00443EC1">
      <w:pPr>
        <w:spacing w:before="180" w:after="180" w:line="360" w:lineRule="exact"/>
        <w:jc w:val="center"/>
        <w:rPr>
          <w:rFonts w:hint="cs"/>
          <w:b/>
          <w:bCs/>
          <w:rtl/>
          <w:lang w:eastAsia="en-US"/>
        </w:rPr>
      </w:pPr>
      <w:r>
        <w:rPr>
          <w:rFonts w:hint="cs"/>
          <w:b/>
          <w:bCs/>
          <w:rtl/>
          <w:lang w:eastAsia="en-US"/>
        </w:rPr>
        <w:t>ألف - المادة 1</w:t>
      </w:r>
    </w:p>
    <w:p w:rsidR="00000000" w:rsidRDefault="00443EC1">
      <w:pPr>
        <w:spacing w:before="180" w:after="180" w:line="360" w:lineRule="exact"/>
        <w:jc w:val="center"/>
        <w:rPr>
          <w:rFonts w:hint="cs"/>
          <w:b/>
          <w:bCs/>
          <w:rtl/>
          <w:lang w:eastAsia="en-US"/>
        </w:rPr>
      </w:pPr>
      <w:r>
        <w:rPr>
          <w:rFonts w:hint="cs"/>
          <w:b/>
          <w:bCs/>
          <w:rtl/>
          <w:lang w:eastAsia="en-US"/>
        </w:rPr>
        <w:t>التقدم والتطور في تطبيق الديموقراطية</w:t>
      </w:r>
    </w:p>
    <w:p w:rsidR="00000000" w:rsidRDefault="00443EC1">
      <w:pPr>
        <w:spacing w:line="380" w:lineRule="exact"/>
        <w:jc w:val="both"/>
        <w:rPr>
          <w:rFonts w:hint="cs"/>
          <w:rtl/>
          <w:lang w:eastAsia="en-US"/>
        </w:rPr>
      </w:pPr>
      <w:r>
        <w:rPr>
          <w:rFonts w:hint="cs"/>
          <w:rtl/>
          <w:lang w:eastAsia="en-US"/>
        </w:rPr>
        <w:t>343-</w:t>
      </w:r>
      <w:r>
        <w:rPr>
          <w:rFonts w:hint="cs"/>
          <w:rtl/>
          <w:lang w:eastAsia="en-US"/>
        </w:rPr>
        <w:tab/>
        <w:t>أشارت اللجنة في الفقرة 13 من ملاحظاتها الختامية الصادرة في أيار/مايو 2001 إلى أنه</w:t>
      </w:r>
      <w:r>
        <w:rPr>
          <w:rFonts w:hint="cs"/>
          <w:rtl/>
          <w:lang w:eastAsia="en-US"/>
        </w:rPr>
        <w:t xml:space="preserve"> "على الرغم من </w:t>
      </w:r>
      <w:r>
        <w:rPr>
          <w:rFonts w:hint="cs"/>
          <w:spacing w:val="0"/>
          <w:rtl/>
          <w:lang w:eastAsia="en-US"/>
        </w:rPr>
        <w:t xml:space="preserve">أن </w:t>
      </w:r>
      <w:r>
        <w:rPr>
          <w:spacing w:val="0"/>
          <w:rtl/>
          <w:lang w:eastAsia="en-US"/>
        </w:rPr>
        <w:t>`</w:t>
      </w:r>
      <w:r>
        <w:rPr>
          <w:rFonts w:hint="cs"/>
          <w:spacing w:val="0"/>
          <w:rtl/>
          <w:lang w:eastAsia="en-US"/>
        </w:rPr>
        <w:t>الهدف النهائي</w:t>
      </w:r>
      <w:r>
        <w:rPr>
          <w:spacing w:val="0"/>
          <w:rtl/>
          <w:lang w:eastAsia="en-US"/>
        </w:rPr>
        <w:t>`</w:t>
      </w:r>
      <w:r>
        <w:rPr>
          <w:rFonts w:hint="cs"/>
          <w:spacing w:val="0"/>
          <w:rtl/>
          <w:lang w:eastAsia="en-US"/>
        </w:rPr>
        <w:t xml:space="preserve"> هو انتخاب جميع أعضاء المجلس التشريعي بالاقتراع العام (المادة 68 من القانون الأساسي)، ... </w:t>
      </w:r>
      <w:r>
        <w:rPr>
          <w:rFonts w:hint="cs"/>
          <w:rtl/>
          <w:lang w:eastAsia="en-US"/>
        </w:rPr>
        <w:t>فإن الترتيبات الحالية لانتخاب المجلس التشريعي تشمل بعض العوامل اللاديموقراطية التي تحول دون التمتع الكامل بالحقوق الاقتصادية والاجتما</w:t>
      </w:r>
      <w:r>
        <w:rPr>
          <w:rFonts w:hint="cs"/>
          <w:rtl/>
          <w:lang w:eastAsia="en-US"/>
        </w:rPr>
        <w:t>عية والثقافية في منطقة هونغ كونغ الإدارية الخاصة".</w:t>
      </w:r>
    </w:p>
    <w:p w:rsidR="00000000" w:rsidRDefault="00443EC1">
      <w:pPr>
        <w:spacing w:line="380" w:lineRule="exact"/>
        <w:jc w:val="both"/>
        <w:rPr>
          <w:rFonts w:hint="cs"/>
          <w:rtl/>
          <w:lang w:eastAsia="en-US"/>
        </w:rPr>
      </w:pPr>
      <w:r>
        <w:rPr>
          <w:rFonts w:hint="cs"/>
          <w:rtl/>
          <w:lang w:eastAsia="en-US"/>
        </w:rPr>
        <w:t>344-</w:t>
      </w:r>
      <w:r>
        <w:rPr>
          <w:rFonts w:hint="cs"/>
          <w:rtl/>
          <w:lang w:eastAsia="en-US"/>
        </w:rPr>
        <w:tab/>
        <w:t>ونحيط علماً بدواعي قلق اللجنة وسنواصل تطوير مؤسسات هونغ كونغ الديموقراطية وفقاً للمخطط الذي يتضمنه القانون الأساسي. إذ ينص القانون الأساسي على زيادةٍ مطردة في نسبة المقاعد المنتخبة انتخاباً مباشراً في</w:t>
      </w:r>
      <w:r>
        <w:rPr>
          <w:rFonts w:hint="cs"/>
          <w:rtl/>
          <w:lang w:eastAsia="en-US"/>
        </w:rPr>
        <w:t xml:space="preserve"> المجلس التشريعي من ثلثٍ واحدٍ في فترة الولاية الأولى إلى 40 في المائة في فترة الولاية الثانية. وستزاد النسبة إلى 50 في المائة في فترة الولاية الثالثة التي ستبدأ في عام 2004.</w:t>
      </w:r>
    </w:p>
    <w:p w:rsidR="00000000" w:rsidRDefault="00443EC1">
      <w:pPr>
        <w:spacing w:line="380" w:lineRule="exact"/>
        <w:jc w:val="both"/>
        <w:rPr>
          <w:rFonts w:hint="cs"/>
          <w:rtl/>
          <w:lang w:eastAsia="en-US"/>
        </w:rPr>
      </w:pPr>
      <w:r>
        <w:rPr>
          <w:rFonts w:hint="cs"/>
          <w:rtl/>
          <w:lang w:eastAsia="en-US"/>
        </w:rPr>
        <w:t>345-</w:t>
      </w:r>
      <w:r>
        <w:rPr>
          <w:rFonts w:hint="cs"/>
          <w:rtl/>
          <w:lang w:eastAsia="en-US"/>
        </w:rPr>
        <w:tab/>
        <w:t xml:space="preserve">وانتخاب لجنة الانتخابات لجزءٍ من أعضاء المجلس التشريعي هو خطوة انتقالية نحو </w:t>
      </w:r>
      <w:r>
        <w:rPr>
          <w:rFonts w:hint="cs"/>
          <w:rtl/>
          <w:lang w:eastAsia="en-US"/>
        </w:rPr>
        <w:t xml:space="preserve">إنشاء حكومة تمثيلية في </w:t>
      </w:r>
      <w:r>
        <w:rPr>
          <w:rFonts w:hint="cs"/>
          <w:spacing w:val="0"/>
          <w:rtl/>
          <w:lang w:eastAsia="en-US"/>
        </w:rPr>
        <w:t xml:space="preserve">هونغ كونغ. وبانتهاء الولاية الثانية للمجلس التشريعي تنتهي مسؤولية لجنة الانتخابات عن إعادة الأعضاء إلى المجلس. </w:t>
      </w:r>
    </w:p>
    <w:p w:rsidR="00000000" w:rsidRDefault="00443EC1">
      <w:pPr>
        <w:spacing w:line="380" w:lineRule="exact"/>
        <w:jc w:val="both"/>
        <w:rPr>
          <w:rFonts w:hint="cs"/>
          <w:rtl/>
          <w:lang w:eastAsia="en-US"/>
        </w:rPr>
      </w:pPr>
      <w:r>
        <w:rPr>
          <w:rFonts w:hint="cs"/>
          <w:rtl/>
          <w:lang w:eastAsia="en-US"/>
        </w:rPr>
        <w:t>346-</w:t>
      </w:r>
      <w:r>
        <w:rPr>
          <w:rFonts w:hint="cs"/>
          <w:rtl/>
          <w:lang w:eastAsia="en-US"/>
        </w:rPr>
        <w:tab/>
        <w:t>ولقد اقترح المعلقون أن ندرج في هذه المادة فقرة عن تنفيذ نظام المساءلة المبيَّن في الجزء الثاني من هذا التقرير (الفقر</w:t>
      </w:r>
      <w:r>
        <w:rPr>
          <w:rFonts w:hint="cs"/>
          <w:rtl/>
          <w:lang w:eastAsia="en-US"/>
        </w:rPr>
        <w:t>ة 309). ومن المقرر أن نتناول هذا الموضوع بمزيدٍ من الدقة في تقريرنا الدوري الثاني بموجب العهد الدولي الخاص بالحقوق المدنية والسياسية، الواجب تقديمه في 31 تشرين الأول/أكتوبر 2003. إلا أننا كنا قد أصدرنا أساساً في كانون الثاني/يناير 2003 تقريراً عن النظام ال</w:t>
      </w:r>
      <w:r>
        <w:rPr>
          <w:rFonts w:hint="cs"/>
          <w:rtl/>
          <w:lang w:eastAsia="en-US"/>
        </w:rPr>
        <w:t>جديد للمجلس التشريعي. وقدم هذا التقرير وصفاً لطريقة تنفيذ النظام الجديد بعد انقضاء ستة أشهرٍ على وضعه. وقد تمثل الغرض منه في ضمان أن تصبح الحكومة أكثر استعداداً لتلبية احتياجات المجتمع. كما أنه يدعم الأسس اللازمة لتوفير خدمة مدنية حيادية سياسياً ونزيهة وفن</w:t>
      </w:r>
      <w:r>
        <w:rPr>
          <w:rFonts w:hint="cs"/>
          <w:rtl/>
          <w:lang w:eastAsia="en-US"/>
        </w:rPr>
        <w:t>ية ودائمة وتعتمد الجدارة أساساً للتعيين. ومنذ تطبيق هذا النظام، عمل كبار الموظفين على نحو وثيق وفعال مع موظفي الخدمة المدنية الذين مدوا لهم يد العون في وضع السياسات العامة وتفسيرها والدفاع عنها. ولا يزال تنفيذ هذه السياسات وتقديم الخدمات إلى الجمهور من مسؤ</w:t>
      </w:r>
      <w:r>
        <w:rPr>
          <w:rFonts w:hint="cs"/>
          <w:rtl/>
          <w:lang w:eastAsia="en-US"/>
        </w:rPr>
        <w:t>ولية موظفي الخدمة المدنية. ومن المقرر أن نقدم تقريراً آخر إلى المجلس التشريعي في تموز/يوليه 2003.</w:t>
      </w:r>
    </w:p>
    <w:p w:rsidR="00000000" w:rsidRDefault="00443EC1">
      <w:pPr>
        <w:spacing w:line="380" w:lineRule="exact"/>
        <w:jc w:val="center"/>
        <w:rPr>
          <w:rFonts w:hint="cs"/>
          <w:b/>
          <w:bCs/>
          <w:rtl/>
          <w:lang w:eastAsia="en-US"/>
        </w:rPr>
      </w:pPr>
      <w:r>
        <w:rPr>
          <w:rFonts w:hint="cs"/>
          <w:b/>
          <w:bCs/>
          <w:rtl/>
          <w:lang w:eastAsia="en-US"/>
        </w:rPr>
        <w:t xml:space="preserve">باء - المادة 2 </w:t>
      </w:r>
    </w:p>
    <w:p w:rsidR="00000000" w:rsidRDefault="00443EC1">
      <w:pPr>
        <w:spacing w:line="380" w:lineRule="exact"/>
        <w:jc w:val="center"/>
        <w:rPr>
          <w:rFonts w:hint="cs"/>
          <w:b/>
          <w:bCs/>
          <w:rtl/>
          <w:lang w:eastAsia="en-US"/>
        </w:rPr>
      </w:pPr>
      <w:r>
        <w:rPr>
          <w:rFonts w:hint="cs"/>
          <w:b/>
          <w:bCs/>
          <w:rtl/>
          <w:lang w:eastAsia="en-US"/>
        </w:rPr>
        <w:t>الإعمال التدريجي للحقوق التي أقرها العهد وممارسة هذه الحقوق دون تمييز</w:t>
      </w:r>
    </w:p>
    <w:p w:rsidR="00000000" w:rsidRDefault="00443EC1">
      <w:pPr>
        <w:spacing w:line="380" w:lineRule="exact"/>
        <w:jc w:val="left"/>
        <w:rPr>
          <w:rFonts w:hint="cs"/>
          <w:rtl/>
          <w:lang w:eastAsia="en-US"/>
        </w:rPr>
      </w:pPr>
      <w:r>
        <w:rPr>
          <w:rFonts w:hint="cs"/>
          <w:i/>
          <w:iCs/>
          <w:rtl/>
          <w:lang w:eastAsia="en-US"/>
        </w:rPr>
        <w:t>أحكام حقوق الإنسان في القانون الأساسي وقانون شرعة الحقوق في هونغ كونغ</w:t>
      </w:r>
    </w:p>
    <w:p w:rsidR="00000000" w:rsidRDefault="00443EC1">
      <w:pPr>
        <w:spacing w:line="380" w:lineRule="exact"/>
        <w:jc w:val="both"/>
        <w:rPr>
          <w:rFonts w:hint="cs"/>
          <w:rtl/>
          <w:lang w:eastAsia="en-US"/>
        </w:rPr>
      </w:pPr>
      <w:r>
        <w:rPr>
          <w:rFonts w:hint="cs"/>
          <w:rtl/>
          <w:lang w:eastAsia="en-US"/>
        </w:rPr>
        <w:t>34</w:t>
      </w:r>
      <w:r>
        <w:rPr>
          <w:rFonts w:hint="cs"/>
          <w:rtl/>
          <w:lang w:eastAsia="en-US"/>
        </w:rPr>
        <w:t>7-</w:t>
      </w:r>
      <w:r>
        <w:rPr>
          <w:rFonts w:hint="cs"/>
          <w:rtl/>
          <w:lang w:eastAsia="en-US"/>
        </w:rPr>
        <w:tab/>
        <w:t>أعربت اللجنة في الفقرة 15 من ملاحظاتها الختامية الصادرة في أيار/مايو 2001 عن أسفها لأن "منطقة هونغ كونغ الإدارية الخاصة لم تنفذ عدداً من التوصيات الواردة في ملاحظاتها الختامية لعام 1996 على الرغم من تأكيد الوفد على ضرورة تنفيذها". كما حثت اللجنة في الفق</w:t>
      </w:r>
      <w:r>
        <w:rPr>
          <w:rFonts w:hint="cs"/>
          <w:rtl/>
          <w:lang w:eastAsia="en-US"/>
        </w:rPr>
        <w:t xml:space="preserve">رة 28 منطقة هونغ كونغ الإدارية الخاصة على "أن تنفذ، بالإضافة إلى الملاحظات الحالية، اقتراحات وتوصيات اللجنة الواردة في الملاحظات الختامية لعام 1996وعلى أن تتخذ أي تدابير ملموسة وذات صلة تجدها ضرورية لتنفيذها". وقد تم تحديد التوصيات التي تسترعي </w:t>
      </w:r>
      <w:r>
        <w:rPr>
          <w:rFonts w:hint="cs"/>
          <w:spacing w:val="0"/>
          <w:rtl/>
          <w:lang w:eastAsia="en-US"/>
        </w:rPr>
        <w:t>اهتماماً خاص</w:t>
      </w:r>
      <w:r>
        <w:rPr>
          <w:rFonts w:hint="cs"/>
          <w:spacing w:val="0"/>
          <w:rtl/>
          <w:lang w:eastAsia="en-US"/>
        </w:rPr>
        <w:t xml:space="preserve">اً في الفقرات الفرعية من (أ) إلى (ز) من الفقرة 15. والشواغل الواردة في الفقرات الفرعية من (أ) إلى (د) </w:t>
      </w:r>
      <w:r>
        <w:rPr>
          <w:rFonts w:hint="cs"/>
          <w:rtl/>
          <w:lang w:eastAsia="en-US"/>
        </w:rPr>
        <w:t xml:space="preserve">تندرج في نطاق المادة 2 من العهد وسنعالجها بالتسلسل في الفقرات التالية. أما الشواغل الواردة في الفقرتين الفرعيتين (ه‍ ) و(و)، فإنها تتعلق بقضايا العمل ومن </w:t>
      </w:r>
      <w:r>
        <w:rPr>
          <w:rFonts w:hint="cs"/>
          <w:rtl/>
          <w:lang w:eastAsia="en-US"/>
        </w:rPr>
        <w:t>ثم، بالمادة 7. لذلك فإننا سنعالجها في هذا الفرع من التقرير. وسنعالج، بالمثل، الشواغل الواردة في الفقرة الفرعية (ز) المتعلقة بحماية الأطفال، في الفرع الذي يتناول المادة 10.</w:t>
      </w:r>
    </w:p>
    <w:p w:rsidR="00000000" w:rsidRDefault="00443EC1">
      <w:pPr>
        <w:spacing w:line="380" w:lineRule="exact"/>
        <w:jc w:val="left"/>
        <w:rPr>
          <w:rFonts w:hint="cs"/>
          <w:b/>
          <w:bCs/>
          <w:rtl/>
          <w:lang w:eastAsia="en-US"/>
        </w:rPr>
      </w:pPr>
      <w:r>
        <w:rPr>
          <w:rFonts w:hint="cs"/>
          <w:b/>
          <w:bCs/>
          <w:rtl/>
          <w:lang w:eastAsia="en-US"/>
        </w:rPr>
        <w:t>الملاحظات الختامية: الوضع القانوني للعهد</w:t>
      </w:r>
    </w:p>
    <w:p w:rsidR="00000000" w:rsidRDefault="00443EC1">
      <w:pPr>
        <w:spacing w:line="380" w:lineRule="exact"/>
        <w:jc w:val="both"/>
        <w:rPr>
          <w:rFonts w:hint="cs"/>
          <w:rtl/>
          <w:lang w:eastAsia="en-US"/>
        </w:rPr>
      </w:pPr>
      <w:r>
        <w:rPr>
          <w:rFonts w:hint="cs"/>
          <w:rtl/>
          <w:lang w:eastAsia="en-US"/>
        </w:rPr>
        <w:t>348-</w:t>
      </w:r>
      <w:r>
        <w:rPr>
          <w:rFonts w:hint="cs"/>
          <w:rtl/>
          <w:lang w:eastAsia="en-US"/>
        </w:rPr>
        <w:tab/>
        <w:t>أكدت اللجنة من جديد في الفقرة 15(أ) من</w:t>
      </w:r>
      <w:r>
        <w:rPr>
          <w:rFonts w:hint="cs"/>
          <w:rtl/>
          <w:lang w:eastAsia="en-US"/>
        </w:rPr>
        <w:t xml:space="preserve"> ملاحظاتها الختامية قلقها بوجه خاص لأن وضع العهد في النظام القانوني المحلي لمنطقة هونغ كونغ ما زال مختلفاً عن وضع العهد الدولي الخاص بالحقوق المدنية والسياسية الذي أدرجت أحكامه في التشريع المحلي.</w:t>
      </w:r>
    </w:p>
    <w:p w:rsidR="00000000" w:rsidRDefault="00443EC1">
      <w:pPr>
        <w:spacing w:line="380" w:lineRule="exact"/>
        <w:jc w:val="both"/>
        <w:rPr>
          <w:rFonts w:hint="cs"/>
          <w:rtl/>
          <w:lang w:eastAsia="en-US"/>
        </w:rPr>
      </w:pPr>
      <w:r>
        <w:rPr>
          <w:rFonts w:hint="cs"/>
          <w:rtl/>
          <w:lang w:eastAsia="en-US"/>
        </w:rPr>
        <w:t>349-</w:t>
      </w:r>
      <w:r>
        <w:rPr>
          <w:rFonts w:hint="cs"/>
          <w:rtl/>
          <w:lang w:eastAsia="en-US"/>
        </w:rPr>
        <w:tab/>
        <w:t>صحيح أنه ليس هناك من قانون واحدٍ يطابق قانون شرعة الحقو</w:t>
      </w:r>
      <w:r>
        <w:rPr>
          <w:rFonts w:hint="cs"/>
          <w:rtl/>
          <w:lang w:eastAsia="en-US"/>
        </w:rPr>
        <w:t>ق في هونغ كونغ فيما يتعلق بالعهد الدولي الخاص بالحقوق المدنية والسياسية ويدرج أحكام العهد الدولي الخاص بالحقوق الاقتصادية والاجتماعية والثقافية في النظام القانوني المحلي لمنطقة هونغ كونغ الإدارية الخاصة. غير أن أحكام العهد الدولي الخاص بالحقوق الاقتصادية و</w:t>
      </w:r>
      <w:r>
        <w:rPr>
          <w:rFonts w:hint="cs"/>
          <w:rtl/>
          <w:lang w:eastAsia="en-US"/>
        </w:rPr>
        <w:t>الاجتماعية والثقافية مدمجة في القانون المحلي من خلال مواد عدة من القانون الأساسي (مثل المواد 27 و36 و37 و137 و144 و149) ومن خلال أحكامٍ نص عليها أكثر من 50 قانوناً. وقد أُدرجت هذه القوانين في المرفق 3 للتقرير الأولي واستكملت في المرفق 2 ألف لهذا التقرير. و</w:t>
      </w:r>
      <w:r>
        <w:rPr>
          <w:rFonts w:hint="cs"/>
          <w:rtl/>
          <w:lang w:eastAsia="en-US"/>
        </w:rPr>
        <w:t>نرى أن تدابير محددة من هذا القبيل تكون أكثر فاعلية في حماية حقوق العهد من مجرد تكرار أحكام العهد نفسها في القانون المحلي.</w:t>
      </w:r>
    </w:p>
    <w:p w:rsidR="00000000" w:rsidRDefault="00443EC1">
      <w:pPr>
        <w:spacing w:line="380" w:lineRule="exact"/>
        <w:jc w:val="both"/>
        <w:rPr>
          <w:rFonts w:hint="cs"/>
          <w:b/>
          <w:bCs/>
          <w:rtl/>
          <w:lang w:eastAsia="en-US"/>
        </w:rPr>
      </w:pPr>
      <w:r>
        <w:rPr>
          <w:rFonts w:hint="cs"/>
          <w:b/>
          <w:bCs/>
          <w:rtl/>
          <w:lang w:eastAsia="en-US"/>
        </w:rPr>
        <w:t>التشريع الخاص بمكافحة التمييز العنصري</w:t>
      </w:r>
    </w:p>
    <w:p w:rsidR="00000000" w:rsidRDefault="00443EC1">
      <w:pPr>
        <w:spacing w:line="380" w:lineRule="exact"/>
        <w:jc w:val="both"/>
        <w:rPr>
          <w:rFonts w:hint="cs"/>
          <w:rtl/>
          <w:lang w:eastAsia="en-US"/>
        </w:rPr>
      </w:pPr>
      <w:r>
        <w:rPr>
          <w:rFonts w:hint="cs"/>
          <w:rtl/>
          <w:lang w:eastAsia="en-US"/>
        </w:rPr>
        <w:t>350-</w:t>
      </w:r>
      <w:r>
        <w:rPr>
          <w:rFonts w:hint="cs"/>
          <w:rtl/>
          <w:lang w:eastAsia="en-US"/>
        </w:rPr>
        <w:tab/>
        <w:t xml:space="preserve">أعربت اللجنة، في الفقرة 15(ب) من ملاحظاتها الختامية، عن قلقها الخاص إزاء "تقصير منطقة هونغ </w:t>
      </w:r>
      <w:r>
        <w:rPr>
          <w:rFonts w:hint="cs"/>
          <w:rtl/>
          <w:lang w:eastAsia="en-US"/>
        </w:rPr>
        <w:t>كونغ الإدارية الخاصة في توسيع نطاق حظرها للتمييز العنصري ليشمل القطاع الخاص". وأعربت اللجنة في الفقرة 30 عن رأيها بأن "تقصير منطقة هونغ كونغ الإدارية الخاصة في حظر التمييز العنصري في القطاع الخاص يشكل إخلالاً بالتزاماتها بموجب المادة 2 من العهد. وتهيب اللج</w:t>
      </w:r>
      <w:r>
        <w:rPr>
          <w:rFonts w:hint="cs"/>
          <w:rtl/>
          <w:lang w:eastAsia="en-US"/>
        </w:rPr>
        <w:t>نة بمنطقة هونغ كونغ بأن توسع نطاق حظرها للتمييز العنصري ليشمل القطاع الخاص".</w:t>
      </w:r>
    </w:p>
    <w:p w:rsidR="00000000" w:rsidRDefault="00443EC1">
      <w:pPr>
        <w:spacing w:line="380" w:lineRule="exact"/>
        <w:jc w:val="both"/>
        <w:rPr>
          <w:rFonts w:hint="cs"/>
          <w:rtl/>
          <w:lang w:eastAsia="en-US"/>
        </w:rPr>
      </w:pPr>
      <w:r>
        <w:rPr>
          <w:rFonts w:hint="cs"/>
          <w:rtl/>
          <w:lang w:eastAsia="en-US"/>
        </w:rPr>
        <w:t>351-</w:t>
      </w:r>
      <w:r>
        <w:rPr>
          <w:rFonts w:hint="cs"/>
          <w:rtl/>
          <w:lang w:eastAsia="en-US"/>
        </w:rPr>
        <w:tab/>
        <w:t>وكنا وقت إعداد التقرير نعيد النظر في مسألة وضع تشريع لمكافحة التمييز العنصري في القطاع الخاص بغية التوصل إلى نتيجة تحرز التقدم في هذا المجال. والتمسنا، في عام 2000 وبداية عام</w:t>
      </w:r>
      <w:r>
        <w:rPr>
          <w:rFonts w:hint="cs"/>
          <w:rtl/>
          <w:lang w:eastAsia="en-US"/>
        </w:rPr>
        <w:t xml:space="preserve"> 2001، آراء من الأطراف المهتمة لمعرفة ما إذا كانت توافق من حيث المبدأ على اعتماد تشريع لمكافحة التمييز العنصري في القطاع الخاص وما هي مخاوفها من اعتماد تشريع من هذا القبيل. وفي الوقت الذي أنهينا فيه التقرير، كنا قد استكملنا تحليلاً للردود التي تلقيناها ونظ</w:t>
      </w:r>
      <w:r>
        <w:rPr>
          <w:rFonts w:hint="cs"/>
          <w:rtl/>
          <w:lang w:eastAsia="en-US"/>
        </w:rPr>
        <w:t xml:space="preserve">رنا في موازنة الاعتبارات. وسوف نطلع اللجنة عند اللزوم، وقت النظر في التقرير على ما استجد من معلومات. </w:t>
      </w:r>
    </w:p>
    <w:p w:rsidR="00000000" w:rsidRDefault="00443EC1">
      <w:pPr>
        <w:spacing w:line="380" w:lineRule="exact"/>
        <w:jc w:val="both"/>
        <w:rPr>
          <w:rFonts w:hint="cs"/>
          <w:rtl/>
          <w:lang w:eastAsia="en-US"/>
        </w:rPr>
      </w:pPr>
      <w:r>
        <w:rPr>
          <w:rFonts w:hint="cs"/>
          <w:rtl/>
          <w:lang w:eastAsia="en-US"/>
        </w:rPr>
        <w:t>352-</w:t>
      </w:r>
      <w:r>
        <w:rPr>
          <w:rFonts w:hint="cs"/>
          <w:rtl/>
          <w:lang w:eastAsia="en-US"/>
        </w:rPr>
        <w:tab/>
        <w:t>وفي غضون ذلك، واصلنا تحسين التدابير المنصوص عليها في الفقرات من 13 إلى 17 من التقرير الأولي لمكافحة المواقف التمييزية ولتقديم المساعدة العملية اللازم</w:t>
      </w:r>
      <w:r>
        <w:rPr>
          <w:rFonts w:hint="cs"/>
          <w:rtl/>
          <w:lang w:eastAsia="en-US"/>
        </w:rPr>
        <w:t>ة للأقليات الإثنية. وتشمل هذه التدابير، ضمن تدابير أخرى، دورات لتعليم اللغات وخدمات معلوماتية خاصة لمساعدة المهاجرين غير الصينيين لدى وصولهم أول مرة إلى المطار. وكان من ضمن التطورات الأخيرة، التي بُدئ بها في عام 2002، إنشاء لجنة لتعزيز الانسجام العرقي. وهي</w:t>
      </w:r>
      <w:r>
        <w:rPr>
          <w:rFonts w:hint="cs"/>
          <w:rtl/>
          <w:lang w:eastAsia="en-US"/>
        </w:rPr>
        <w:t xml:space="preserve"> لجنة مشتركة بين الحكومة والمنظمات الحكومية تسدي المشورة إلى الحكومة بشأن وضع استراتيجية للتعليم والاتصال. وتعمل وحدة مخصصة للعلاقات العنصرية، تعد جزءاً من مكتب الشؤون الداخلية، كأمانة للجنة وتضع برامجها موضع التنفيذ (انظر المرفق 2 باء). وتقوم الوحدة بتشغي</w:t>
      </w:r>
      <w:r>
        <w:rPr>
          <w:rFonts w:hint="cs"/>
          <w:rtl/>
          <w:lang w:eastAsia="en-US"/>
        </w:rPr>
        <w:t xml:space="preserve">ل خطٍ هاتفي مباشر لتلقي الشكاوى عن التمييز العنصري ورصدها واتخاذ إجراءات بشأنها (انظر المرفق 2 جيم). </w:t>
      </w:r>
    </w:p>
    <w:p w:rsidR="00000000" w:rsidRDefault="00443EC1">
      <w:pPr>
        <w:spacing w:line="380" w:lineRule="exact"/>
        <w:jc w:val="both"/>
        <w:rPr>
          <w:rFonts w:hint="cs"/>
          <w:rtl/>
          <w:lang w:eastAsia="en-US"/>
        </w:rPr>
      </w:pPr>
      <w:r>
        <w:rPr>
          <w:rFonts w:hint="cs"/>
          <w:b/>
          <w:bCs/>
          <w:rtl/>
          <w:lang w:eastAsia="en-US"/>
        </w:rPr>
        <w:t xml:space="preserve">التمييز على أساس الميل الجنسي والعمر </w:t>
      </w:r>
    </w:p>
    <w:p w:rsidR="00000000" w:rsidRDefault="00443EC1">
      <w:pPr>
        <w:spacing w:line="380" w:lineRule="exact"/>
        <w:jc w:val="both"/>
        <w:rPr>
          <w:rFonts w:hint="cs"/>
          <w:rtl/>
          <w:lang w:eastAsia="en-US"/>
        </w:rPr>
      </w:pPr>
      <w:r>
        <w:rPr>
          <w:rFonts w:hint="cs"/>
          <w:rtl/>
          <w:lang w:eastAsia="en-US"/>
        </w:rPr>
        <w:t>353-</w:t>
      </w:r>
      <w:r>
        <w:rPr>
          <w:rFonts w:hint="cs"/>
          <w:rtl/>
          <w:lang w:eastAsia="en-US"/>
        </w:rPr>
        <w:tab/>
        <w:t xml:space="preserve"> أعربت اللجنة في الفقرة 15(ج) من ملاحظاتها الختامية لعام 2001 عن قلقٍ خاص إزاء "تقصير منطقة </w:t>
      </w:r>
      <w:r>
        <w:rPr>
          <w:rFonts w:hint="cs"/>
          <w:spacing w:val="0"/>
          <w:rtl/>
          <w:lang w:eastAsia="en-US"/>
        </w:rPr>
        <w:t xml:space="preserve">هونغ كونغ الإدارية </w:t>
      </w:r>
      <w:r>
        <w:rPr>
          <w:rFonts w:hint="cs"/>
          <w:spacing w:val="0"/>
          <w:rtl/>
          <w:lang w:eastAsia="en-US"/>
        </w:rPr>
        <w:t xml:space="preserve">الخاصة في حظر التمييز على أساس الميل الجنسي والعمر". وحثت في الفقرة 31 منطقة هونغ كونغ </w:t>
      </w:r>
      <w:r>
        <w:rPr>
          <w:rFonts w:hint="cs"/>
          <w:rtl/>
          <w:lang w:eastAsia="en-US"/>
        </w:rPr>
        <w:t>الإدارية الخاصة على "أن تحظر التمييز على أساس الميل الجنسي والعمر".</w:t>
      </w:r>
    </w:p>
    <w:p w:rsidR="00000000" w:rsidRDefault="00443EC1">
      <w:pPr>
        <w:spacing w:line="380" w:lineRule="exact"/>
        <w:jc w:val="both"/>
        <w:rPr>
          <w:rFonts w:hint="cs"/>
          <w:rtl/>
          <w:lang w:eastAsia="en-US"/>
        </w:rPr>
      </w:pPr>
      <w:r>
        <w:rPr>
          <w:rFonts w:hint="cs"/>
          <w:rtl/>
          <w:lang w:eastAsia="en-US"/>
        </w:rPr>
        <w:t>354-</w:t>
      </w:r>
      <w:r>
        <w:rPr>
          <w:rFonts w:hint="cs"/>
          <w:rtl/>
          <w:lang w:eastAsia="en-US"/>
        </w:rPr>
        <w:tab/>
        <w:t>وموقفنا في هذا الصدد هو ما يلي:</w:t>
      </w:r>
    </w:p>
    <w:p w:rsidR="00000000" w:rsidRDefault="00443EC1">
      <w:pPr>
        <w:spacing w:line="380" w:lineRule="exact"/>
        <w:jc w:val="both"/>
        <w:rPr>
          <w:rFonts w:hint="cs"/>
          <w:rtl/>
          <w:lang w:eastAsia="en-US"/>
        </w:rPr>
      </w:pPr>
      <w:r>
        <w:rPr>
          <w:rFonts w:hint="cs"/>
          <w:rtl/>
          <w:lang w:eastAsia="en-US"/>
        </w:rPr>
        <w:tab/>
        <w:t>(أ)</w:t>
      </w:r>
      <w:r>
        <w:rPr>
          <w:rFonts w:hint="cs"/>
          <w:rtl/>
          <w:lang w:eastAsia="en-US"/>
        </w:rPr>
        <w:tab/>
      </w:r>
      <w:r>
        <w:rPr>
          <w:rFonts w:hint="cs"/>
          <w:b/>
          <w:bCs/>
          <w:rtl/>
          <w:lang w:eastAsia="en-US"/>
        </w:rPr>
        <w:t>العمر</w:t>
      </w:r>
      <w:r>
        <w:rPr>
          <w:rFonts w:hint="cs"/>
          <w:rtl/>
          <w:lang w:eastAsia="en-US"/>
        </w:rPr>
        <w:t xml:space="preserve">: من المحتمل أن تترتب عن أي تشريع في هذا الميدان آثار </w:t>
      </w:r>
      <w:r>
        <w:rPr>
          <w:rFonts w:hint="cs"/>
          <w:rtl/>
          <w:lang w:eastAsia="en-US"/>
        </w:rPr>
        <w:t>بعيدة الأمد على المؤسسات الخاصة والعامة. لقد بحثنا المسألة وتشاورنا مع الجمهور بشأنها في عام 1996. وكشفت الدراسة الاستقصائية عن آراء متباينة بشأن التشريع. وأخذنا منذ ذلك الحين نعالج المسألة من خلال التثقيف العام. وفي كانون الأول/ديسمبر 2001، أعددنا دراسة ا</w:t>
      </w:r>
      <w:r>
        <w:rPr>
          <w:rFonts w:hint="cs"/>
          <w:rtl/>
          <w:lang w:eastAsia="en-US"/>
        </w:rPr>
        <w:t>ستقصائية لمعرفة الرأي العام بشأن التمييز في التعيين. واعتبر معظم أصحاب العمل والأسر المعيشية التثقيف نهجاً فعالاً بما يكفي لحل المشكلة. ولم يكن هناك توافق في الرأي بشأن فعالية التشريع أو الحاجة إليه. ونعتزم مواصلة تعزيز تكافؤ فرص العمل من خلال برامج التثقي</w:t>
      </w:r>
      <w:r>
        <w:rPr>
          <w:rFonts w:hint="cs"/>
          <w:rtl/>
          <w:lang w:eastAsia="en-US"/>
        </w:rPr>
        <w:t>ف العام ومواصلة جهودنا لتدريب ولإعادة تدريب العمال من جميع الأعمار من أجل تعزيز إمكانية تشغيلهم؛</w:t>
      </w:r>
    </w:p>
    <w:p w:rsidR="00000000" w:rsidRDefault="00443EC1">
      <w:pPr>
        <w:spacing w:line="380" w:lineRule="exact"/>
        <w:jc w:val="both"/>
        <w:rPr>
          <w:rFonts w:hint="cs"/>
          <w:rtl/>
          <w:lang w:eastAsia="en-US"/>
        </w:rPr>
      </w:pPr>
      <w:r>
        <w:rPr>
          <w:rFonts w:hint="cs"/>
          <w:rtl/>
          <w:lang w:eastAsia="en-US"/>
        </w:rPr>
        <w:tab/>
        <w:t>(ب)</w:t>
      </w:r>
      <w:r>
        <w:rPr>
          <w:rFonts w:hint="cs"/>
          <w:rtl/>
          <w:lang w:eastAsia="en-US"/>
        </w:rPr>
        <w:tab/>
      </w:r>
      <w:r>
        <w:rPr>
          <w:rFonts w:hint="cs"/>
          <w:b/>
          <w:bCs/>
          <w:rtl/>
          <w:lang w:eastAsia="en-US"/>
        </w:rPr>
        <w:t>الميل الجنسي</w:t>
      </w:r>
      <w:r>
        <w:rPr>
          <w:rFonts w:hint="cs"/>
          <w:rtl/>
          <w:lang w:eastAsia="en-US"/>
        </w:rPr>
        <w:t>: إن هذه المسألة هي مسالة حساسة تمس قيماً ومبادئ أخلاقية عميقة الجذور. ورأينا المدروس هو في هذه المرحلة أن التنظيم والتثقيف الذاتي عوضاً عن ال</w:t>
      </w:r>
      <w:r>
        <w:rPr>
          <w:rFonts w:hint="cs"/>
          <w:rtl/>
          <w:lang w:eastAsia="en-US"/>
        </w:rPr>
        <w:t>تشريع هما السبيلان الأكثر ملاءمة لمعالجة التمييز في هذا الميدان. ولهذا السبب، عملنا على التخلص من المواقف العنصرية من خلال التثقيف العام والوسائل الإدارية، وذلك لكي نغذي المجتمع بثقافة أكثر موضوعية وتسامحاً واحتراماً متبادلاً. غير أن تنفيذ هذه التدابير سيت</w:t>
      </w:r>
      <w:r>
        <w:rPr>
          <w:rFonts w:hint="cs"/>
          <w:rtl/>
          <w:lang w:eastAsia="en-US"/>
        </w:rPr>
        <w:t xml:space="preserve">طلب حتماً بعض الوقت، ونحن لا نتوقع تغيير المواقف العامة بين عشيةٍ وضحاها. </w:t>
      </w:r>
    </w:p>
    <w:p w:rsidR="00000000" w:rsidRDefault="00443EC1">
      <w:pPr>
        <w:spacing w:line="380" w:lineRule="exact"/>
        <w:jc w:val="both"/>
        <w:rPr>
          <w:rFonts w:hint="cs"/>
          <w:rtl/>
          <w:lang w:eastAsia="en-US"/>
        </w:rPr>
      </w:pPr>
      <w:r>
        <w:rPr>
          <w:rFonts w:hint="cs"/>
          <w:rtl/>
          <w:lang w:eastAsia="en-US"/>
        </w:rPr>
        <w:t>355-</w:t>
      </w:r>
      <w:r>
        <w:rPr>
          <w:rFonts w:hint="cs"/>
          <w:rtl/>
          <w:lang w:eastAsia="en-US"/>
        </w:rPr>
        <w:tab/>
        <w:t>وأعربت اللجنة في الفقرة 15(د) من ملاحظاتها الختامية لعام 2001 عن قلقٍ خاص إزاء "تقصير منطقة هونغ كونغ الإدارية الخاصة في إنشاء مؤسسة وطنية لحقوق الإنسان تكلف بولاية شاملة وإزاء</w:t>
      </w:r>
      <w:r>
        <w:rPr>
          <w:rFonts w:hint="cs"/>
          <w:rtl/>
          <w:lang w:eastAsia="en-US"/>
        </w:rPr>
        <w:t xml:space="preserve"> تقصيرها في اتخاذ ترتيبات بديلة ملائمة لتعزيز الحقوق الاقتصادية والاجتماعية والثقافية". وفي هذا الصدد، حثت اللجنة في الفقرة 32 منطقة هونغ كونغ الإدارية الخاصة على "أن تنشئ مؤسسة وطنية لحقوق الإنسان تتمشى ولايتها مع مبادئ باريس (1991) ومع ملاحظة اللجنة العا</w:t>
      </w:r>
      <w:r>
        <w:rPr>
          <w:rFonts w:hint="cs"/>
          <w:rtl/>
          <w:lang w:eastAsia="en-US"/>
        </w:rPr>
        <w:t>مة رقم 10. وريثما تُنشأ هذه المؤسسة، تحث اللجنة منطقة هونغ كونغ على زيادة ما تتخذه من تدابير تعزيزاً للحقوق الاقتصادية والاجتماعية والثقافية".</w:t>
      </w:r>
    </w:p>
    <w:p w:rsidR="00000000" w:rsidRDefault="00443EC1">
      <w:pPr>
        <w:spacing w:line="380" w:lineRule="exact"/>
        <w:jc w:val="both"/>
        <w:rPr>
          <w:rFonts w:hint="cs"/>
          <w:rtl/>
          <w:lang w:eastAsia="en-US"/>
        </w:rPr>
      </w:pPr>
      <w:r>
        <w:rPr>
          <w:rFonts w:hint="cs"/>
          <w:rtl/>
          <w:lang w:eastAsia="en-US"/>
        </w:rPr>
        <w:t>356-</w:t>
      </w:r>
      <w:r>
        <w:rPr>
          <w:rFonts w:hint="cs"/>
          <w:rtl/>
          <w:lang w:eastAsia="en-US"/>
        </w:rPr>
        <w:tab/>
        <w:t xml:space="preserve">ونحيط علماً مع الاحترام البالغ بقلق اللجنة ونواصل استعراض المسألة استعراضاً دقيقاً. بيد أننا نحتفظ في الوقت </w:t>
      </w:r>
      <w:r>
        <w:rPr>
          <w:rFonts w:hint="cs"/>
          <w:rtl/>
          <w:lang w:eastAsia="en-US"/>
        </w:rPr>
        <w:t>الراهن، بصورة أساسية، بموقفنا الذي بيناه في الفقرتين 33 و34 من التقرير الأولي، وهو أنه بالنظر إلى وجود ضمانات فعالة عديدة في هونغ كونغ، فإننا لا نزال غير متأكدين من ضرورة إنشاء مؤسسة من هذا القبيل. لكن عقولنا منفتحة وسنضع في اعتبارنا، في ضوء ما أعربت عنه ا</w:t>
      </w:r>
      <w:r>
        <w:rPr>
          <w:rFonts w:hint="cs"/>
          <w:rtl/>
          <w:lang w:eastAsia="en-US"/>
        </w:rPr>
        <w:t>للجنة من مخاوف، أي تغييرات في الظروف قد تدل على ضرورة إعادة النظر في موقفنا.</w:t>
      </w:r>
    </w:p>
    <w:p w:rsidR="00000000" w:rsidRDefault="00443EC1">
      <w:pPr>
        <w:spacing w:line="380" w:lineRule="exact"/>
        <w:jc w:val="both"/>
        <w:rPr>
          <w:rFonts w:hint="cs"/>
          <w:b/>
          <w:bCs/>
          <w:rtl/>
          <w:lang w:eastAsia="en-US"/>
        </w:rPr>
      </w:pPr>
      <w:r>
        <w:rPr>
          <w:rFonts w:hint="cs"/>
          <w:b/>
          <w:bCs/>
          <w:rtl/>
          <w:lang w:eastAsia="en-US"/>
        </w:rPr>
        <w:t>الوضع القانوني للعهد</w:t>
      </w:r>
    </w:p>
    <w:p w:rsidR="00000000" w:rsidRDefault="00443EC1">
      <w:pPr>
        <w:spacing w:line="380" w:lineRule="exact"/>
        <w:jc w:val="both"/>
        <w:rPr>
          <w:rFonts w:hint="cs"/>
          <w:rtl/>
          <w:lang w:eastAsia="en-US"/>
        </w:rPr>
      </w:pPr>
      <w:r>
        <w:rPr>
          <w:rFonts w:hint="cs"/>
          <w:rtl/>
          <w:lang w:eastAsia="en-US"/>
        </w:rPr>
        <w:t>357-</w:t>
      </w:r>
      <w:r>
        <w:rPr>
          <w:rFonts w:hint="cs"/>
          <w:rtl/>
          <w:lang w:eastAsia="en-US"/>
        </w:rPr>
        <w:tab/>
        <w:t>أعربت اللجنة في الفقرة 16 من ملاحظاتها الختامية عن أسفها البالغ لأن "بعض الأحكام الصادرة عن المحكمة العليا لمنطقة هونغ كونغ تعرب عن رأي مفاده أن العهد في</w:t>
      </w:r>
      <w:r>
        <w:rPr>
          <w:rFonts w:hint="cs"/>
          <w:rtl/>
          <w:lang w:eastAsia="en-US"/>
        </w:rPr>
        <w:t xml:space="preserve"> طابعه </w:t>
      </w:r>
      <w:r>
        <w:rPr>
          <w:rtl/>
          <w:lang w:eastAsia="en-US"/>
        </w:rPr>
        <w:t>`</w:t>
      </w:r>
      <w:r>
        <w:rPr>
          <w:rFonts w:hint="cs"/>
          <w:rtl/>
          <w:lang w:eastAsia="en-US"/>
        </w:rPr>
        <w:t>ترويجي</w:t>
      </w:r>
      <w:r>
        <w:rPr>
          <w:rtl/>
          <w:lang w:eastAsia="en-US"/>
        </w:rPr>
        <w:t>`</w:t>
      </w:r>
      <w:r>
        <w:rPr>
          <w:rFonts w:hint="cs"/>
          <w:rtl/>
          <w:lang w:eastAsia="en-US"/>
        </w:rPr>
        <w:t xml:space="preserve"> (قضية</w:t>
      </w:r>
      <w:r>
        <w:rPr>
          <w:rFonts w:hint="cs"/>
          <w:i/>
          <w:iCs/>
          <w:rtl/>
          <w:lang w:eastAsia="en-US"/>
        </w:rPr>
        <w:t xml:space="preserve"> موك تشي هونغ ضد مدير شؤون الهجرة</w:t>
      </w:r>
      <w:r>
        <w:rPr>
          <w:rFonts w:hint="cs"/>
          <w:rtl/>
          <w:lang w:eastAsia="en-US"/>
        </w:rPr>
        <w:t xml:space="preserve">، الحكم الصادر في 5 كانون الثاني/يناير 2001) أو </w:t>
      </w:r>
      <w:r>
        <w:rPr>
          <w:rtl/>
          <w:lang w:eastAsia="en-US"/>
        </w:rPr>
        <w:t>`</w:t>
      </w:r>
      <w:r>
        <w:rPr>
          <w:rFonts w:hint="cs"/>
          <w:rtl/>
          <w:lang w:eastAsia="en-US"/>
        </w:rPr>
        <w:t>مطمحي</w:t>
      </w:r>
      <w:r>
        <w:rPr>
          <w:rtl/>
          <w:lang w:eastAsia="en-US"/>
        </w:rPr>
        <w:t>`</w:t>
      </w:r>
      <w:r>
        <w:rPr>
          <w:rFonts w:hint="cs"/>
          <w:rtl/>
          <w:lang w:eastAsia="en-US"/>
        </w:rPr>
        <w:t xml:space="preserve"> (قضية </w:t>
      </w:r>
      <w:r>
        <w:rPr>
          <w:rFonts w:hint="cs"/>
          <w:i/>
          <w:iCs/>
          <w:rtl/>
          <w:lang w:eastAsia="en-US"/>
        </w:rPr>
        <w:t>تشان تو فون ضد مدير شؤون الهجرة</w:t>
      </w:r>
      <w:r>
        <w:rPr>
          <w:rFonts w:hint="cs"/>
          <w:rtl/>
          <w:lang w:eastAsia="en-US"/>
        </w:rPr>
        <w:t>، الحكم الصادر في 11 نيسان/أبريل 2001). ووفقاً لما أكدته اللجنة في مناسباتٍ عديدة، فإن هذه الآراء تستند إلى ف</w:t>
      </w:r>
      <w:r>
        <w:rPr>
          <w:rFonts w:hint="cs"/>
          <w:rtl/>
          <w:lang w:eastAsia="en-US"/>
        </w:rPr>
        <w:t>هم خاطئ للالتزامات القانونية الناشئة عن العهد". وفي الفقرة 27، ذكَّرت اللجنة منطقة هونغ كونغ الإدارية الخاصة بأن "أحكام العهد تشكل التزاماً قانونياً من جانب الدول الأطراف. وعليه، تحث اللجنة منطقة هونغ كونغ الإدارية الخاصة على ألا تجادل أثناء إجراءات المحكم</w:t>
      </w:r>
      <w:r>
        <w:rPr>
          <w:rFonts w:hint="cs"/>
          <w:rtl/>
          <w:lang w:eastAsia="en-US"/>
        </w:rPr>
        <w:t xml:space="preserve">ة بأن العهد هو </w:t>
      </w:r>
      <w:r>
        <w:rPr>
          <w:rtl/>
          <w:lang w:eastAsia="en-US"/>
        </w:rPr>
        <w:t>`</w:t>
      </w:r>
      <w:r>
        <w:rPr>
          <w:rFonts w:hint="cs"/>
          <w:rtl/>
          <w:lang w:eastAsia="en-US"/>
        </w:rPr>
        <w:t>ترويجي</w:t>
      </w:r>
      <w:r>
        <w:rPr>
          <w:rtl/>
          <w:lang w:eastAsia="en-US"/>
        </w:rPr>
        <w:t>`</w:t>
      </w:r>
      <w:r>
        <w:rPr>
          <w:rFonts w:hint="cs"/>
          <w:rtl/>
          <w:lang w:eastAsia="en-US"/>
        </w:rPr>
        <w:t xml:space="preserve"> فحسب أو </w:t>
      </w:r>
      <w:r>
        <w:rPr>
          <w:rtl/>
          <w:lang w:eastAsia="en-US"/>
        </w:rPr>
        <w:t>`</w:t>
      </w:r>
      <w:r>
        <w:rPr>
          <w:rFonts w:hint="cs"/>
          <w:rtl/>
          <w:lang w:eastAsia="en-US"/>
        </w:rPr>
        <w:t>مطمحي</w:t>
      </w:r>
      <w:r>
        <w:rPr>
          <w:rtl/>
          <w:lang w:eastAsia="en-US"/>
        </w:rPr>
        <w:t>`</w:t>
      </w:r>
      <w:r>
        <w:rPr>
          <w:rFonts w:hint="cs"/>
          <w:rtl/>
          <w:lang w:eastAsia="en-US"/>
        </w:rPr>
        <w:t xml:space="preserve"> في طابعه". </w:t>
      </w:r>
    </w:p>
    <w:p w:rsidR="00000000" w:rsidRDefault="00443EC1">
      <w:pPr>
        <w:spacing w:line="380" w:lineRule="exact"/>
        <w:jc w:val="both"/>
        <w:rPr>
          <w:rFonts w:hint="cs"/>
          <w:rtl/>
          <w:lang w:eastAsia="en-US"/>
        </w:rPr>
      </w:pPr>
      <w:r>
        <w:rPr>
          <w:rFonts w:hint="cs"/>
          <w:rtl/>
          <w:lang w:eastAsia="en-US"/>
        </w:rPr>
        <w:t>358-</w:t>
      </w:r>
      <w:r>
        <w:rPr>
          <w:rFonts w:hint="cs"/>
          <w:rtl/>
          <w:lang w:eastAsia="en-US"/>
        </w:rPr>
        <w:tab/>
        <w:t>ونحيط علماً بملاحظة اللجنة بأن العهد ليس مجرد عهد "ترويجي" فحسب أو "مطمحي" في طبيعته ونقبل بكونه يُنشئ التزامات ملزمة على الصعيد الدولي.</w:t>
      </w:r>
    </w:p>
    <w:p w:rsidR="00000000" w:rsidRDefault="00443EC1">
      <w:pPr>
        <w:spacing w:line="380" w:lineRule="exact"/>
        <w:jc w:val="left"/>
        <w:rPr>
          <w:rFonts w:hint="cs"/>
          <w:b/>
          <w:bCs/>
          <w:rtl/>
          <w:lang w:eastAsia="en-US"/>
        </w:rPr>
      </w:pPr>
      <w:r>
        <w:rPr>
          <w:rFonts w:hint="cs"/>
          <w:b/>
          <w:bCs/>
          <w:rtl/>
          <w:lang w:eastAsia="en-US"/>
        </w:rPr>
        <w:t>حماية المعوقين</w:t>
      </w:r>
    </w:p>
    <w:p w:rsidR="00000000" w:rsidRDefault="00443EC1">
      <w:pPr>
        <w:spacing w:line="380" w:lineRule="exact"/>
        <w:jc w:val="left"/>
        <w:rPr>
          <w:rFonts w:hint="cs"/>
          <w:i/>
          <w:iCs/>
          <w:rtl/>
          <w:lang w:eastAsia="en-US"/>
        </w:rPr>
      </w:pPr>
      <w:r>
        <w:rPr>
          <w:rFonts w:hint="cs"/>
          <w:i/>
          <w:iCs/>
          <w:rtl/>
          <w:lang w:eastAsia="en-US"/>
        </w:rPr>
        <w:t>التعليم والعمل</w:t>
      </w:r>
    </w:p>
    <w:p w:rsidR="00000000" w:rsidRDefault="00443EC1">
      <w:pPr>
        <w:spacing w:line="380" w:lineRule="exact"/>
        <w:jc w:val="both"/>
        <w:rPr>
          <w:rFonts w:hint="cs"/>
          <w:rtl/>
          <w:lang w:eastAsia="en-US"/>
        </w:rPr>
      </w:pPr>
      <w:r>
        <w:rPr>
          <w:rFonts w:hint="cs"/>
          <w:rtl/>
          <w:lang w:eastAsia="en-US"/>
        </w:rPr>
        <w:t>359-</w:t>
      </w:r>
      <w:r>
        <w:rPr>
          <w:rFonts w:hint="cs"/>
          <w:rtl/>
          <w:lang w:eastAsia="en-US"/>
        </w:rPr>
        <w:tab/>
        <w:t>تمت مناقشة مسألة توفير التع</w:t>
      </w:r>
      <w:r>
        <w:rPr>
          <w:rFonts w:hint="cs"/>
          <w:rtl/>
          <w:lang w:eastAsia="en-US"/>
        </w:rPr>
        <w:t>ليم للمعوقين (التي غطيناها في الفقرة 19 من التقرير الأولي) في الفقرات من 728 إلى 734 أدناه، في إطار المادة 13. ولا يزال الوضع إزاء فرص عمل المعوقين كما هو مبيَّن في الفقرات من 20 إلى 22 من التقرير الأولي.</w:t>
      </w:r>
    </w:p>
    <w:p w:rsidR="00000000" w:rsidRDefault="00443EC1">
      <w:pPr>
        <w:spacing w:line="380" w:lineRule="exact"/>
        <w:jc w:val="both"/>
        <w:rPr>
          <w:rFonts w:hint="cs"/>
          <w:i/>
          <w:iCs/>
          <w:rtl/>
          <w:lang w:eastAsia="en-US"/>
        </w:rPr>
      </w:pPr>
      <w:r>
        <w:rPr>
          <w:rFonts w:hint="cs"/>
          <w:i/>
          <w:iCs/>
          <w:rtl/>
          <w:lang w:eastAsia="en-US"/>
        </w:rPr>
        <w:t>دخول المباني: استعراض دليل التصميم الهندسي: دخول حر</w:t>
      </w:r>
      <w:r>
        <w:rPr>
          <w:rFonts w:hint="cs"/>
          <w:i/>
          <w:iCs/>
          <w:rtl/>
          <w:lang w:eastAsia="en-US"/>
        </w:rPr>
        <w:t xml:space="preserve"> خال من العوائق إلى المباني 1997</w:t>
      </w:r>
    </w:p>
    <w:p w:rsidR="00000000" w:rsidRDefault="00443EC1">
      <w:pPr>
        <w:spacing w:line="380" w:lineRule="exact"/>
        <w:jc w:val="both"/>
        <w:rPr>
          <w:rFonts w:hint="cs"/>
          <w:rtl/>
          <w:lang w:eastAsia="en-US"/>
        </w:rPr>
      </w:pPr>
      <w:r>
        <w:rPr>
          <w:rFonts w:hint="cs"/>
          <w:rtl/>
          <w:lang w:eastAsia="en-US"/>
        </w:rPr>
        <w:t>360-</w:t>
      </w:r>
      <w:r>
        <w:rPr>
          <w:rFonts w:hint="cs"/>
          <w:rtl/>
          <w:lang w:eastAsia="en-US"/>
        </w:rPr>
        <w:tab/>
        <w:t xml:space="preserve">لا يزال الوضع كما تبينه الفقرات من 22 إلى 24 من التقرير الأولي. ولكن في ضوء التطورات الدولية في التصميم والتكنولوجيا، وبالنظر إلى الاحتياجات المتغيرة للمعوقين، تستعرض الآن إدارة الإنشاءات الحكومية كلاً من قواعد البناء </w:t>
      </w:r>
      <w:r>
        <w:rPr>
          <w:rFonts w:hint="cs"/>
          <w:rtl/>
          <w:lang w:eastAsia="en-US"/>
        </w:rPr>
        <w:t xml:space="preserve">ذات الصلة </w:t>
      </w:r>
      <w:r>
        <w:rPr>
          <w:rFonts w:hint="cs"/>
          <w:i/>
          <w:iCs/>
          <w:rtl/>
          <w:lang w:eastAsia="en-US"/>
        </w:rPr>
        <w:t>ودليل التصميم الهندسي: دخول حر خال من العوائق إلى المباني</w:t>
      </w:r>
      <w:r>
        <w:rPr>
          <w:rFonts w:hint="cs"/>
          <w:rtl/>
          <w:lang w:eastAsia="en-US"/>
        </w:rPr>
        <w:t xml:space="preserve"> </w:t>
      </w:r>
      <w:r>
        <w:rPr>
          <w:rFonts w:hint="cs"/>
          <w:i/>
          <w:iCs/>
          <w:rtl/>
          <w:lang w:eastAsia="en-US"/>
        </w:rPr>
        <w:t xml:space="preserve">1997. </w:t>
      </w:r>
      <w:r>
        <w:rPr>
          <w:rFonts w:hint="cs"/>
          <w:rtl/>
          <w:lang w:eastAsia="en-US"/>
        </w:rPr>
        <w:t>ومن المقرر أن يستكمل هذا الاستعراض في عام 2004.</w:t>
      </w:r>
    </w:p>
    <w:p w:rsidR="00000000" w:rsidRDefault="00443EC1">
      <w:pPr>
        <w:spacing w:line="380" w:lineRule="exact"/>
        <w:jc w:val="both"/>
        <w:rPr>
          <w:rFonts w:hint="cs"/>
          <w:i/>
          <w:iCs/>
          <w:rtl/>
          <w:lang w:eastAsia="en-US"/>
        </w:rPr>
      </w:pPr>
      <w:r>
        <w:rPr>
          <w:rFonts w:hint="cs"/>
          <w:i/>
          <w:iCs/>
          <w:rtl/>
          <w:lang w:eastAsia="en-US"/>
        </w:rPr>
        <w:t>التمييز ضد المرضى العقليين</w:t>
      </w:r>
    </w:p>
    <w:p w:rsidR="00000000" w:rsidRDefault="00443EC1">
      <w:pPr>
        <w:spacing w:line="380" w:lineRule="exact"/>
        <w:jc w:val="both"/>
        <w:rPr>
          <w:rFonts w:hint="cs"/>
          <w:rtl/>
          <w:lang w:eastAsia="en-US"/>
        </w:rPr>
      </w:pPr>
      <w:r>
        <w:rPr>
          <w:rFonts w:hint="cs"/>
          <w:rtl/>
          <w:lang w:eastAsia="en-US"/>
        </w:rPr>
        <w:t>361-</w:t>
      </w:r>
      <w:r>
        <w:rPr>
          <w:rFonts w:hint="cs"/>
          <w:rtl/>
          <w:lang w:eastAsia="en-US"/>
        </w:rPr>
        <w:tab/>
        <w:t>تبين قضية</w:t>
      </w:r>
      <w:r>
        <w:rPr>
          <w:rFonts w:hint="cs"/>
          <w:i/>
          <w:iCs/>
          <w:rtl/>
          <w:lang w:eastAsia="en-US"/>
        </w:rPr>
        <w:t xml:space="preserve"> ك. وآخرون ضد وزير العدل</w:t>
      </w:r>
      <w:r>
        <w:rPr>
          <w:rFonts w:hint="cs"/>
          <w:rtl/>
          <w:lang w:eastAsia="en-US"/>
        </w:rPr>
        <w:t xml:space="preserve"> الحماية المتوفرة للأشخاص الذين يزعمون أن الحكومة قد ميزت ضدهم في الع</w:t>
      </w:r>
      <w:r>
        <w:rPr>
          <w:rFonts w:hint="cs"/>
          <w:rtl/>
          <w:lang w:eastAsia="en-US"/>
        </w:rPr>
        <w:t>مل على أساس الإعاقة العقلية. وقد حرم المشتكون من العمل في الخدمة العامة لأن أحد والدي كلٍ منهم كان مصاباً بانفصامٍ في الشخصية. وترد تفاصيل هذه القضية في المرفق 2 دال.</w:t>
      </w:r>
    </w:p>
    <w:p w:rsidR="00000000" w:rsidRDefault="00443EC1">
      <w:pPr>
        <w:spacing w:line="380" w:lineRule="exact"/>
        <w:jc w:val="both"/>
        <w:rPr>
          <w:rFonts w:hint="cs"/>
          <w:rtl/>
          <w:lang w:eastAsia="en-US"/>
        </w:rPr>
      </w:pPr>
      <w:r>
        <w:rPr>
          <w:rFonts w:hint="cs"/>
          <w:rtl/>
          <w:lang w:eastAsia="en-US"/>
        </w:rPr>
        <w:t>362-</w:t>
      </w:r>
      <w:r>
        <w:rPr>
          <w:rFonts w:hint="cs"/>
          <w:rtl/>
          <w:lang w:eastAsia="en-US"/>
        </w:rPr>
        <w:tab/>
        <w:t xml:space="preserve">وتؤكد قضية </w:t>
      </w:r>
      <w:r>
        <w:rPr>
          <w:rFonts w:hint="cs"/>
          <w:i/>
          <w:iCs/>
          <w:rtl/>
          <w:lang w:eastAsia="en-US"/>
        </w:rPr>
        <w:t>ما بيك يونغ ضد كو شوين</w:t>
      </w:r>
      <w:r>
        <w:rPr>
          <w:rFonts w:hint="cs"/>
          <w:rtl/>
          <w:lang w:eastAsia="en-US"/>
        </w:rPr>
        <w:t xml:space="preserve"> وجود السلطة المخولة بطلب اعتذار في قضية تمييز تتعل</w:t>
      </w:r>
      <w:r>
        <w:rPr>
          <w:rFonts w:hint="cs"/>
          <w:rtl/>
          <w:lang w:eastAsia="en-US"/>
        </w:rPr>
        <w:t>ق بفردين. فقد كان سائق سيارة الأجرة يمانع في تقديم الخدمة لراكبٍ معاق. كما أنه قام بشتم الراكب أثناء الرحلة. وتفاصيل هذه القضية ترد في المرفق 2 هاء.</w:t>
      </w:r>
    </w:p>
    <w:p w:rsidR="00000000" w:rsidRDefault="00443EC1">
      <w:pPr>
        <w:spacing w:line="380" w:lineRule="exact"/>
        <w:jc w:val="both"/>
        <w:rPr>
          <w:rFonts w:hint="cs"/>
          <w:i/>
          <w:iCs/>
          <w:rtl/>
          <w:lang w:eastAsia="en-US"/>
        </w:rPr>
      </w:pPr>
      <w:r>
        <w:rPr>
          <w:rFonts w:hint="cs"/>
          <w:i/>
          <w:iCs/>
          <w:rtl/>
          <w:lang w:eastAsia="en-US"/>
        </w:rPr>
        <w:t>إنشاء مكتب الوصاية بموجب قانون الصحة العقلية (الفصل 136)</w:t>
      </w:r>
    </w:p>
    <w:p w:rsidR="00000000" w:rsidRDefault="00443EC1">
      <w:pPr>
        <w:spacing w:line="380" w:lineRule="exact"/>
        <w:jc w:val="both"/>
        <w:rPr>
          <w:rFonts w:hint="cs"/>
          <w:rtl/>
          <w:lang w:eastAsia="en-US"/>
        </w:rPr>
      </w:pPr>
      <w:r>
        <w:rPr>
          <w:rFonts w:hint="cs"/>
          <w:rtl/>
          <w:lang w:eastAsia="en-US"/>
        </w:rPr>
        <w:t>363-</w:t>
      </w:r>
      <w:r>
        <w:rPr>
          <w:rFonts w:hint="cs"/>
          <w:rtl/>
          <w:lang w:eastAsia="en-US"/>
        </w:rPr>
        <w:tab/>
        <w:t>أنشئ مكتب الوصاية في 1 شباط/فبراير 1999 بموجب</w:t>
      </w:r>
      <w:r>
        <w:rPr>
          <w:rFonts w:hint="cs"/>
          <w:rtl/>
          <w:lang w:eastAsia="en-US"/>
        </w:rPr>
        <w:t xml:space="preserve"> الفرع الرابع - ألف من قانون الصحة العقلية (الفصل 136). والغرض منه هو تقديم ضمانات قانونية أفضل للأشخاص المصابين باضطراب عقلي وبإعاقة عقلية (الذين يعرَّفون معاً بالمعوقين عقلياً) والبالغين من العمر الثامنة عشر وما فوق. وفيما يلي وظائف المجلس وصلاحياته الرئ</w:t>
      </w:r>
      <w:r>
        <w:rPr>
          <w:rFonts w:hint="cs"/>
          <w:rtl/>
          <w:lang w:eastAsia="en-US"/>
        </w:rPr>
        <w:t>يسية:</w:t>
      </w:r>
    </w:p>
    <w:p w:rsidR="00000000" w:rsidRDefault="00443EC1">
      <w:pPr>
        <w:spacing w:line="380" w:lineRule="exact"/>
        <w:jc w:val="both"/>
        <w:rPr>
          <w:rFonts w:hint="cs"/>
          <w:rtl/>
          <w:lang w:eastAsia="en-US"/>
        </w:rPr>
      </w:pPr>
      <w:r>
        <w:rPr>
          <w:rFonts w:hint="cs"/>
          <w:rtl/>
          <w:lang w:eastAsia="en-US"/>
        </w:rPr>
        <w:tab/>
        <w:t>(أ)</w:t>
      </w:r>
      <w:r>
        <w:rPr>
          <w:rFonts w:hint="cs"/>
          <w:rtl/>
          <w:lang w:eastAsia="en-US"/>
        </w:rPr>
        <w:tab/>
        <w:t>ينظر ويبت في طلبات تعيين الأوصياء؛</w:t>
      </w:r>
    </w:p>
    <w:p w:rsidR="00000000" w:rsidRDefault="00443EC1">
      <w:pPr>
        <w:spacing w:line="380" w:lineRule="exact"/>
        <w:jc w:val="both"/>
        <w:rPr>
          <w:rFonts w:hint="cs"/>
          <w:rtl/>
          <w:lang w:eastAsia="en-US"/>
        </w:rPr>
      </w:pPr>
      <w:r>
        <w:rPr>
          <w:rFonts w:hint="cs"/>
          <w:rtl/>
          <w:lang w:eastAsia="en-US"/>
        </w:rPr>
        <w:tab/>
        <w:t>(ب)</w:t>
      </w:r>
      <w:r>
        <w:rPr>
          <w:rFonts w:hint="cs"/>
          <w:rtl/>
          <w:lang w:eastAsia="en-US"/>
        </w:rPr>
        <w:tab/>
        <w:t>يصدر أوامر بالوصاية؛</w:t>
      </w:r>
    </w:p>
    <w:p w:rsidR="00000000" w:rsidRDefault="00443EC1">
      <w:pPr>
        <w:spacing w:line="380" w:lineRule="exact"/>
        <w:jc w:val="both"/>
        <w:rPr>
          <w:rFonts w:hint="cs"/>
          <w:rtl/>
          <w:lang w:eastAsia="en-US"/>
        </w:rPr>
      </w:pPr>
      <w:r>
        <w:rPr>
          <w:rFonts w:hint="cs"/>
          <w:rtl/>
          <w:lang w:eastAsia="en-US"/>
        </w:rPr>
        <w:tab/>
        <w:t>(ج)</w:t>
      </w:r>
      <w:r>
        <w:rPr>
          <w:rFonts w:hint="cs"/>
          <w:rtl/>
          <w:lang w:eastAsia="en-US"/>
        </w:rPr>
        <w:tab/>
        <w:t>يستعرض أوامر الوصاية؛</w:t>
      </w:r>
    </w:p>
    <w:p w:rsidR="00000000" w:rsidRDefault="00443EC1">
      <w:pPr>
        <w:spacing w:line="380" w:lineRule="exact"/>
        <w:jc w:val="both"/>
        <w:rPr>
          <w:rFonts w:hint="cs"/>
          <w:rtl/>
          <w:lang w:eastAsia="en-US"/>
        </w:rPr>
      </w:pPr>
      <w:r>
        <w:rPr>
          <w:rFonts w:hint="cs"/>
          <w:rtl/>
          <w:lang w:eastAsia="en-US"/>
        </w:rPr>
        <w:tab/>
        <w:t>(د)</w:t>
      </w:r>
      <w:r>
        <w:rPr>
          <w:rFonts w:hint="cs"/>
          <w:rtl/>
          <w:lang w:eastAsia="en-US"/>
        </w:rPr>
        <w:tab/>
        <w:t xml:space="preserve">يعطي توجيهاته للأوصياء بشأن طبيعة ومدى أوامر الوصاية. </w:t>
      </w:r>
    </w:p>
    <w:p w:rsidR="00000000" w:rsidRDefault="00443EC1">
      <w:pPr>
        <w:spacing w:line="380" w:lineRule="exact"/>
        <w:jc w:val="both"/>
        <w:rPr>
          <w:rFonts w:hint="cs"/>
          <w:rtl/>
          <w:lang w:eastAsia="en-US"/>
        </w:rPr>
      </w:pPr>
      <w:r>
        <w:rPr>
          <w:rFonts w:hint="cs"/>
          <w:rtl/>
          <w:lang w:eastAsia="en-US"/>
        </w:rPr>
        <w:t>364-</w:t>
      </w:r>
      <w:r>
        <w:rPr>
          <w:rFonts w:hint="cs"/>
          <w:rtl/>
          <w:lang w:eastAsia="en-US"/>
        </w:rPr>
        <w:tab/>
        <w:t>ويتمتع المجلس بولاية قانونية على البالغين غير القادرين، نظراً لعجزهم الذهني، على الاهتمام بش</w:t>
      </w:r>
      <w:r>
        <w:rPr>
          <w:rFonts w:hint="cs"/>
          <w:rtl/>
          <w:lang w:eastAsia="en-US"/>
        </w:rPr>
        <w:t>ؤونهم الشخصية أو الطبية أو المالية. وللمجلس رئيس متفرغ لعمله وأكثر من 50 عضواً غير رسميين. ويتألف هؤلاء الأعضاء من محامين وممارسين في الميدان الطبي ومصلحين اجتماعيين ومن أصحاب الخبرة في الاعتناء بالأشخاص العاجزين ذهنياً. ويعين الرئيس التنفيذي رئيس المجلس و</w:t>
      </w:r>
      <w:r>
        <w:rPr>
          <w:rFonts w:hint="cs"/>
          <w:rtl/>
          <w:lang w:eastAsia="en-US"/>
        </w:rPr>
        <w:t xml:space="preserve">أعضاءه. وقد تلقى المجلس لغاية 31 كانون الأول/ديسمبر 2002، أكثر من 450 طلباً للوصاية وأصدر أكثر من 400 أمر وصاية. </w:t>
      </w:r>
    </w:p>
    <w:p w:rsidR="00000000" w:rsidRDefault="00443EC1">
      <w:pPr>
        <w:spacing w:line="380" w:lineRule="exact"/>
        <w:jc w:val="both"/>
        <w:rPr>
          <w:rFonts w:hint="cs"/>
          <w:b/>
          <w:bCs/>
          <w:rtl/>
          <w:lang w:eastAsia="en-US"/>
        </w:rPr>
      </w:pPr>
      <w:r>
        <w:rPr>
          <w:rFonts w:hint="cs"/>
          <w:b/>
          <w:bCs/>
          <w:rtl/>
          <w:lang w:eastAsia="en-US"/>
        </w:rPr>
        <w:t>استعراض دور اللجنة المعنية بتكافؤ الفرص</w:t>
      </w:r>
    </w:p>
    <w:p w:rsidR="00000000" w:rsidRDefault="00443EC1">
      <w:pPr>
        <w:spacing w:line="380" w:lineRule="exact"/>
        <w:jc w:val="both"/>
        <w:rPr>
          <w:rFonts w:hint="cs"/>
          <w:rtl/>
          <w:lang w:eastAsia="en-US"/>
        </w:rPr>
      </w:pPr>
      <w:r>
        <w:rPr>
          <w:rFonts w:hint="cs"/>
          <w:rtl/>
          <w:lang w:eastAsia="en-US"/>
        </w:rPr>
        <w:t>365-</w:t>
      </w:r>
      <w:r>
        <w:rPr>
          <w:rFonts w:hint="cs"/>
          <w:rtl/>
          <w:lang w:eastAsia="en-US"/>
        </w:rPr>
        <w:tab/>
        <w:t>لا يزال دور اللجنة المعنية بتكافؤ الفرص كما تبينه الفقرة 4 من التقرير الأولي. وفي عام 2002، استعر</w:t>
      </w:r>
      <w:r>
        <w:rPr>
          <w:rFonts w:hint="cs"/>
          <w:rtl/>
          <w:lang w:eastAsia="en-US"/>
        </w:rPr>
        <w:t>ضنا مجموعات أجور كبار الموظفين التنفيذيين في 22 هيئة تمولها الحكومة، بما فيها اللجنة. والغرض من ذلك هو التأكد من أن هذه المجموعات لا تزال مناسبة في الظروف الراهنة. فوجدنا أن الترتيبات الخاصة بأجر الموظفين من المرتبتين الثانية والثالثة نظامية. في حين أن الت</w:t>
      </w:r>
      <w:r>
        <w:rPr>
          <w:rFonts w:hint="cs"/>
          <w:rtl/>
          <w:lang w:eastAsia="en-US"/>
        </w:rPr>
        <w:t>رتيبات الخاصة بأجر الرئيس ستخضع لمزيدٍ من الاستعراض في ضوء نتيجة الاقتراح المقدم لإصدار تشريع لمكافحة التمييز العنصري (الفقرة 351 أعلاه)، فقد تترتب عن هذا الاقتراح آثار على عمل اللجنة.</w:t>
      </w:r>
    </w:p>
    <w:p w:rsidR="00000000" w:rsidRDefault="00443EC1">
      <w:pPr>
        <w:spacing w:line="380" w:lineRule="exact"/>
        <w:jc w:val="both"/>
        <w:rPr>
          <w:rFonts w:hint="cs"/>
          <w:b/>
          <w:bCs/>
          <w:rtl/>
          <w:lang w:eastAsia="en-US"/>
        </w:rPr>
      </w:pPr>
      <w:r>
        <w:rPr>
          <w:rFonts w:hint="cs"/>
          <w:b/>
          <w:bCs/>
          <w:rtl/>
          <w:lang w:eastAsia="en-US"/>
        </w:rPr>
        <w:t>السلطة التقديرية للتخلي عن حد الأهلية المالية لتلقي المساعدة القانونية</w:t>
      </w:r>
    </w:p>
    <w:p w:rsidR="00000000" w:rsidRDefault="00443EC1">
      <w:pPr>
        <w:spacing w:line="380" w:lineRule="exact"/>
        <w:jc w:val="both"/>
        <w:rPr>
          <w:rFonts w:hint="cs"/>
          <w:rtl/>
          <w:lang w:eastAsia="en-US"/>
        </w:rPr>
      </w:pPr>
      <w:r>
        <w:rPr>
          <w:rFonts w:hint="cs"/>
          <w:rtl/>
          <w:lang w:eastAsia="en-US"/>
        </w:rPr>
        <w:t>366-</w:t>
      </w:r>
      <w:r>
        <w:rPr>
          <w:rFonts w:hint="cs"/>
          <w:rtl/>
          <w:lang w:eastAsia="en-US"/>
        </w:rPr>
        <w:tab/>
        <w:t>تتوفر المساعدة القانونية في الدعاوى المقدمة بموجب قوانين مكافحة العنصرية. ووفقاً لما يبينه الفرع الثالث من هذا التقرير (الفقرات من 324 إلى 327)، وفي القضايا التي تتعلق بإخلال بقانون شرعة الحقوق أو بتعارض مع أحكام العهد الدولي الخاص بالحقوق المدنية وال</w:t>
      </w:r>
      <w:r>
        <w:rPr>
          <w:rFonts w:hint="cs"/>
          <w:rtl/>
          <w:lang w:eastAsia="en-US"/>
        </w:rPr>
        <w:t>سياسية كما تطبق على هونغ كونغ، يجوز لمدير المساعدة القانونية أن يتنازل عن شرط الحد الأقصى من الموارد المالية لطالب المساعدة عندما يجري اختباراً للموارد المعيشية، ولكن لا عن الاختبار ذاته</w:t>
      </w:r>
      <w:r>
        <w:rPr>
          <w:rFonts w:hint="cs"/>
          <w:vertAlign w:val="superscript"/>
          <w:rtl/>
          <w:lang w:eastAsia="en-US"/>
        </w:rPr>
        <w:t>(11)</w:t>
      </w:r>
      <w:r>
        <w:rPr>
          <w:rFonts w:hint="cs"/>
          <w:rtl/>
          <w:lang w:eastAsia="en-US"/>
        </w:rPr>
        <w:t>. وقد طلب المعلقون من الحكومة النظر في مسألة توسيع نطاق هذا التناز</w:t>
      </w:r>
      <w:r>
        <w:rPr>
          <w:rFonts w:hint="cs"/>
          <w:rtl/>
          <w:lang w:eastAsia="en-US"/>
        </w:rPr>
        <w:t xml:space="preserve">ل ليشمل الإجراءات بموجب قوانين مكافحة العنصرية والقضايا المتعلقة بالإخلال بأحكام العهد. </w:t>
      </w:r>
    </w:p>
    <w:p w:rsidR="00000000" w:rsidRDefault="00443EC1">
      <w:pPr>
        <w:spacing w:line="380" w:lineRule="exact"/>
        <w:jc w:val="both"/>
        <w:rPr>
          <w:rFonts w:hint="cs"/>
          <w:rtl/>
          <w:lang w:eastAsia="en-US"/>
        </w:rPr>
      </w:pPr>
      <w:r>
        <w:rPr>
          <w:rFonts w:hint="cs"/>
          <w:rtl/>
          <w:lang w:eastAsia="en-US"/>
        </w:rPr>
        <w:t>367-</w:t>
      </w:r>
      <w:r>
        <w:rPr>
          <w:rFonts w:hint="cs"/>
          <w:rtl/>
          <w:lang w:eastAsia="en-US"/>
        </w:rPr>
        <w:tab/>
        <w:t>والغرض من سياستنا الخاصة بالمساعدة القانونية هو ضمان عدم حرمان أي شخص لديه أسباب معقولة لاتخاذ إجراء قانوني في محكمة من محاكم هونغ كونغ من فعل ذلك لأنه لا يملك ال</w:t>
      </w:r>
      <w:r>
        <w:rPr>
          <w:rFonts w:hint="cs"/>
          <w:rtl/>
          <w:lang w:eastAsia="en-US"/>
        </w:rPr>
        <w:t>موارد المالية الكافية. لكن المساعدة القانونية تمول من الخزينة العامة، وهي محدودة الموارد. لهذا، يجب أن تمنح الأولوية في المساعدة القانونية الممولة تمويلاً عاماً لأولئك الذين لا يستطيعون تحمل تكاليف القضية من مواردهم الخاصة. وإن توسيع نطاق التنازل الحالي قد</w:t>
      </w:r>
      <w:r>
        <w:rPr>
          <w:rFonts w:hint="cs"/>
          <w:rtl/>
          <w:lang w:eastAsia="en-US"/>
        </w:rPr>
        <w:t xml:space="preserve"> يؤدي إلى تحويل الأموال العامة من أولئك الذين لا يستطيعون إلى الذين يستطيعون تحمل تكاليف القضية، وذلك حصراً على أساس نوع الإجراءات القانونية التي تتخذ.</w:t>
      </w:r>
    </w:p>
    <w:p w:rsidR="00000000" w:rsidRDefault="00443EC1">
      <w:pPr>
        <w:spacing w:line="380" w:lineRule="exact"/>
        <w:jc w:val="both"/>
        <w:rPr>
          <w:rFonts w:hint="cs"/>
          <w:rtl/>
          <w:lang w:eastAsia="en-US"/>
        </w:rPr>
      </w:pPr>
      <w:r>
        <w:rPr>
          <w:rFonts w:hint="cs"/>
          <w:rtl/>
          <w:lang w:eastAsia="en-US"/>
        </w:rPr>
        <w:t>368-</w:t>
      </w:r>
      <w:r>
        <w:rPr>
          <w:rFonts w:hint="cs"/>
          <w:rtl/>
          <w:lang w:eastAsia="en-US"/>
        </w:rPr>
        <w:tab/>
        <w:t>ولقد كنا وقت وضع اللمسات الأخيرة على هذا التقرير نكمل سلسلة من الاستعراضات الخاصة بحدود الأهلية الم</w:t>
      </w:r>
      <w:r>
        <w:rPr>
          <w:rFonts w:hint="cs"/>
          <w:rtl/>
          <w:lang w:eastAsia="en-US"/>
        </w:rPr>
        <w:t>الية والمعايير المطلوب توفرها لتقييم الأهلية المالية لتقديم طلبات المساعدة القانونية. وكنا نستعد للتشاور مع مجلس خدمات المساعدة القانونية بشأن استنتاجاتنا وننظر في قائمة من المسائل ذات الصلة بالمساعدة القانونية التي تلقيناها من الفريق المعني بإقامة العدل و</w:t>
      </w:r>
      <w:r>
        <w:rPr>
          <w:rFonts w:hint="cs"/>
          <w:rtl/>
          <w:lang w:eastAsia="en-US"/>
        </w:rPr>
        <w:t>بالخدمات القانونية التابع للمجلس التشريعي. وتشمل هذه المسائل تلك التي أثارها محاورونا. ونعتزم التشاور مع الفريق بشأن الاستنتاجات التي خلصت إليها هذه الاستعراضات في مرحلةٍ لاحقة من عام 2003.</w:t>
      </w:r>
    </w:p>
    <w:p w:rsidR="00000000" w:rsidRDefault="00443EC1">
      <w:pPr>
        <w:spacing w:line="380" w:lineRule="exact"/>
        <w:jc w:val="center"/>
        <w:rPr>
          <w:rFonts w:hint="cs"/>
          <w:b/>
          <w:bCs/>
          <w:rtl/>
          <w:lang w:eastAsia="en-US"/>
        </w:rPr>
      </w:pPr>
      <w:r>
        <w:rPr>
          <w:rFonts w:hint="cs"/>
          <w:b/>
          <w:bCs/>
          <w:rtl/>
          <w:lang w:eastAsia="en-US"/>
        </w:rPr>
        <w:t>جيم - المادة 3</w:t>
      </w:r>
    </w:p>
    <w:p w:rsidR="00000000" w:rsidRDefault="00443EC1">
      <w:pPr>
        <w:spacing w:line="380" w:lineRule="exact"/>
        <w:jc w:val="center"/>
        <w:rPr>
          <w:rFonts w:hint="cs"/>
          <w:b/>
          <w:bCs/>
          <w:rtl/>
          <w:lang w:eastAsia="en-US"/>
        </w:rPr>
      </w:pPr>
      <w:r>
        <w:rPr>
          <w:rFonts w:hint="cs"/>
          <w:b/>
          <w:bCs/>
          <w:rtl/>
          <w:lang w:eastAsia="en-US"/>
        </w:rPr>
        <w:t>المساواة في الحقوق بين الرجل والمرأة</w:t>
      </w:r>
    </w:p>
    <w:p w:rsidR="00000000" w:rsidRDefault="00443EC1">
      <w:pPr>
        <w:spacing w:line="380" w:lineRule="exact"/>
        <w:jc w:val="both"/>
        <w:rPr>
          <w:rFonts w:hint="cs"/>
          <w:b/>
          <w:bCs/>
          <w:rtl/>
          <w:lang w:eastAsia="en-US"/>
        </w:rPr>
      </w:pPr>
      <w:r>
        <w:rPr>
          <w:rFonts w:hint="cs"/>
          <w:b/>
          <w:bCs/>
          <w:rtl/>
          <w:lang w:eastAsia="en-US"/>
        </w:rPr>
        <w:t>اتفاقية القضاء</w:t>
      </w:r>
      <w:r>
        <w:rPr>
          <w:rFonts w:hint="cs"/>
          <w:b/>
          <w:bCs/>
          <w:rtl/>
          <w:lang w:eastAsia="en-US"/>
        </w:rPr>
        <w:t xml:space="preserve"> على جميع أشكال التمييز ضد المرأة ولجنة شؤون المرأة</w:t>
      </w:r>
    </w:p>
    <w:p w:rsidR="00000000" w:rsidRDefault="00443EC1">
      <w:pPr>
        <w:spacing w:line="380" w:lineRule="exact"/>
        <w:jc w:val="both"/>
        <w:rPr>
          <w:rFonts w:hint="cs"/>
          <w:rtl/>
          <w:lang w:eastAsia="en-US"/>
        </w:rPr>
      </w:pPr>
      <w:r>
        <w:rPr>
          <w:rFonts w:hint="cs"/>
          <w:rtl/>
          <w:lang w:eastAsia="en-US"/>
        </w:rPr>
        <w:t>369-</w:t>
      </w:r>
      <w:r>
        <w:rPr>
          <w:rFonts w:hint="cs"/>
          <w:rtl/>
          <w:lang w:eastAsia="en-US"/>
        </w:rPr>
        <w:tab/>
        <w:t>كنا وقت إنجاز هذا التقرير نعد في ذات الوقت تقريرنا الثاني بموجب اتفاقية القضاء على جميع أشكال التمييز ضد المرأة. وسيشكل هذا التقرير جزءاً من التقرير الذي تعده الصين حالياً بمقتضى هذه الاتفاقية. وسنزو</w:t>
      </w:r>
      <w:r>
        <w:rPr>
          <w:rFonts w:hint="cs"/>
          <w:rtl/>
          <w:lang w:eastAsia="en-US"/>
        </w:rPr>
        <w:t>د اللجنة بنسخٍ من هذا التقرير قبل أن تنظر فيه.</w:t>
      </w:r>
    </w:p>
    <w:p w:rsidR="00000000" w:rsidRDefault="00443EC1">
      <w:pPr>
        <w:spacing w:line="380" w:lineRule="exact"/>
        <w:jc w:val="both"/>
        <w:rPr>
          <w:rFonts w:hint="cs"/>
          <w:i/>
          <w:iCs/>
          <w:rtl/>
          <w:lang w:eastAsia="en-US"/>
        </w:rPr>
      </w:pPr>
      <w:r>
        <w:rPr>
          <w:rFonts w:hint="cs"/>
          <w:i/>
          <w:iCs/>
          <w:rtl/>
          <w:lang w:eastAsia="en-US"/>
        </w:rPr>
        <w:t>لجنة شؤون المرأة</w:t>
      </w:r>
    </w:p>
    <w:p w:rsidR="00000000" w:rsidRDefault="00443EC1">
      <w:pPr>
        <w:spacing w:line="380" w:lineRule="exact"/>
        <w:jc w:val="both"/>
        <w:rPr>
          <w:rtl/>
          <w:lang w:eastAsia="en-US"/>
        </w:rPr>
      </w:pPr>
      <w:r>
        <w:rPr>
          <w:rFonts w:hint="cs"/>
          <w:rtl/>
          <w:lang w:eastAsia="en-US"/>
        </w:rPr>
        <w:t>370-</w:t>
      </w:r>
      <w:r>
        <w:rPr>
          <w:rFonts w:hint="cs"/>
          <w:rtl/>
          <w:lang w:eastAsia="en-US"/>
        </w:rPr>
        <w:tab/>
        <w:t>وفي كانون الثاني/يناير 2001، أنشأنا لجنة مخصصة للمرأة تعمل كآلية مركزية رفيعة المستوى على تحسين وضع المرأة وتعزيز مصالحها في هونغ كونغ. وتتلقى اللجنة تمويلاً سنوياً يبلغ نحو 20 مليون دولا</w:t>
      </w:r>
      <w:r>
        <w:rPr>
          <w:rFonts w:hint="cs"/>
          <w:rtl/>
          <w:lang w:eastAsia="en-US"/>
        </w:rPr>
        <w:t xml:space="preserve">ر من دولارات هونغ كونغ (2.56 مليون دولار من دولارات الولايات المتحدة) وتتلقى الدعم من شعبة المرأة التابعة للمكتب المعني بالصحة والرفاه والأغذية. </w:t>
      </w:r>
    </w:p>
    <w:p w:rsidR="00000000" w:rsidRDefault="00443EC1">
      <w:pPr>
        <w:spacing w:line="380" w:lineRule="exact"/>
        <w:jc w:val="both"/>
        <w:rPr>
          <w:rFonts w:hint="cs"/>
          <w:rtl/>
          <w:lang w:eastAsia="en-US"/>
        </w:rPr>
      </w:pPr>
      <w:r>
        <w:rPr>
          <w:rFonts w:hint="cs"/>
          <w:rtl/>
          <w:lang w:eastAsia="en-US"/>
        </w:rPr>
        <w:t>371-</w:t>
      </w:r>
      <w:r>
        <w:rPr>
          <w:rFonts w:hint="cs"/>
          <w:rtl/>
          <w:lang w:eastAsia="en-US"/>
        </w:rPr>
        <w:tab/>
        <w:t>وتتمثل مهمة اللجنة في "تمكين المرأة في هونغ كونغ من حصولها بالكامل على ما تستحقه من مكانة وحقوق وفرص في ج</w:t>
      </w:r>
      <w:r>
        <w:rPr>
          <w:rFonts w:hint="cs"/>
          <w:rtl/>
          <w:lang w:eastAsia="en-US"/>
        </w:rPr>
        <w:t>ميع مشارب الحياة". ووظيفتها هي تحديد احتياجات المرأة ومعالجة مخاوفها بشمولية وانتظام. ولهذه الأغراض، وضعت رؤية واستراتيجية طويلة الأمد لتطوير وتحسين أوضاع المرأة في هونغ كونغ. وتركز هذه الاستراتيجية على ثلاثة مجالات للعمل مُنحت الأولوية: مراعاة الجنس، وتمك</w:t>
      </w:r>
      <w:r>
        <w:rPr>
          <w:rFonts w:hint="cs"/>
          <w:rtl/>
          <w:lang w:eastAsia="en-US"/>
        </w:rPr>
        <w:t>ين المرأة، والتثقيف العام. وتتولى فرقة عمل خاصة إحراز تقدم في العمل في هذه المجالات.</w:t>
      </w:r>
    </w:p>
    <w:p w:rsidR="00000000" w:rsidRDefault="00443EC1">
      <w:pPr>
        <w:spacing w:line="380" w:lineRule="exact"/>
        <w:jc w:val="both"/>
        <w:rPr>
          <w:rFonts w:hint="cs"/>
          <w:b/>
          <w:bCs/>
          <w:rtl/>
          <w:lang w:eastAsia="en-US"/>
        </w:rPr>
      </w:pPr>
      <w:r>
        <w:rPr>
          <w:rFonts w:hint="cs"/>
          <w:b/>
          <w:bCs/>
          <w:rtl/>
          <w:lang w:eastAsia="en-US"/>
        </w:rPr>
        <w:t>تعميم مراعاة المنظور الجنساني</w:t>
      </w:r>
    </w:p>
    <w:p w:rsidR="00000000" w:rsidRDefault="00443EC1">
      <w:pPr>
        <w:spacing w:line="380" w:lineRule="exact"/>
        <w:jc w:val="both"/>
        <w:rPr>
          <w:rFonts w:hint="cs"/>
          <w:rtl/>
          <w:lang w:eastAsia="en-US"/>
        </w:rPr>
      </w:pPr>
      <w:r>
        <w:rPr>
          <w:rFonts w:hint="cs"/>
          <w:rtl/>
          <w:lang w:eastAsia="en-US"/>
        </w:rPr>
        <w:t>372-</w:t>
      </w:r>
      <w:r>
        <w:rPr>
          <w:rFonts w:hint="cs"/>
          <w:rtl/>
          <w:lang w:eastAsia="en-US"/>
        </w:rPr>
        <w:tab/>
        <w:t>الغرض من ذلك هو ضمان مراعاة احتياجات المرأة وتطلعاتها في التشريعات أو السياسات أو البرامج لتحقيق الإنصاف بين المرأة والرجل في الحصول على</w:t>
      </w:r>
      <w:r>
        <w:rPr>
          <w:rFonts w:hint="cs"/>
          <w:rtl/>
          <w:lang w:eastAsia="en-US"/>
        </w:rPr>
        <w:t xml:space="preserve"> موارد المجتمع وفي الاستفادة من الفرص التي يتيحها. ولهذا الغرض، قامت اللجنة، اعتماداً منها على الخبرات الخارجية، بوضع قائمة مرجعية لتيسير عمليات التحليل التي تراعي الجنس ولتقييم الأثر المحتمل للسياسات والبرامج على صعيد الجنس. وقد أعدت أيضاً مجموعة كاملة من</w:t>
      </w:r>
      <w:r>
        <w:rPr>
          <w:rFonts w:hint="cs"/>
          <w:rtl/>
          <w:lang w:eastAsia="en-US"/>
        </w:rPr>
        <w:t xml:space="preserve"> المعلومات لإطلاع المسؤولين الحكوميين على مفهوم تعميم مراعاة المنظور الجنساني. ووضعت القائمة المرجعية تحت الاختبار التجريبي في خمسة من ميادين السياسة العامة ويجري تعديلها تعديلاً دقيقاً. ومن المقرر اعتمادها في عام 2003 في عدة ميادين جديدة من ميادين السياسة</w:t>
      </w:r>
      <w:r>
        <w:rPr>
          <w:rFonts w:hint="cs"/>
          <w:rtl/>
          <w:lang w:eastAsia="en-US"/>
        </w:rPr>
        <w:t xml:space="preserve"> العامة وتوسيع نطاقها تدريجياً لتشمل ميادين أخرى. وإضافة إلى ذلك، يتلقى موظفو الخدمة المدنية من مراتب مختلفة تدريباً على مراعاة الجنس تيسيراً لمراعاة تطلعات المرأة في عملية رسم السياسات.</w:t>
      </w:r>
    </w:p>
    <w:p w:rsidR="00000000" w:rsidRDefault="00443EC1">
      <w:pPr>
        <w:spacing w:line="380" w:lineRule="exact"/>
        <w:jc w:val="both"/>
        <w:rPr>
          <w:rFonts w:hint="cs"/>
          <w:b/>
          <w:bCs/>
          <w:rtl/>
          <w:lang w:eastAsia="en-US"/>
        </w:rPr>
      </w:pPr>
      <w:r>
        <w:rPr>
          <w:rFonts w:hint="cs"/>
          <w:b/>
          <w:bCs/>
          <w:rtl/>
          <w:lang w:eastAsia="en-US"/>
        </w:rPr>
        <w:t>تمكين المرأة</w:t>
      </w:r>
    </w:p>
    <w:p w:rsidR="00000000" w:rsidRDefault="00443EC1">
      <w:pPr>
        <w:spacing w:line="380" w:lineRule="exact"/>
        <w:jc w:val="both"/>
        <w:rPr>
          <w:rFonts w:hint="cs"/>
          <w:rtl/>
          <w:lang w:eastAsia="en-US"/>
        </w:rPr>
      </w:pPr>
      <w:r>
        <w:rPr>
          <w:rFonts w:hint="cs"/>
          <w:rtl/>
          <w:lang w:eastAsia="en-US"/>
        </w:rPr>
        <w:t>373-</w:t>
      </w:r>
      <w:r>
        <w:rPr>
          <w:rFonts w:hint="cs"/>
          <w:rtl/>
          <w:lang w:eastAsia="en-US"/>
        </w:rPr>
        <w:tab/>
        <w:t>تتمثل إحدى الخطوات الهامة نحو تمكين المرأة في إشراك</w:t>
      </w:r>
      <w:r>
        <w:rPr>
          <w:rFonts w:hint="cs"/>
          <w:rtl/>
          <w:lang w:eastAsia="en-US"/>
        </w:rPr>
        <w:t>ها في عملية اتخاذ القرارات على صعيد المجتمع المحلي. وترى لجنة شؤون المرأة أن هناك ضرورة وإمكانية لمشاركة المرأة بمزيد من الفاعلية في الهيئات الحكومية الاستشارية والقانونية، وهي مشاركة تشكل جزءاً هاماً من سياسة هونغ كونغ العامة وطريقة صنع قراراتها. ويوجد حا</w:t>
      </w:r>
      <w:r>
        <w:rPr>
          <w:rFonts w:hint="cs"/>
          <w:rtl/>
          <w:lang w:eastAsia="en-US"/>
        </w:rPr>
        <w:t>لياً أكثر من 600 مجلس يسدي المشورة للحكومة بشأن مسائل هامة لحياة الفرد اليومية في هونغ كونغ. وكانت مشاركة المرأة في هذه الهيئات مشاركة ضئيلة نسبياً. وقد حثت اللجنة الحكومة على أن تعمل بمزيد من الفاعلية على تهيئة مرشحات محتملات. واستجابةً لذلك، طلبت الحكومة</w:t>
      </w:r>
      <w:r>
        <w:rPr>
          <w:rFonts w:hint="cs"/>
          <w:rtl/>
          <w:lang w:eastAsia="en-US"/>
        </w:rPr>
        <w:t xml:space="preserve"> رسمياً من عضوات في كل من المنظمات غير الحكومية وغرف التجارة والهيئات المهنية أن تسجل اهتمامها في المشاركة في عمل المجالس لتوسيع مجموعة المرشحات المحتملات. ويعد الجنس الآن عاملاً يجب مراعاته عند البت في التعيينات. وبالإضافة على ذلك، تقوم اللجنة، اعتماداً م</w:t>
      </w:r>
      <w:r>
        <w:rPr>
          <w:rFonts w:hint="cs"/>
          <w:rtl/>
          <w:lang w:eastAsia="en-US"/>
        </w:rPr>
        <w:t>نها على خبرة المنظمات غير الحكومية، بتجميع كتيب عن ممارسات التمكين الجيدة التي اعتمدها القطاع غير الحكومي. والغرض من ذلك هو ترويج نماذج الخدمات الجديدة والممارسات الجيدة والإعلان عنها وتيسير إمكانية تقليد آخرين لهذه النماذج وتعديلها.</w:t>
      </w:r>
    </w:p>
    <w:p w:rsidR="00000000" w:rsidRDefault="00443EC1">
      <w:pPr>
        <w:spacing w:line="380" w:lineRule="exact"/>
        <w:jc w:val="both"/>
        <w:rPr>
          <w:rFonts w:hint="cs"/>
          <w:b/>
          <w:bCs/>
          <w:rtl/>
          <w:lang w:eastAsia="en-US"/>
        </w:rPr>
      </w:pPr>
      <w:r>
        <w:rPr>
          <w:rFonts w:hint="cs"/>
          <w:b/>
          <w:bCs/>
          <w:rtl/>
          <w:lang w:eastAsia="en-US"/>
        </w:rPr>
        <w:t>التثقيف العام</w:t>
      </w:r>
    </w:p>
    <w:p w:rsidR="00000000" w:rsidRDefault="00443EC1">
      <w:pPr>
        <w:spacing w:line="380" w:lineRule="exact"/>
        <w:jc w:val="both"/>
        <w:rPr>
          <w:rFonts w:hint="cs"/>
          <w:rtl/>
          <w:lang w:eastAsia="en-US"/>
        </w:rPr>
      </w:pPr>
      <w:r>
        <w:rPr>
          <w:rFonts w:hint="cs"/>
          <w:rtl/>
          <w:lang w:eastAsia="en-US"/>
        </w:rPr>
        <w:t>374-</w:t>
      </w:r>
      <w:r>
        <w:rPr>
          <w:rFonts w:hint="cs"/>
          <w:rtl/>
          <w:lang w:eastAsia="en-US"/>
        </w:rPr>
        <w:tab/>
        <w:t>تعم</w:t>
      </w:r>
      <w:r>
        <w:rPr>
          <w:rFonts w:hint="cs"/>
          <w:rtl/>
          <w:lang w:eastAsia="en-US"/>
        </w:rPr>
        <w:t>ل اللجنة على زيادة وعي الجمهور بالقضايا الجنسانية والتقليل من القوالب النمطية المتعلقة بالجنس. ولهذا الغرض، نظمت حملة تثقيفية عامة وواسعة النطاق تشمل مختلف الأنشطة، بما فيها، ضمن جملة أمور، برنامج إذاعي ومسلسل تلفزيوني درامي عن موضوعي التمكين وبناء القدرات</w:t>
      </w:r>
      <w:r>
        <w:rPr>
          <w:rFonts w:hint="cs"/>
          <w:rtl/>
          <w:lang w:eastAsia="en-US"/>
        </w:rPr>
        <w:t xml:space="preserve"> وحلقات دراسية ومؤتمرات ومنتديات عامة.</w:t>
      </w:r>
    </w:p>
    <w:p w:rsidR="00000000" w:rsidRDefault="00443EC1">
      <w:pPr>
        <w:spacing w:line="380" w:lineRule="exact"/>
        <w:jc w:val="both"/>
        <w:rPr>
          <w:rFonts w:hint="cs"/>
          <w:rtl/>
          <w:lang w:eastAsia="en-US"/>
        </w:rPr>
      </w:pPr>
      <w:r>
        <w:rPr>
          <w:rFonts w:hint="cs"/>
          <w:i/>
          <w:iCs/>
          <w:rtl/>
          <w:lang w:eastAsia="en-US"/>
        </w:rPr>
        <w:t>بناء القدرات</w:t>
      </w:r>
    </w:p>
    <w:p w:rsidR="00000000" w:rsidRDefault="00443EC1">
      <w:pPr>
        <w:spacing w:line="380" w:lineRule="exact"/>
        <w:jc w:val="both"/>
        <w:rPr>
          <w:rFonts w:hint="cs"/>
          <w:rtl/>
          <w:lang w:eastAsia="en-US"/>
        </w:rPr>
      </w:pPr>
      <w:r>
        <w:rPr>
          <w:rFonts w:hint="cs"/>
          <w:rtl/>
          <w:lang w:eastAsia="en-US"/>
        </w:rPr>
        <w:t>375-</w:t>
      </w:r>
      <w:r>
        <w:rPr>
          <w:rFonts w:hint="cs"/>
          <w:rtl/>
          <w:lang w:eastAsia="en-US"/>
        </w:rPr>
        <w:tab/>
        <w:t xml:space="preserve">سيكون بناء القدرات موضوع عمل اللجنة في عام 2003. واللجنة، إذ تضع ذلك في الاعتبار، تبحث عن إطار عمل لتمكين النساء في مختلف القطاعات، بمن فيهن ربات المنزل واللاتي يضطلعن بدور مزدوج، من اكتساب المهارات </w:t>
      </w:r>
      <w:r>
        <w:rPr>
          <w:rFonts w:hint="cs"/>
          <w:rtl/>
          <w:lang w:eastAsia="en-US"/>
        </w:rPr>
        <w:t>وتأمين الاعتراف اللازم بالمهارات التي يكتسبنها وسنناقش هذا الجانب وجوانب أخرى من عمل اللجنة بمزيدٍ من التفصيل في تقريرنا الثاني بموجب اتفاقية القضاء على جميع أشكال التمييز ضد المرأة.</w:t>
      </w:r>
    </w:p>
    <w:p w:rsidR="00000000" w:rsidRDefault="00443EC1">
      <w:pPr>
        <w:spacing w:line="380" w:lineRule="exact"/>
        <w:jc w:val="both"/>
        <w:rPr>
          <w:rFonts w:hint="cs"/>
          <w:rtl/>
          <w:lang w:eastAsia="en-US"/>
        </w:rPr>
      </w:pPr>
      <w:r>
        <w:rPr>
          <w:rFonts w:hint="cs"/>
          <w:rtl/>
          <w:lang w:eastAsia="en-US"/>
        </w:rPr>
        <w:t>376-</w:t>
      </w:r>
      <w:r>
        <w:rPr>
          <w:rFonts w:hint="cs"/>
          <w:rtl/>
          <w:lang w:eastAsia="en-US"/>
        </w:rPr>
        <w:tab/>
        <w:t>وأعربت اللجنة في الفقرة 17 من ملاحظاتها الختامية عن القلق لأن لجنة ش</w:t>
      </w:r>
      <w:r>
        <w:rPr>
          <w:rFonts w:hint="cs"/>
          <w:rtl/>
          <w:lang w:eastAsia="en-US"/>
        </w:rPr>
        <w:t xml:space="preserve">ؤون المرأة قد لا تملك الموارد الكافية ولا تخول بالصلاحيات المناسبة بما يكفل مراعاة الفروق بين الجنسين عند وضع السياسة العامة. وفي الفقرة 33، حثت اللجنة منطقة هونغ كونغ الإدارية الخاصة على "أن تخول لجنة شؤون المرأة الصلاحيات الكافية وأن توفر لها ما يكفي من </w:t>
      </w:r>
      <w:r>
        <w:rPr>
          <w:rFonts w:hint="cs"/>
          <w:rtl/>
          <w:lang w:eastAsia="en-US"/>
        </w:rPr>
        <w:t>الموارد لتمكينها من تحسين وضع المرأة في هونغ كونغ، وأن تراعي الفروق بين الجنسين عند وضع سياساتها العامة، وأن تكفل مشاركةً أوسع نطاقاً للمرأة في جميع مجالات الحياة العامة."</w:t>
      </w:r>
    </w:p>
    <w:p w:rsidR="00000000" w:rsidRDefault="00443EC1">
      <w:pPr>
        <w:spacing w:line="380" w:lineRule="exact"/>
        <w:jc w:val="both"/>
        <w:rPr>
          <w:rFonts w:hint="cs"/>
          <w:rtl/>
          <w:lang w:eastAsia="en-US"/>
        </w:rPr>
      </w:pPr>
      <w:r>
        <w:rPr>
          <w:rFonts w:hint="cs"/>
          <w:rtl/>
          <w:lang w:eastAsia="en-US"/>
        </w:rPr>
        <w:t>377-</w:t>
      </w:r>
      <w:r>
        <w:rPr>
          <w:rFonts w:hint="cs"/>
          <w:rtl/>
          <w:lang w:eastAsia="en-US"/>
        </w:rPr>
        <w:tab/>
        <w:t>ونعتقد أن عمل اللجنة الجاري ينسجم تماماً مع الأهداف المتوخاة في توصية اللجنة ال</w:t>
      </w:r>
      <w:r>
        <w:rPr>
          <w:rFonts w:hint="cs"/>
          <w:rtl/>
          <w:lang w:eastAsia="en-US"/>
        </w:rPr>
        <w:t xml:space="preserve">واردة في الفقرة 33. والرؤية الاستراتيجية التي وضعتها اللجنة، والطاقة التي تصرفها في وضع هذه الرؤية موضع التنفيذ تبينان بجلاء أن اللجنة تملك موارد كافية ومجهزة تجهيزاً ملائماً لبلوغ تلك الأهداف. </w:t>
      </w:r>
    </w:p>
    <w:p w:rsidR="00000000" w:rsidRDefault="00443EC1">
      <w:pPr>
        <w:spacing w:line="380" w:lineRule="exact"/>
        <w:jc w:val="both"/>
        <w:rPr>
          <w:rFonts w:hint="cs"/>
          <w:b/>
          <w:bCs/>
          <w:rtl/>
          <w:lang w:eastAsia="en-US"/>
        </w:rPr>
      </w:pPr>
      <w:r>
        <w:rPr>
          <w:rFonts w:hint="cs"/>
          <w:b/>
          <w:bCs/>
          <w:rtl/>
          <w:lang w:eastAsia="en-US"/>
        </w:rPr>
        <w:t>استعراض قانون التمييز على أساس الجنس (الفصل 480) (موضوع جديد)</w:t>
      </w:r>
    </w:p>
    <w:p w:rsidR="00000000" w:rsidRDefault="00443EC1">
      <w:pPr>
        <w:spacing w:line="380" w:lineRule="exact"/>
        <w:jc w:val="both"/>
        <w:rPr>
          <w:rFonts w:hint="cs"/>
          <w:rtl/>
          <w:lang w:eastAsia="en-US"/>
        </w:rPr>
      </w:pPr>
      <w:r>
        <w:rPr>
          <w:rFonts w:hint="cs"/>
          <w:rtl/>
          <w:lang w:eastAsia="en-US"/>
        </w:rPr>
        <w:t>378-</w:t>
      </w:r>
      <w:r>
        <w:rPr>
          <w:rFonts w:hint="cs"/>
          <w:rtl/>
          <w:lang w:eastAsia="en-US"/>
        </w:rPr>
        <w:tab/>
        <w:t>أعلمنا اللجنة في كانون الثاني/يناير 2001 بأن اللجنة المعنية بتكافؤ الفرص قد استكملت استعراضها لقانون مكافحة التمييز على أساس الجنس (في عام 1999) وقدمت تقريراً إلى الحكومة</w:t>
      </w:r>
      <w:r>
        <w:rPr>
          <w:rFonts w:hint="cs"/>
          <w:vertAlign w:val="superscript"/>
          <w:rtl/>
          <w:lang w:eastAsia="en-US"/>
        </w:rPr>
        <w:t>(12)</w:t>
      </w:r>
      <w:r>
        <w:rPr>
          <w:rFonts w:hint="cs"/>
          <w:rtl/>
          <w:lang w:eastAsia="en-US"/>
        </w:rPr>
        <w:t>. واقترح هذا التقرير 14 تعديلاً:</w:t>
      </w:r>
    </w:p>
    <w:p w:rsidR="00000000" w:rsidRDefault="00443EC1">
      <w:pPr>
        <w:spacing w:line="380" w:lineRule="exact"/>
        <w:jc w:val="both"/>
        <w:rPr>
          <w:rFonts w:hint="cs"/>
          <w:rtl/>
          <w:lang w:eastAsia="en-US"/>
        </w:rPr>
      </w:pPr>
      <w:r>
        <w:rPr>
          <w:rFonts w:hint="cs"/>
          <w:rtl/>
          <w:lang w:eastAsia="en-US"/>
        </w:rPr>
        <w:tab/>
        <w:t>(أ)</w:t>
      </w:r>
      <w:r>
        <w:rPr>
          <w:rFonts w:hint="cs"/>
          <w:rtl/>
          <w:lang w:eastAsia="en-US"/>
        </w:rPr>
        <w:tab/>
        <w:t>توضيح طريقة تطبيق بعض الأحكام؛</w:t>
      </w:r>
    </w:p>
    <w:p w:rsidR="00000000" w:rsidRDefault="00443EC1">
      <w:pPr>
        <w:spacing w:line="380" w:lineRule="exact"/>
        <w:jc w:val="both"/>
        <w:rPr>
          <w:rFonts w:hint="cs"/>
          <w:rtl/>
          <w:lang w:eastAsia="en-US"/>
        </w:rPr>
      </w:pPr>
      <w:r>
        <w:rPr>
          <w:rFonts w:hint="cs"/>
          <w:rtl/>
          <w:lang w:eastAsia="en-US"/>
        </w:rPr>
        <w:tab/>
        <w:t>(ب)</w:t>
      </w:r>
      <w:r>
        <w:rPr>
          <w:rFonts w:hint="cs"/>
          <w:rtl/>
          <w:lang w:eastAsia="en-US"/>
        </w:rPr>
        <w:tab/>
        <w:t>تو</w:t>
      </w:r>
      <w:r>
        <w:rPr>
          <w:rFonts w:hint="cs"/>
          <w:rtl/>
          <w:lang w:eastAsia="en-US"/>
        </w:rPr>
        <w:t>سيع نطاق الأحكام الخاصة بالقضاء على التحرش الجنسي ليشمل حالات إضافية مثل التحرش الجنسي الذي يمارسه مستأجرون أو مستأجرون من الباطن ضد مستأجرين أو مستأجرين آخرين من الباطن، والتحرش الجنسي الذي يمارسه الزبائن ضد المزودين بالسلع والخدمات والمرافق؛</w:t>
      </w:r>
    </w:p>
    <w:p w:rsidR="00000000" w:rsidRDefault="00443EC1">
      <w:pPr>
        <w:spacing w:line="380" w:lineRule="exact"/>
        <w:jc w:val="both"/>
        <w:rPr>
          <w:rFonts w:hint="cs"/>
          <w:rtl/>
          <w:lang w:eastAsia="en-US"/>
        </w:rPr>
      </w:pPr>
      <w:r>
        <w:rPr>
          <w:rFonts w:hint="cs"/>
          <w:rtl/>
          <w:lang w:eastAsia="en-US"/>
        </w:rPr>
        <w:tab/>
        <w:t>(ج)</w:t>
      </w:r>
      <w:r>
        <w:rPr>
          <w:rFonts w:hint="cs"/>
          <w:rtl/>
          <w:lang w:eastAsia="en-US"/>
        </w:rPr>
        <w:tab/>
        <w:t>إزالة ب</w:t>
      </w:r>
      <w:r>
        <w:rPr>
          <w:rFonts w:hint="cs"/>
          <w:rtl/>
          <w:lang w:eastAsia="en-US"/>
        </w:rPr>
        <w:t>عض الاستثناءات؛</w:t>
      </w:r>
    </w:p>
    <w:p w:rsidR="00000000" w:rsidRDefault="00443EC1">
      <w:pPr>
        <w:spacing w:line="380" w:lineRule="exact"/>
        <w:jc w:val="both"/>
        <w:rPr>
          <w:rFonts w:hint="cs"/>
          <w:rtl/>
          <w:lang w:eastAsia="en-US"/>
        </w:rPr>
      </w:pPr>
      <w:r>
        <w:rPr>
          <w:rFonts w:hint="cs"/>
          <w:rtl/>
          <w:lang w:eastAsia="en-US"/>
        </w:rPr>
        <w:tab/>
        <w:t>(د)</w:t>
      </w:r>
      <w:r>
        <w:rPr>
          <w:rFonts w:hint="cs"/>
          <w:rtl/>
          <w:lang w:eastAsia="en-US"/>
        </w:rPr>
        <w:tab/>
        <w:t>تزويد اللجنة المعنية بتكافؤ الفرص بصلاحيات وبوسائل إضافية لمعالجة التمييز؛</w:t>
      </w:r>
    </w:p>
    <w:p w:rsidR="00000000" w:rsidRDefault="00443EC1">
      <w:pPr>
        <w:spacing w:line="380" w:lineRule="exact"/>
        <w:jc w:val="both"/>
        <w:rPr>
          <w:rFonts w:hint="cs"/>
          <w:rtl/>
          <w:lang w:eastAsia="en-US"/>
        </w:rPr>
      </w:pPr>
      <w:r>
        <w:rPr>
          <w:rFonts w:hint="cs"/>
          <w:rtl/>
          <w:lang w:eastAsia="en-US"/>
        </w:rPr>
        <w:tab/>
        <w:t>(ه‍)</w:t>
      </w:r>
      <w:r>
        <w:rPr>
          <w:rFonts w:hint="cs"/>
          <w:rtl/>
          <w:lang w:eastAsia="en-US"/>
        </w:rPr>
        <w:tab/>
        <w:t>تعديل بعض عناوين وأجزاء من النص الصيني.</w:t>
      </w:r>
    </w:p>
    <w:p w:rsidR="00000000" w:rsidRDefault="00443EC1">
      <w:pPr>
        <w:spacing w:line="380" w:lineRule="exact"/>
        <w:jc w:val="both"/>
        <w:rPr>
          <w:rFonts w:hint="cs"/>
          <w:rtl/>
          <w:lang w:eastAsia="en-US"/>
        </w:rPr>
      </w:pPr>
      <w:r>
        <w:rPr>
          <w:rFonts w:hint="cs"/>
          <w:rtl/>
          <w:lang w:eastAsia="en-US"/>
        </w:rPr>
        <w:tab/>
        <w:t>ولقد قبلنا باقتراحاتٍ كثيرة من اقتراحات اللجنة الرامية إلى تعديل القانون ونبحث فعلاً عن طريقةٍ تجعلنا نحرز التقدم</w:t>
      </w:r>
      <w:r>
        <w:rPr>
          <w:rFonts w:hint="cs"/>
          <w:rtl/>
          <w:lang w:eastAsia="en-US"/>
        </w:rPr>
        <w:t xml:space="preserve"> بشأنها. وسنطلع اللجنة متى لزم الأمر على آخر المستجدات عندما ننظر في هذا التقرير.</w:t>
      </w:r>
    </w:p>
    <w:p w:rsidR="00000000" w:rsidRDefault="00443EC1">
      <w:pPr>
        <w:spacing w:line="380" w:lineRule="exact"/>
        <w:jc w:val="both"/>
        <w:rPr>
          <w:rFonts w:hint="cs"/>
          <w:b/>
          <w:bCs/>
          <w:rtl/>
          <w:lang w:eastAsia="en-US"/>
        </w:rPr>
      </w:pPr>
      <w:r>
        <w:rPr>
          <w:rFonts w:hint="cs"/>
          <w:b/>
          <w:bCs/>
          <w:rtl/>
          <w:lang w:eastAsia="en-US"/>
        </w:rPr>
        <w:t>"سياسة البيت الصغير"</w:t>
      </w:r>
    </w:p>
    <w:p w:rsidR="00000000" w:rsidRDefault="00443EC1">
      <w:pPr>
        <w:spacing w:line="380" w:lineRule="exact"/>
        <w:jc w:val="both"/>
        <w:rPr>
          <w:rFonts w:hint="cs"/>
          <w:rtl/>
          <w:lang w:eastAsia="en-US"/>
        </w:rPr>
      </w:pPr>
      <w:r>
        <w:rPr>
          <w:rFonts w:hint="cs"/>
          <w:rtl/>
          <w:lang w:eastAsia="en-US"/>
        </w:rPr>
        <w:t>379-</w:t>
      </w:r>
      <w:r>
        <w:rPr>
          <w:rFonts w:hint="cs"/>
          <w:rtl/>
          <w:lang w:eastAsia="en-US"/>
        </w:rPr>
        <w:tab/>
        <w:t>لا يزال الوضع على النحو الذي يبينه ردنا في كانون الثاني/يناير 2001 على السؤال رقم 6 الوارد في قائمة المسائل التي أرسلتها لنا اللجنة قبل نظرها في الت</w:t>
      </w:r>
      <w:r>
        <w:rPr>
          <w:rFonts w:hint="cs"/>
          <w:rtl/>
          <w:lang w:eastAsia="en-US"/>
        </w:rPr>
        <w:t>قرير. وهذا يعني أن الاستعراض الذي أشار إليه التقرير الأولي مازال قيد الإعداد.</w:t>
      </w:r>
    </w:p>
    <w:p w:rsidR="00000000" w:rsidRDefault="00443EC1">
      <w:pPr>
        <w:spacing w:line="380" w:lineRule="exact"/>
        <w:jc w:val="center"/>
        <w:rPr>
          <w:rFonts w:hint="cs"/>
          <w:b/>
          <w:bCs/>
          <w:rtl/>
          <w:lang w:eastAsia="en-US"/>
        </w:rPr>
      </w:pPr>
      <w:r>
        <w:rPr>
          <w:rFonts w:hint="cs"/>
          <w:b/>
          <w:bCs/>
          <w:rtl/>
          <w:lang w:eastAsia="en-US"/>
        </w:rPr>
        <w:t>دال - المادة 4</w:t>
      </w:r>
    </w:p>
    <w:p w:rsidR="00000000" w:rsidRDefault="00443EC1">
      <w:pPr>
        <w:spacing w:line="380" w:lineRule="exact"/>
        <w:jc w:val="center"/>
        <w:rPr>
          <w:rFonts w:hint="cs"/>
          <w:b/>
          <w:bCs/>
          <w:rtl/>
          <w:lang w:eastAsia="en-US"/>
        </w:rPr>
      </w:pPr>
      <w:r>
        <w:rPr>
          <w:rFonts w:hint="cs"/>
          <w:b/>
          <w:bCs/>
          <w:rtl/>
          <w:lang w:eastAsia="en-US"/>
        </w:rPr>
        <w:t>إخضاع الحقوق التي يتضمنها العهد للقيود المقررة في القانون</w:t>
      </w:r>
    </w:p>
    <w:p w:rsidR="00000000" w:rsidRDefault="00443EC1">
      <w:pPr>
        <w:spacing w:line="380" w:lineRule="exact"/>
        <w:jc w:val="both"/>
        <w:rPr>
          <w:rFonts w:hint="cs"/>
          <w:rtl/>
          <w:lang w:eastAsia="en-US"/>
        </w:rPr>
      </w:pPr>
      <w:r>
        <w:rPr>
          <w:rFonts w:hint="cs"/>
          <w:rtl/>
          <w:lang w:eastAsia="en-US"/>
        </w:rPr>
        <w:t>380-</w:t>
      </w:r>
      <w:r>
        <w:rPr>
          <w:rFonts w:hint="cs"/>
          <w:rtl/>
          <w:lang w:eastAsia="en-US"/>
        </w:rPr>
        <w:tab/>
        <w:t>لا يزال الوضع على النحو الذي ورد في الفقرة 39 من التقرير الأولي. وهو أن حكومة منطقة هونغ كونغ الإدار</w:t>
      </w:r>
      <w:r>
        <w:rPr>
          <w:rFonts w:hint="cs"/>
          <w:rtl/>
          <w:lang w:eastAsia="en-US"/>
        </w:rPr>
        <w:t>ية الخاصة لا تخضع الحقوق التي ينص عليها العهد لأي قيود غير تلك التي يمليها القانون. وهذه القيود، أينما وجدت، تتماشى مع طبيعة تلك الحقوق والغرض منها حصراً هو الارتقاء بمستوى الرفاه الاجتماعي العام في مجتمعٍ تسوده الحرية.</w:t>
      </w:r>
    </w:p>
    <w:p w:rsidR="00000000" w:rsidRDefault="00443EC1">
      <w:pPr>
        <w:spacing w:line="380" w:lineRule="exact"/>
        <w:jc w:val="center"/>
        <w:rPr>
          <w:rFonts w:hint="cs"/>
          <w:b/>
          <w:bCs/>
          <w:rtl/>
          <w:lang w:eastAsia="en-US"/>
        </w:rPr>
      </w:pPr>
      <w:r>
        <w:rPr>
          <w:rFonts w:hint="cs"/>
          <w:b/>
          <w:bCs/>
          <w:rtl/>
          <w:lang w:eastAsia="en-US"/>
        </w:rPr>
        <w:t>هاء- المادة 5</w:t>
      </w:r>
    </w:p>
    <w:p w:rsidR="00000000" w:rsidRDefault="00443EC1">
      <w:pPr>
        <w:spacing w:line="380" w:lineRule="exact"/>
        <w:jc w:val="center"/>
        <w:rPr>
          <w:rFonts w:hint="cs"/>
          <w:b/>
          <w:bCs/>
          <w:rtl/>
          <w:lang w:eastAsia="en-US"/>
        </w:rPr>
      </w:pPr>
      <w:r>
        <w:rPr>
          <w:rFonts w:hint="cs"/>
          <w:b/>
          <w:bCs/>
          <w:rtl/>
          <w:lang w:eastAsia="en-US"/>
        </w:rPr>
        <w:t>حظر إهدار أي من الحقوق</w:t>
      </w:r>
      <w:r>
        <w:rPr>
          <w:rFonts w:hint="cs"/>
          <w:b/>
          <w:bCs/>
          <w:rtl/>
          <w:lang w:eastAsia="en-US"/>
        </w:rPr>
        <w:t xml:space="preserve"> والحريات المعترف بها في العهد</w:t>
      </w:r>
    </w:p>
    <w:p w:rsidR="00000000" w:rsidRDefault="00443EC1">
      <w:pPr>
        <w:spacing w:line="380" w:lineRule="exact"/>
        <w:jc w:val="both"/>
        <w:rPr>
          <w:rFonts w:hint="cs"/>
          <w:rtl/>
          <w:lang w:eastAsia="en-US"/>
        </w:rPr>
      </w:pPr>
      <w:r>
        <w:rPr>
          <w:rFonts w:hint="cs"/>
          <w:rtl/>
          <w:lang w:eastAsia="en-US"/>
        </w:rPr>
        <w:t>381-</w:t>
      </w:r>
      <w:r>
        <w:rPr>
          <w:rFonts w:hint="cs"/>
          <w:rtl/>
          <w:lang w:eastAsia="en-US"/>
        </w:rPr>
        <w:tab/>
        <w:t>لا يزال الوضع على النحو الذي نصت عليه الفقرة 40 من التقرير الأولي. وهو أن حكومة هونغ كونغ الإدارية الخاصة لا تفرض أي قيد أو أي تقييد على أي من حقوق الإنسان الأساسية بذريعة أن العهد لا يعترف بها أو يعترف بها جزئياً فقط.</w:t>
      </w:r>
    </w:p>
    <w:p w:rsidR="00000000" w:rsidRDefault="00443EC1">
      <w:pPr>
        <w:spacing w:line="380" w:lineRule="exact"/>
        <w:jc w:val="center"/>
        <w:rPr>
          <w:rFonts w:hint="cs"/>
          <w:b/>
          <w:bCs/>
          <w:rtl/>
          <w:lang w:eastAsia="en-US"/>
        </w:rPr>
      </w:pPr>
      <w:r>
        <w:rPr>
          <w:rFonts w:hint="cs"/>
          <w:b/>
          <w:bCs/>
          <w:rtl/>
          <w:lang w:eastAsia="en-US"/>
        </w:rPr>
        <w:t>و</w:t>
      </w:r>
      <w:r>
        <w:rPr>
          <w:rFonts w:hint="cs"/>
          <w:b/>
          <w:bCs/>
          <w:rtl/>
          <w:lang w:eastAsia="en-US"/>
        </w:rPr>
        <w:t>او - المادة 6</w:t>
      </w:r>
    </w:p>
    <w:p w:rsidR="00000000" w:rsidRDefault="00443EC1">
      <w:pPr>
        <w:spacing w:line="380" w:lineRule="exact"/>
        <w:jc w:val="center"/>
        <w:rPr>
          <w:rFonts w:hint="cs"/>
          <w:b/>
          <w:bCs/>
          <w:lang w:eastAsia="en-US"/>
        </w:rPr>
      </w:pPr>
      <w:r>
        <w:rPr>
          <w:rFonts w:hint="cs"/>
          <w:b/>
          <w:bCs/>
          <w:rtl/>
          <w:lang w:eastAsia="en-US"/>
        </w:rPr>
        <w:t>الحق في اختيار المهنة والحق في العمل</w:t>
      </w:r>
    </w:p>
    <w:p w:rsidR="00000000" w:rsidRDefault="00443EC1">
      <w:pPr>
        <w:spacing w:line="380" w:lineRule="exact"/>
        <w:jc w:val="both"/>
        <w:rPr>
          <w:rFonts w:hint="cs"/>
          <w:rtl/>
        </w:rPr>
      </w:pPr>
      <w:r>
        <w:rPr>
          <w:rFonts w:hint="cs"/>
          <w:rtl/>
        </w:rPr>
        <w:t>382-</w:t>
      </w:r>
      <w:r>
        <w:rPr>
          <w:rFonts w:hint="cs"/>
          <w:rtl/>
        </w:rPr>
        <w:tab/>
        <w:t xml:space="preserve">لا تزال أنواع الحماية والقوانين والسياسات الدستورية ذات الصلة كما هي مبينة في الفقرتين 41 و42 من التقرير الأولي. </w:t>
      </w:r>
    </w:p>
    <w:p w:rsidR="00000000" w:rsidRDefault="00443EC1">
      <w:pPr>
        <w:spacing w:line="380" w:lineRule="exact"/>
        <w:jc w:val="both"/>
        <w:rPr>
          <w:rFonts w:hint="cs"/>
          <w:i/>
          <w:iCs/>
          <w:rtl/>
        </w:rPr>
      </w:pPr>
      <w:r>
        <w:rPr>
          <w:rFonts w:hint="cs"/>
          <w:i/>
          <w:iCs/>
          <w:rtl/>
        </w:rPr>
        <w:t>اتفاقيات العمل الدولية</w:t>
      </w:r>
    </w:p>
    <w:p w:rsidR="00000000" w:rsidRDefault="00443EC1">
      <w:pPr>
        <w:spacing w:line="380" w:lineRule="exact"/>
        <w:jc w:val="both"/>
        <w:rPr>
          <w:rFonts w:hint="cs"/>
          <w:rtl/>
        </w:rPr>
      </w:pPr>
      <w:r>
        <w:rPr>
          <w:rFonts w:hint="cs"/>
          <w:rtl/>
        </w:rPr>
        <w:t>383-</w:t>
      </w:r>
      <w:r>
        <w:rPr>
          <w:rFonts w:hint="cs"/>
          <w:rtl/>
        </w:rPr>
        <w:tab/>
        <w:t>قدمت إلى منظمة العمل الدولية معلومات تتعلق بالمادة 6 في ال</w:t>
      </w:r>
      <w:r>
        <w:rPr>
          <w:rFonts w:hint="cs"/>
          <w:rtl/>
        </w:rPr>
        <w:t>تقارير التالية:</w:t>
      </w:r>
    </w:p>
    <w:p w:rsidR="00000000" w:rsidRDefault="00443EC1">
      <w:pPr>
        <w:spacing w:line="380" w:lineRule="exact"/>
        <w:jc w:val="both"/>
        <w:rPr>
          <w:rFonts w:hint="cs"/>
          <w:rtl/>
        </w:rPr>
      </w:pPr>
      <w:r>
        <w:rPr>
          <w:rFonts w:hint="cs"/>
          <w:rtl/>
        </w:rPr>
        <w:tab/>
        <w:t>(أ)</w:t>
      </w:r>
      <w:r>
        <w:rPr>
          <w:rFonts w:hint="cs"/>
          <w:rtl/>
        </w:rPr>
        <w:tab/>
        <w:t>التقرير المقدم عملاً بالمادة 22</w:t>
      </w:r>
      <w:r>
        <w:rPr>
          <w:rFonts w:hint="cs"/>
          <w:vertAlign w:val="superscript"/>
          <w:rtl/>
        </w:rPr>
        <w:t>(13)</w:t>
      </w:r>
      <w:r>
        <w:rPr>
          <w:rFonts w:hint="cs"/>
          <w:rtl/>
        </w:rPr>
        <w:t xml:space="preserve"> عن اتفاقية تنمية الموارد البشرية (الاتفاقية رقم 142) عن الفترة من 1 حزيران/يونيه 1998 إلى 31 أيار/مايو 2001؛</w:t>
      </w:r>
    </w:p>
    <w:p w:rsidR="00000000" w:rsidRDefault="00443EC1">
      <w:pPr>
        <w:spacing w:line="380" w:lineRule="exact"/>
        <w:jc w:val="both"/>
        <w:rPr>
          <w:rFonts w:hint="cs"/>
          <w:rtl/>
        </w:rPr>
      </w:pPr>
      <w:r>
        <w:rPr>
          <w:rFonts w:hint="cs"/>
          <w:rtl/>
        </w:rPr>
        <w:tab/>
        <w:t>(ب)</w:t>
      </w:r>
      <w:r>
        <w:rPr>
          <w:rFonts w:hint="cs"/>
          <w:rtl/>
        </w:rPr>
        <w:tab/>
        <w:t>التقرير المقدم عملاً بالمادة 22 عن اتفاقية البطالة (رقم 2) عن الفترة من 1 حزيران/يوني</w:t>
      </w:r>
      <w:r>
        <w:rPr>
          <w:rFonts w:hint="cs"/>
          <w:rtl/>
        </w:rPr>
        <w:t>ه 1998 إلى 31 أيار/مايو 2001؛</w:t>
      </w:r>
    </w:p>
    <w:p w:rsidR="00000000" w:rsidRDefault="00443EC1">
      <w:pPr>
        <w:spacing w:line="380" w:lineRule="exact"/>
        <w:jc w:val="both"/>
        <w:rPr>
          <w:rFonts w:hint="cs"/>
          <w:rtl/>
        </w:rPr>
      </w:pPr>
      <w:r>
        <w:rPr>
          <w:rFonts w:hint="cs"/>
          <w:rtl/>
        </w:rPr>
        <w:tab/>
        <w:t>(ج)</w:t>
      </w:r>
      <w:r>
        <w:rPr>
          <w:rFonts w:hint="cs"/>
          <w:rtl/>
        </w:rPr>
        <w:tab/>
        <w:t>التقريران المقدمان عملاً بالمادة 22 عن الاتفاقية المتعلقة بالعمل الجبري أو الإلزامي (الاتفاقية رقم 29) عن الفترتين من 1 حزيران/يونيه 1998 إلى 31 أيار/مايو 2000 ومن 1 حزيران/يونيه 2000 إلى 31 أيار/مايو 2002؛</w:t>
      </w:r>
    </w:p>
    <w:p w:rsidR="00000000" w:rsidRDefault="00443EC1">
      <w:pPr>
        <w:spacing w:line="380" w:lineRule="exact"/>
        <w:jc w:val="both"/>
        <w:rPr>
          <w:rFonts w:hint="cs"/>
          <w:rtl/>
        </w:rPr>
      </w:pPr>
      <w:r>
        <w:rPr>
          <w:rFonts w:hint="cs"/>
          <w:rtl/>
        </w:rPr>
        <w:tab/>
        <w:t>(د)</w:t>
      </w:r>
      <w:r>
        <w:rPr>
          <w:rFonts w:hint="cs"/>
          <w:rtl/>
        </w:rPr>
        <w:tab/>
        <w:t>التقريران</w:t>
      </w:r>
      <w:r>
        <w:rPr>
          <w:rFonts w:hint="cs"/>
          <w:rtl/>
        </w:rPr>
        <w:t xml:space="preserve"> المقدمان عملاً بالمادة 22 عن الاتفاقية بشأن سياسة العمالة (الاتفاقية رقم 122) عن الفترتين من 1 حزيران/يونيه 1998 إلى 31 أيار/مايو 2000 ومن 1 حزيران/يونيه 2000 إلى 31 أيار/مايو 2002؛</w:t>
      </w:r>
    </w:p>
    <w:p w:rsidR="00000000" w:rsidRDefault="00443EC1">
      <w:pPr>
        <w:spacing w:line="380" w:lineRule="exact"/>
        <w:jc w:val="both"/>
        <w:rPr>
          <w:rFonts w:hint="cs"/>
          <w:rtl/>
        </w:rPr>
      </w:pPr>
      <w:r>
        <w:rPr>
          <w:rFonts w:hint="cs"/>
          <w:rtl/>
        </w:rPr>
        <w:tab/>
        <w:t>(ه‍)</w:t>
      </w:r>
      <w:r>
        <w:rPr>
          <w:rFonts w:hint="cs"/>
          <w:rtl/>
        </w:rPr>
        <w:tab/>
        <w:t>التقريران المقدمان عملاً بالمادة 22 عن اتفاقية إلغاء العمل الجبري (</w:t>
      </w:r>
      <w:r>
        <w:rPr>
          <w:rFonts w:hint="cs"/>
          <w:rtl/>
        </w:rPr>
        <w:t>الاتفاقية رقم 105) عن الفترتين من 1 كانون الثاني/يناير 1997 إلى 31 أيار/مايو 1999 ومن 1 حزيران/يونيه 1999 إلى 31 أيار/مايو 2001.</w:t>
      </w:r>
    </w:p>
    <w:p w:rsidR="00000000" w:rsidRDefault="00443EC1">
      <w:pPr>
        <w:spacing w:line="380" w:lineRule="exact"/>
        <w:jc w:val="both"/>
        <w:rPr>
          <w:rFonts w:hint="cs"/>
          <w:rtl/>
        </w:rPr>
      </w:pPr>
      <w:r>
        <w:rPr>
          <w:rFonts w:hint="cs"/>
          <w:i/>
          <w:iCs/>
          <w:rtl/>
        </w:rPr>
        <w:t>إحصاءات العمل</w:t>
      </w:r>
    </w:p>
    <w:p w:rsidR="00000000" w:rsidRDefault="00443EC1">
      <w:pPr>
        <w:spacing w:line="380" w:lineRule="exact"/>
        <w:jc w:val="both"/>
        <w:rPr>
          <w:rFonts w:hint="cs"/>
          <w:rtl/>
        </w:rPr>
      </w:pPr>
      <w:r>
        <w:rPr>
          <w:rFonts w:hint="cs"/>
          <w:rtl/>
        </w:rPr>
        <w:t>384-</w:t>
      </w:r>
      <w:r>
        <w:rPr>
          <w:rFonts w:hint="cs"/>
          <w:rtl/>
        </w:rPr>
        <w:tab/>
        <w:t>يقدم المرفق 6- ألف إحصاءات عن العمل والبطالة ونقص العمالة في الأعوام 1987 و1992 و1997 و2002.</w:t>
      </w:r>
    </w:p>
    <w:p w:rsidR="00000000" w:rsidRDefault="00443EC1">
      <w:pPr>
        <w:spacing w:line="380" w:lineRule="exact"/>
        <w:jc w:val="both"/>
        <w:rPr>
          <w:rFonts w:hint="cs"/>
          <w:rtl/>
        </w:rPr>
      </w:pPr>
      <w:r>
        <w:rPr>
          <w:rFonts w:hint="cs"/>
          <w:i/>
          <w:iCs/>
          <w:rtl/>
        </w:rPr>
        <w:t>خدمات العمل</w:t>
      </w:r>
    </w:p>
    <w:p w:rsidR="00000000" w:rsidRDefault="00443EC1">
      <w:pPr>
        <w:spacing w:line="380" w:lineRule="exact"/>
        <w:jc w:val="both"/>
        <w:rPr>
          <w:rFonts w:hint="cs"/>
          <w:rtl/>
        </w:rPr>
      </w:pPr>
      <w:r>
        <w:rPr>
          <w:rFonts w:hint="cs"/>
          <w:rtl/>
        </w:rPr>
        <w:t>385</w:t>
      </w:r>
      <w:r>
        <w:rPr>
          <w:rFonts w:hint="cs"/>
          <w:rtl/>
        </w:rPr>
        <w:t>-</w:t>
      </w:r>
      <w:r>
        <w:rPr>
          <w:rFonts w:hint="cs"/>
          <w:rtl/>
        </w:rPr>
        <w:tab/>
        <w:t>تقدم إدارة شؤون العمل خدمات عملٍ مجانية ومتنوعة تلبيةً لاحتياجات مختلف فئات الشعب. وتقدم هذه الخدمات في الوقت الحالي عن طريق مركز هاتفي لخدمات العمل وشبكة مراكز تشغيل في 11 دائرة، ومنها مركزان لتوظيف وإرشاد الوافدين الجدد</w:t>
      </w:r>
      <w:r>
        <w:rPr>
          <w:rFonts w:hint="cs"/>
          <w:vertAlign w:val="superscript"/>
          <w:rtl/>
        </w:rPr>
        <w:t>(14)</w:t>
      </w:r>
      <w:r>
        <w:rPr>
          <w:rFonts w:hint="cs"/>
          <w:rtl/>
        </w:rPr>
        <w:t xml:space="preserve">. وتبقى ثلاث من هذه الخدمات، </w:t>
      </w:r>
      <w:r>
        <w:rPr>
          <w:rFonts w:hint="cs"/>
          <w:rtl/>
        </w:rPr>
        <w:t>وهي خدمة الإحالة الوظيفية (التي كانت تدعى في السابق "خدمة التوظيف الذاتي شبه الكلية") وبرنامج ملاءمة الوظائف مع المتقدمين وخدمة التوظيف الخارجي كما هي واردة في الفقرتين الفرعيتين (أ) و(ج) من الفقرة 50 من التقرير الأولي. وفيما يلي خدمات أخرى من هذه المجموعة</w:t>
      </w:r>
      <w:r>
        <w:rPr>
          <w:rFonts w:hint="cs"/>
          <w:rtl/>
        </w:rPr>
        <w:t>:</w:t>
      </w:r>
    </w:p>
    <w:p w:rsidR="00000000" w:rsidRDefault="00443EC1">
      <w:pPr>
        <w:spacing w:line="380" w:lineRule="exact"/>
        <w:jc w:val="both"/>
        <w:rPr>
          <w:rFonts w:hint="cs"/>
          <w:rtl/>
        </w:rPr>
      </w:pPr>
      <w:r>
        <w:rPr>
          <w:rFonts w:hint="cs"/>
          <w:rtl/>
        </w:rPr>
        <w:tab/>
        <w:t>(أ)</w:t>
      </w:r>
      <w:r>
        <w:rPr>
          <w:rFonts w:hint="cs"/>
          <w:rtl/>
        </w:rPr>
        <w:tab/>
      </w:r>
      <w:r>
        <w:rPr>
          <w:rFonts w:hint="cs"/>
          <w:b/>
          <w:bCs/>
          <w:rtl/>
        </w:rPr>
        <w:t>خدمة التوظيف عبر الهاتف</w:t>
      </w:r>
      <w:r>
        <w:rPr>
          <w:rFonts w:hint="cs"/>
          <w:rtl/>
        </w:rPr>
        <w:t>: تمكن هذه الخدمة الباحثين عن عمل من الحصول على إحالات وظيفية بالهاتف دون اضطرارهم لزيارة مركز التوظيف؛</w:t>
      </w:r>
    </w:p>
    <w:p w:rsidR="00000000" w:rsidRDefault="00443EC1">
      <w:pPr>
        <w:spacing w:line="380" w:lineRule="exact"/>
        <w:jc w:val="both"/>
        <w:rPr>
          <w:rFonts w:hint="cs"/>
          <w:rtl/>
        </w:rPr>
      </w:pPr>
      <w:r>
        <w:rPr>
          <w:rFonts w:hint="cs"/>
          <w:rtl/>
        </w:rPr>
        <w:tab/>
        <w:t>(ب)</w:t>
      </w:r>
      <w:r>
        <w:rPr>
          <w:rFonts w:hint="cs"/>
          <w:rtl/>
        </w:rPr>
        <w:tab/>
      </w:r>
      <w:r>
        <w:rPr>
          <w:rFonts w:hint="cs"/>
          <w:b/>
          <w:bCs/>
          <w:rtl/>
        </w:rPr>
        <w:t>خدمة التوظيف التفاعلية</w:t>
      </w:r>
      <w:r>
        <w:rPr>
          <w:rFonts w:hint="cs"/>
          <w:rtl/>
        </w:rPr>
        <w:t xml:space="preserve">: هي خدمة تقدم عبر الإنترنت لمدة 24 ساعة وتمكن الباحثين عن عمل من الوصول إلى مصرف بيانات إدارة </w:t>
      </w:r>
      <w:r>
        <w:rPr>
          <w:rFonts w:hint="cs"/>
          <w:rtl/>
        </w:rPr>
        <w:t>شؤون العمل المتعلقة بالشواغر وتسمح لأصحاب العمل بانتقاء المرشحين المناسبين. ويستطيع الباحثون عن عمل، بعد أن يسجلوا أسماءهم كأعضاء في هذه الخدمة، الحصول بانتظام على معلومات بشأن شواغر وظيفية تنطبق على مؤهلاتهم . كما توفر لهم هذه الخدمة إمكانية الوصول إلى مو</w:t>
      </w:r>
      <w:r>
        <w:rPr>
          <w:rFonts w:hint="cs"/>
          <w:rtl/>
        </w:rPr>
        <w:t xml:space="preserve">اقع شبكية أخرى عن التوظيف المحلي. </w:t>
      </w:r>
    </w:p>
    <w:p w:rsidR="00000000" w:rsidRDefault="00443EC1">
      <w:pPr>
        <w:spacing w:line="380" w:lineRule="exact"/>
        <w:jc w:val="both"/>
        <w:rPr>
          <w:rFonts w:hint="cs"/>
          <w:rtl/>
        </w:rPr>
      </w:pPr>
      <w:r>
        <w:rPr>
          <w:rFonts w:hint="cs"/>
          <w:rtl/>
        </w:rPr>
        <w:t>وتفحص الدائرة جميع مواصفات الوظائف الشاغرة  لضمان خلوها من أي شروط تمييزية.</w:t>
      </w:r>
    </w:p>
    <w:p w:rsidR="00000000" w:rsidRDefault="00443EC1">
      <w:pPr>
        <w:spacing w:line="380" w:lineRule="exact"/>
        <w:jc w:val="both"/>
        <w:rPr>
          <w:rFonts w:hint="cs"/>
          <w:rtl/>
        </w:rPr>
      </w:pPr>
      <w:r>
        <w:rPr>
          <w:rFonts w:hint="cs"/>
          <w:rtl/>
        </w:rPr>
        <w:t>386-</w:t>
      </w:r>
      <w:r>
        <w:rPr>
          <w:rFonts w:hint="cs"/>
          <w:rtl/>
        </w:rPr>
        <w:tab/>
        <w:t>وتشمل المبادرات الأخرى ما يلي:</w:t>
      </w:r>
    </w:p>
    <w:p w:rsidR="00000000" w:rsidRDefault="00443EC1">
      <w:pPr>
        <w:spacing w:line="380" w:lineRule="exact"/>
        <w:jc w:val="both"/>
        <w:rPr>
          <w:rFonts w:hint="cs"/>
          <w:rtl/>
        </w:rPr>
      </w:pPr>
      <w:r>
        <w:rPr>
          <w:rFonts w:hint="cs"/>
          <w:rtl/>
        </w:rPr>
        <w:tab/>
        <w:t>(أ)</w:t>
      </w:r>
      <w:r>
        <w:rPr>
          <w:rFonts w:hint="cs"/>
          <w:rtl/>
        </w:rPr>
        <w:tab/>
        <w:t>برنامج لتقديم معلومات عن العمل والتشجيع عليه؛</w:t>
      </w:r>
    </w:p>
    <w:p w:rsidR="00000000" w:rsidRDefault="00443EC1">
      <w:pPr>
        <w:spacing w:line="380" w:lineRule="exact"/>
        <w:jc w:val="both"/>
        <w:rPr>
          <w:rFonts w:hint="cs"/>
          <w:rtl/>
        </w:rPr>
      </w:pPr>
      <w:r>
        <w:rPr>
          <w:rFonts w:hint="cs"/>
          <w:rtl/>
        </w:rPr>
        <w:tab/>
        <w:t>(ب)</w:t>
      </w:r>
      <w:r>
        <w:rPr>
          <w:rFonts w:hint="cs"/>
          <w:rtl/>
        </w:rPr>
        <w:tab/>
        <w:t>تقديم المشورة للمجموعات وإقامة حلقات عمل لاستكمال الم</w:t>
      </w:r>
      <w:r>
        <w:rPr>
          <w:rFonts w:hint="cs"/>
          <w:rtl/>
        </w:rPr>
        <w:t>شورة الفردية التي تقدم حالياً في إطار برنامج ملاءمة الوظائف مع المتقدمين؛</w:t>
      </w:r>
    </w:p>
    <w:p w:rsidR="00000000" w:rsidRDefault="00443EC1">
      <w:pPr>
        <w:spacing w:line="380" w:lineRule="exact"/>
        <w:jc w:val="both"/>
        <w:rPr>
          <w:rFonts w:hint="cs"/>
          <w:rtl/>
        </w:rPr>
      </w:pPr>
      <w:r>
        <w:rPr>
          <w:rFonts w:hint="cs"/>
          <w:rtl/>
        </w:rPr>
        <w:tab/>
        <w:t>(ج)</w:t>
      </w:r>
      <w:r>
        <w:rPr>
          <w:rFonts w:hint="cs"/>
          <w:rtl/>
        </w:rPr>
        <w:tab/>
        <w:t>تيسير نشر المعلومات عن العمل والشواغر الوظيفية؛</w:t>
      </w:r>
    </w:p>
    <w:p w:rsidR="00000000" w:rsidRDefault="00443EC1">
      <w:pPr>
        <w:spacing w:line="380" w:lineRule="exact"/>
        <w:jc w:val="both"/>
        <w:rPr>
          <w:rFonts w:hint="cs"/>
          <w:rtl/>
        </w:rPr>
      </w:pPr>
      <w:r>
        <w:rPr>
          <w:rFonts w:hint="cs"/>
          <w:rtl/>
        </w:rPr>
        <w:tab/>
        <w:t>(د)</w:t>
      </w:r>
      <w:r>
        <w:rPr>
          <w:rFonts w:hint="cs"/>
          <w:rtl/>
        </w:rPr>
        <w:tab/>
        <w:t>التشجيع على العمل في وظائف خاصة، مثل الشواغر الوظيفية لمساعدين منزليين محليين.</w:t>
      </w:r>
    </w:p>
    <w:p w:rsidR="00000000" w:rsidRDefault="00443EC1">
      <w:pPr>
        <w:spacing w:line="380" w:lineRule="exact"/>
        <w:jc w:val="both"/>
        <w:rPr>
          <w:rFonts w:hint="cs"/>
          <w:rtl/>
        </w:rPr>
      </w:pPr>
      <w:r>
        <w:rPr>
          <w:rFonts w:hint="cs"/>
          <w:i/>
          <w:iCs/>
          <w:rtl/>
        </w:rPr>
        <w:t>حماية العاملين من الطرد غير المبرر</w:t>
      </w:r>
    </w:p>
    <w:p w:rsidR="00000000" w:rsidRDefault="00443EC1">
      <w:pPr>
        <w:spacing w:line="380" w:lineRule="exact"/>
        <w:jc w:val="both"/>
        <w:rPr>
          <w:rFonts w:hint="cs"/>
          <w:rtl/>
        </w:rPr>
      </w:pPr>
      <w:r>
        <w:rPr>
          <w:rFonts w:hint="cs"/>
          <w:rtl/>
        </w:rPr>
        <w:t>387-</w:t>
      </w:r>
      <w:r>
        <w:rPr>
          <w:rFonts w:hint="cs"/>
          <w:rtl/>
        </w:rPr>
        <w:tab/>
        <w:t xml:space="preserve">عُدل </w:t>
      </w:r>
      <w:r>
        <w:rPr>
          <w:rFonts w:hint="cs"/>
          <w:rtl/>
        </w:rPr>
        <w:t>قانون العمل (الفصل 57) في عام 2000 لتوضيح أن مشاركة العامل في أي إضراب ليس بحجة مشروعة لإنهاء عقد العمل بموجب الفرع 9 من القانون. ويبقى وضع التدابير الأخرى كما هي واردة في الفقرات من 53 إلى 55 من التقرير الأولي.</w:t>
      </w:r>
    </w:p>
    <w:p w:rsidR="00000000" w:rsidRDefault="00443EC1">
      <w:pPr>
        <w:spacing w:line="380" w:lineRule="exact"/>
        <w:jc w:val="both"/>
        <w:rPr>
          <w:rFonts w:hint="cs"/>
          <w:rtl/>
        </w:rPr>
      </w:pPr>
      <w:r>
        <w:rPr>
          <w:rFonts w:hint="cs"/>
          <w:i/>
          <w:iCs/>
          <w:rtl/>
        </w:rPr>
        <w:t>إعادة تدريب العاملين</w:t>
      </w:r>
    </w:p>
    <w:p w:rsidR="00000000" w:rsidRDefault="00443EC1">
      <w:pPr>
        <w:spacing w:line="380" w:lineRule="exact"/>
        <w:jc w:val="both"/>
        <w:rPr>
          <w:rFonts w:hint="cs"/>
          <w:rtl/>
        </w:rPr>
      </w:pPr>
      <w:r>
        <w:rPr>
          <w:rFonts w:hint="cs"/>
          <w:rtl/>
        </w:rPr>
        <w:t>388-</w:t>
      </w:r>
      <w:r>
        <w:rPr>
          <w:rFonts w:hint="cs"/>
          <w:rtl/>
        </w:rPr>
        <w:tab/>
        <w:t>أوضحنا في الفقرة 5</w:t>
      </w:r>
      <w:r>
        <w:rPr>
          <w:rFonts w:hint="cs"/>
          <w:rtl/>
        </w:rPr>
        <w:t>8 من التقرير الأولي كيف أعاد مكتب إعادة تدريب العاملين تدريب العمال الذين فقدوا وظائفهم وساعدهم على اكتساب مهارات جديدة والبحث عن عملٍ جديد. وفي الفترة الواقعة بين أواخر عام 1992 ( عندما أنشئ حديثاً) ونهاية عام 2002، أعاد المجلس تدريب متخرجين يبلغ عددهم 00</w:t>
      </w:r>
      <w:r>
        <w:rPr>
          <w:rFonts w:hint="cs"/>
          <w:rtl/>
        </w:rPr>
        <w:t>0 623 متخرج تقريباً. وبلغ متوسط توزيعهم على الوظائف نسبةً تقارب 79 في المائة.</w:t>
      </w:r>
    </w:p>
    <w:p w:rsidR="00000000" w:rsidRDefault="00443EC1">
      <w:pPr>
        <w:spacing w:line="380" w:lineRule="exact"/>
        <w:jc w:val="both"/>
        <w:rPr>
          <w:rFonts w:hint="cs"/>
          <w:i/>
          <w:iCs/>
          <w:rtl/>
        </w:rPr>
      </w:pPr>
      <w:r>
        <w:rPr>
          <w:rFonts w:hint="cs"/>
          <w:i/>
          <w:iCs/>
          <w:rtl/>
        </w:rPr>
        <w:t>القادمون الجدد من الصين الوطن الأم</w:t>
      </w:r>
    </w:p>
    <w:p w:rsidR="00000000" w:rsidRDefault="00443EC1">
      <w:pPr>
        <w:spacing w:line="380" w:lineRule="exact"/>
        <w:jc w:val="both"/>
        <w:rPr>
          <w:rFonts w:hint="cs"/>
          <w:rtl/>
        </w:rPr>
      </w:pPr>
      <w:r>
        <w:rPr>
          <w:rFonts w:hint="cs"/>
          <w:rtl/>
        </w:rPr>
        <w:t>389-</w:t>
      </w:r>
      <w:r>
        <w:rPr>
          <w:rFonts w:hint="cs"/>
          <w:rtl/>
        </w:rPr>
        <w:tab/>
        <w:t>لا يزال الوضع بصفة أساسية كما بينته الفقرة 56 من التقرير الأولي. وقد أنشأت إدارة شؤون العمل في عام 1999 مركزاً آخر للتوظيف والإرشاد للوافد</w:t>
      </w:r>
      <w:r>
        <w:rPr>
          <w:rFonts w:hint="cs"/>
          <w:rtl/>
        </w:rPr>
        <w:t>ين الجدد. وتتاح أيضاً لمواطني الوطن الأم السابقين إمكانية الوصول إلى مراكز تشغيل تابعة لتسع دوائر. وفي عام 2002، سجل نحو 117 11 شخصاً من هؤلاء الأشخاص أسماءهم لدى إدارة شؤون العمل لمساعدتهم في مجال التوظيف، وقد حصل 936 1 منهم على وظائف. وسجلت "دورة تدريبية</w:t>
      </w:r>
      <w:r>
        <w:rPr>
          <w:rFonts w:hint="cs"/>
          <w:rtl/>
        </w:rPr>
        <w:t xml:space="preserve"> للوافدين الجدد على مهارات البحث عن عمل" نظمها برنامج مجلس إعادة تدريب الموظفين (الذي ترد مهامه في الفقرة 59 من التقرير الأولي) معدل توظيف بلغت نسبته 79 في المائة. وفي 30 تشرين الثاني/نوفمبر 2002، أكمل ما يقرب 120 33 قادماً جديداً إعادة تدريبهم.</w:t>
      </w:r>
    </w:p>
    <w:p w:rsidR="00000000" w:rsidRDefault="00443EC1">
      <w:pPr>
        <w:spacing w:line="380" w:lineRule="exact"/>
        <w:jc w:val="both"/>
        <w:rPr>
          <w:rFonts w:hint="cs"/>
          <w:i/>
          <w:iCs/>
          <w:rtl/>
        </w:rPr>
      </w:pPr>
      <w:r>
        <w:rPr>
          <w:rFonts w:hint="cs"/>
          <w:i/>
          <w:iCs/>
          <w:rtl/>
        </w:rPr>
        <w:t>أفراد الأق</w:t>
      </w:r>
      <w:r>
        <w:rPr>
          <w:rFonts w:hint="cs"/>
          <w:i/>
          <w:iCs/>
          <w:rtl/>
        </w:rPr>
        <w:t>ليات الإثنية (بمن فيهم الوافدون الجدد من غير الصينيين)</w:t>
      </w:r>
    </w:p>
    <w:p w:rsidR="00000000" w:rsidRDefault="00443EC1">
      <w:pPr>
        <w:spacing w:line="380" w:lineRule="exact"/>
        <w:jc w:val="both"/>
        <w:rPr>
          <w:rFonts w:hint="cs"/>
          <w:rtl/>
        </w:rPr>
      </w:pPr>
      <w:r>
        <w:rPr>
          <w:rFonts w:hint="cs"/>
          <w:rtl/>
        </w:rPr>
        <w:t>390-</w:t>
      </w:r>
      <w:r>
        <w:rPr>
          <w:rFonts w:hint="cs"/>
          <w:rtl/>
        </w:rPr>
        <w:tab/>
        <w:t>يبحث أفراد كثيرون من أفراد الأقليات الإثنية في هونغ كونغ عن عمل في تجارة المنتجات الحرفية، وبشكل أكثر شيوعاً، في صناعة البناء. وكان البعض قد اكتسب مهارات خارجية، بيد أنها في أغلب الأحيان لم تنل ال</w:t>
      </w:r>
      <w:r>
        <w:rPr>
          <w:rFonts w:hint="cs"/>
          <w:rtl/>
        </w:rPr>
        <w:t>اعتراف في هونغ كونغ ولم يكن اكتسابها ناجماً عن تدريب منظم. في حين لم يكن الآخرون يتمتعون بأي مؤهلات على الإطلاق. إلا أنهم جميعاً كانوا في حاجة إلى اكتساب مؤهلات يعترف بها أصحاب العمل المحليون. والعقبة التي تحول دون تنفيذ هذه العملية هي أن التدريب في مجال ا</w:t>
      </w:r>
      <w:r>
        <w:rPr>
          <w:rFonts w:hint="cs"/>
          <w:rtl/>
        </w:rPr>
        <w:t xml:space="preserve">لتجارة والحرف كان بأكمله باللغة الصينية، وهي لغة تنطق بها نسبة 95 في المائة من السكان ونسبة 100 في المائة من أولئك الذين تعلموها بصورةٍ تقليدية. وعلى الرغم من أن بعض المتدربين من الأقليات يتحدثون القليل من الكانتونية، لم يكن أي منهم قادراً على قراءة اللغة </w:t>
      </w:r>
      <w:r>
        <w:rPr>
          <w:rFonts w:hint="cs"/>
          <w:rtl/>
        </w:rPr>
        <w:t>المكتوبة. وقد أعاق ذلك من قدرتهم على تلقي التدريب اللازم.</w:t>
      </w:r>
    </w:p>
    <w:p w:rsidR="00000000" w:rsidRDefault="00443EC1">
      <w:pPr>
        <w:spacing w:line="380" w:lineRule="exact"/>
        <w:jc w:val="both"/>
        <w:rPr>
          <w:rFonts w:hint="cs"/>
          <w:rtl/>
        </w:rPr>
      </w:pPr>
      <w:r>
        <w:rPr>
          <w:rFonts w:hint="cs"/>
          <w:rtl/>
        </w:rPr>
        <w:t>391-</w:t>
      </w:r>
      <w:r>
        <w:rPr>
          <w:rFonts w:hint="cs"/>
          <w:rtl/>
        </w:rPr>
        <w:tab/>
        <w:t>وقد وُجه انتباهنا لهذه المخاوف أثناء اجتماعاتنا الدورية مع الجالية النيبالية</w:t>
      </w:r>
      <w:r>
        <w:rPr>
          <w:rFonts w:hint="cs"/>
          <w:vertAlign w:val="superscript"/>
          <w:rtl/>
        </w:rPr>
        <w:t>(15)</w:t>
      </w:r>
      <w:r>
        <w:rPr>
          <w:rFonts w:hint="cs"/>
          <w:rtl/>
        </w:rPr>
        <w:t xml:space="preserve"> ومن خلال عمل اللجنة التوجيهية المعنية بخدمات الوافدين الجدد. وبناءً على ذلك، نظم مجلس التدريب المهني، الذي يعد أ</w:t>
      </w:r>
      <w:r>
        <w:rPr>
          <w:rFonts w:hint="cs"/>
          <w:rtl/>
        </w:rPr>
        <w:t>كبر موفر للتدريب الحرفي والتقني في هونغ كونغ، بعض دورات التدريب المهني في أيلول/سبتمبر 2002 خصيصاً للجالية النيبالية. وقد نظمت هذه الدورات باللغة الإنكليزية. وسيواصل مجلس التدريب المهني تنظيم مثل هذه الدورات حسب الطلب. غير أن من الضروري معرفة أن هذه الترتي</w:t>
      </w:r>
      <w:r>
        <w:rPr>
          <w:rFonts w:hint="cs"/>
          <w:rtl/>
        </w:rPr>
        <w:t>بات تتطلب موارد كثيفة وأن تنظيم مجموعة واسعة من الدورات دون أن يتوفر مستوى معين من الطلب لن يكون عملياً (تنظم عادةً دورة تدريبية واحدة لكل 20 متدرباً).</w:t>
      </w:r>
    </w:p>
    <w:p w:rsidR="00000000" w:rsidRDefault="00443EC1">
      <w:pPr>
        <w:spacing w:line="380" w:lineRule="exact"/>
        <w:jc w:val="both"/>
        <w:rPr>
          <w:rFonts w:hint="cs"/>
          <w:i/>
          <w:iCs/>
          <w:rtl/>
        </w:rPr>
      </w:pPr>
      <w:r>
        <w:rPr>
          <w:rFonts w:hint="cs"/>
          <w:i/>
          <w:iCs/>
          <w:rtl/>
        </w:rPr>
        <w:t>بطالة الشباب</w:t>
      </w:r>
    </w:p>
    <w:p w:rsidR="00000000" w:rsidRDefault="00443EC1">
      <w:pPr>
        <w:spacing w:line="380" w:lineRule="exact"/>
        <w:jc w:val="both"/>
        <w:rPr>
          <w:rFonts w:hint="cs"/>
          <w:rtl/>
        </w:rPr>
      </w:pPr>
      <w:r>
        <w:rPr>
          <w:rFonts w:hint="cs"/>
          <w:rtl/>
        </w:rPr>
        <w:t>392-</w:t>
      </w:r>
      <w:r>
        <w:rPr>
          <w:rFonts w:hint="cs"/>
          <w:rtl/>
        </w:rPr>
        <w:tab/>
        <w:t>كما في اقتصادات كثيرة أخرى، يرى الشباب، ولاسيما أولئك الذين يغادرون المدرسة دون حصولهم</w:t>
      </w:r>
      <w:r>
        <w:rPr>
          <w:rFonts w:hint="cs"/>
          <w:rtl/>
        </w:rPr>
        <w:t xml:space="preserve"> </w:t>
      </w:r>
      <w:r>
        <w:rPr>
          <w:rFonts w:hint="cs"/>
          <w:spacing w:val="0"/>
          <w:rtl/>
        </w:rPr>
        <w:t>على مؤهلات، أن من العسير تأمين عمل في الوضع الاقتصادي المتردي حالياً. لذا أطلقنا، في أيلول/سبتمبر 1999</w:t>
      </w:r>
      <w:r>
        <w:rPr>
          <w:rFonts w:hint="cs"/>
          <w:rtl/>
        </w:rPr>
        <w:t>، مبادرة جديدة لمعالجة هذه المشكلة تتمثل في برنامج تدريب الشباب في الفترة السابقة للعمل. ويقدم هذا البرنامج التدريب المتصل بالعمل للذين غادروا المدرسة بي</w:t>
      </w:r>
      <w:r>
        <w:rPr>
          <w:rFonts w:hint="cs"/>
          <w:rtl/>
        </w:rPr>
        <w:t>ن سن الخامسة عشر والتاسعة عشر. ويشتمل على فترة زمنية قصوى تقارب 300 ساعة تدريب في المجالات التالية:</w:t>
      </w:r>
    </w:p>
    <w:p w:rsidR="00000000" w:rsidRDefault="00443EC1">
      <w:pPr>
        <w:spacing w:line="380" w:lineRule="exact"/>
        <w:jc w:val="both"/>
        <w:rPr>
          <w:rFonts w:hint="cs"/>
          <w:rtl/>
        </w:rPr>
      </w:pPr>
      <w:r>
        <w:rPr>
          <w:rFonts w:hint="cs"/>
          <w:rtl/>
        </w:rPr>
        <w:tab/>
        <w:t>(أ)</w:t>
      </w:r>
      <w:r>
        <w:rPr>
          <w:rFonts w:hint="cs"/>
          <w:rtl/>
        </w:rPr>
        <w:tab/>
        <w:t>"التدريب على القيادة والانضباط والعمل في إطار فريق"؛</w:t>
      </w:r>
    </w:p>
    <w:p w:rsidR="00000000" w:rsidRDefault="00443EC1">
      <w:pPr>
        <w:spacing w:line="380" w:lineRule="exact"/>
        <w:jc w:val="both"/>
        <w:rPr>
          <w:rFonts w:hint="cs"/>
          <w:rtl/>
        </w:rPr>
      </w:pPr>
      <w:r>
        <w:rPr>
          <w:rFonts w:hint="cs"/>
          <w:rtl/>
        </w:rPr>
        <w:tab/>
        <w:t>(ب)</w:t>
      </w:r>
      <w:r>
        <w:rPr>
          <w:rFonts w:hint="cs"/>
          <w:rtl/>
        </w:rPr>
        <w:tab/>
        <w:t>"التدريب على البحث عن عمل وعلى مهارات التعامل مع الناس"؛</w:t>
      </w:r>
    </w:p>
    <w:p w:rsidR="00000000" w:rsidRDefault="00443EC1">
      <w:pPr>
        <w:spacing w:line="380" w:lineRule="exact"/>
        <w:jc w:val="both"/>
        <w:rPr>
          <w:rFonts w:hint="cs"/>
          <w:rtl/>
        </w:rPr>
      </w:pPr>
      <w:r>
        <w:rPr>
          <w:rFonts w:hint="cs"/>
          <w:rtl/>
        </w:rPr>
        <w:tab/>
        <w:t>(ج)</w:t>
      </w:r>
      <w:r>
        <w:rPr>
          <w:rFonts w:hint="cs"/>
          <w:rtl/>
        </w:rPr>
        <w:tab/>
        <w:t>"التدريب على استخدام الحاسوب"؛</w:t>
      </w:r>
    </w:p>
    <w:p w:rsidR="00000000" w:rsidRDefault="00443EC1">
      <w:pPr>
        <w:spacing w:line="380" w:lineRule="exact"/>
        <w:jc w:val="both"/>
        <w:rPr>
          <w:rFonts w:hint="cs"/>
          <w:rtl/>
        </w:rPr>
      </w:pPr>
      <w:r>
        <w:rPr>
          <w:rFonts w:hint="cs"/>
          <w:rtl/>
        </w:rPr>
        <w:tab/>
        <w:t>(د)</w:t>
      </w:r>
      <w:r>
        <w:rPr>
          <w:rFonts w:hint="cs"/>
          <w:rtl/>
        </w:rPr>
        <w:tab/>
        <w:t>"التدريب على المهارات اللازمة لوظائف محددة".</w:t>
      </w:r>
    </w:p>
    <w:p w:rsidR="00000000" w:rsidRDefault="00443EC1">
      <w:pPr>
        <w:spacing w:line="380" w:lineRule="exact"/>
        <w:jc w:val="both"/>
        <w:rPr>
          <w:rFonts w:hint="cs"/>
          <w:rtl/>
        </w:rPr>
      </w:pPr>
      <w:r>
        <w:rPr>
          <w:rFonts w:hint="cs"/>
          <w:rtl/>
        </w:rPr>
        <w:t>ومنذ الشروع في تنفيذ البرنامج في عام 1999، أنجز أكثر من 000 35 شاب تدريباً في إطار هذا البرنامج.</w:t>
      </w:r>
    </w:p>
    <w:p w:rsidR="00000000" w:rsidRDefault="00443EC1">
      <w:pPr>
        <w:spacing w:line="380" w:lineRule="exact"/>
        <w:jc w:val="both"/>
        <w:rPr>
          <w:rFonts w:hint="cs"/>
          <w:rtl/>
        </w:rPr>
      </w:pPr>
      <w:r>
        <w:rPr>
          <w:rFonts w:hint="cs"/>
          <w:rtl/>
        </w:rPr>
        <w:t>393-</w:t>
      </w:r>
      <w:r>
        <w:rPr>
          <w:rFonts w:hint="cs"/>
          <w:rtl/>
        </w:rPr>
        <w:tab/>
        <w:t>وفي تموز/يوليه 2002، اعتمدنا نظاماً يوفر الخبرة العملية والتدريب المتصل بالعمل للشباب الذين تتراوح أعمار</w:t>
      </w:r>
      <w:r>
        <w:rPr>
          <w:rFonts w:hint="cs"/>
          <w:rtl/>
        </w:rPr>
        <w:t>هم بين 15 و24 عاماً، والذين تلقوا تعليماً يقل عن مستوى الدرجة العلمية. وتوفر المنظمات غير الحكومية للمتدربين دورة توجيهية مدتها 40 ساعة عن مهارات الاتصال والتعامل مع الناس. كما أنهم يتلقون من المصلحين الاجتماعيين المسجلين 50 ساعة من المشورة وخدمات إدارة ال</w:t>
      </w:r>
      <w:r>
        <w:rPr>
          <w:rFonts w:hint="cs"/>
          <w:rtl/>
        </w:rPr>
        <w:t>قضايا ويوفر لهم أصحاب العمل تدريباً على العمل لمدة تتراوح بين 6 أشهر و12 شهراً</w:t>
      </w:r>
      <w:r>
        <w:rPr>
          <w:rFonts w:hint="cs"/>
          <w:vertAlign w:val="superscript"/>
          <w:rtl/>
        </w:rPr>
        <w:t>(16)</w:t>
      </w:r>
      <w:r>
        <w:rPr>
          <w:rFonts w:hint="cs"/>
          <w:rtl/>
        </w:rPr>
        <w:t>. وقد نجح بحلول نهاية عام 2002 أكثر من 000 6 متدرب في تأمين وظيفة.</w:t>
      </w:r>
    </w:p>
    <w:p w:rsidR="00000000" w:rsidRDefault="00443EC1">
      <w:pPr>
        <w:spacing w:line="380" w:lineRule="exact"/>
        <w:jc w:val="both"/>
        <w:rPr>
          <w:rFonts w:hint="cs"/>
          <w:rtl/>
        </w:rPr>
      </w:pPr>
    </w:p>
    <w:p w:rsidR="00000000" w:rsidRDefault="00443EC1">
      <w:pPr>
        <w:spacing w:line="380" w:lineRule="exact"/>
        <w:jc w:val="both"/>
        <w:rPr>
          <w:rFonts w:hint="cs"/>
          <w:rtl/>
        </w:rPr>
      </w:pPr>
      <w:r>
        <w:rPr>
          <w:rFonts w:hint="cs"/>
          <w:i/>
          <w:iCs/>
          <w:rtl/>
        </w:rPr>
        <w:t>شباب الأقليات الإثنية</w:t>
      </w:r>
    </w:p>
    <w:p w:rsidR="00000000" w:rsidRDefault="00443EC1">
      <w:pPr>
        <w:spacing w:line="380" w:lineRule="exact"/>
        <w:jc w:val="both"/>
        <w:rPr>
          <w:rFonts w:hint="cs"/>
          <w:rtl/>
        </w:rPr>
      </w:pPr>
      <w:r>
        <w:rPr>
          <w:rFonts w:hint="cs"/>
          <w:rtl/>
        </w:rPr>
        <w:t>394-</w:t>
      </w:r>
      <w:r>
        <w:rPr>
          <w:rFonts w:hint="cs"/>
          <w:rtl/>
        </w:rPr>
        <w:tab/>
        <w:t>بما أن المجموعة التي يستهدفها برنامج تدريب الشباب في الفترة السابقة للعمل تتكون</w:t>
      </w:r>
      <w:r>
        <w:rPr>
          <w:rFonts w:hint="cs"/>
          <w:rtl/>
        </w:rPr>
        <w:t xml:space="preserve"> من الناطقين باللغة الكانتونية، فقد قدم البرنامج باللغة الكانتونية. لكن إدارة شؤون العمل، إدراكاً منها أن تنظيم تدريب من هذا القبيل من شأنه أيضاً أن يعود بالنفع على مغادري المدرسة من الطلاب الذين يتحدثون لغات غير الصينية، فقد كلفت منظمة غير حكومية تدعى مرك</w:t>
      </w:r>
      <w:r>
        <w:rPr>
          <w:rFonts w:hint="cs"/>
          <w:rtl/>
        </w:rPr>
        <w:t>ز نصب يانغ التذكاري للخدمات الاجتماعية الميثودية، لكي توفر لهم مجموعة دورات تدريبة على أساس تجريبي في إطار "برنامج عام 2001/2002 لتدريب الشباب في الفترة السابقة للعمل". وتتألف الدورة التدريبية من أربعة أجزاء على نمط المجموعة المعدة للناطقين باللغة الصينية.</w:t>
      </w:r>
      <w:r>
        <w:rPr>
          <w:rFonts w:hint="cs"/>
          <w:rtl/>
        </w:rPr>
        <w:t xml:space="preserve"> وقد تم توفير عشرين مكاناً، إلا أنه لم يتقدم لهذا التدريب سوى تسعة أشخاص. وأبلى معظمهم بلاءً حسناً، وسجل سبعة منهم معدل حضورٍ بلغ 80 في المائة أو أكثر. واعتبر جميع المتدربين أن هذه الدورة التدريبية قد زادت من ثقتهم بنفسهم وحسنت من إمكانية توظيفهم بصورةٍ عا</w:t>
      </w:r>
      <w:r>
        <w:rPr>
          <w:rFonts w:hint="cs"/>
          <w:rtl/>
        </w:rPr>
        <w:t xml:space="preserve">مة. </w:t>
      </w:r>
    </w:p>
    <w:p w:rsidR="00000000" w:rsidRDefault="00443EC1">
      <w:pPr>
        <w:spacing w:line="380" w:lineRule="exact"/>
        <w:jc w:val="both"/>
        <w:rPr>
          <w:rFonts w:hint="cs"/>
          <w:rtl/>
        </w:rPr>
      </w:pPr>
      <w:r>
        <w:rPr>
          <w:rFonts w:hint="cs"/>
          <w:rtl/>
        </w:rPr>
        <w:t>395-</w:t>
      </w:r>
      <w:r>
        <w:rPr>
          <w:rFonts w:hint="cs"/>
          <w:rtl/>
        </w:rPr>
        <w:tab/>
        <w:t xml:space="preserve">وبناءً على الخبرة المكتسبة من المشروع التجريبي، فإن إدارة شؤون العمل، التي تعتقد أن فرص التدريب هي شاغل هام من شواغل الأقليات، تعتزم تنظيم مجموعة دورات تدريبية مماثلة في إطار برنامج عام </w:t>
      </w:r>
      <w:r>
        <w:rPr>
          <w:rtl/>
        </w:rPr>
        <w:br/>
      </w:r>
      <w:r>
        <w:rPr>
          <w:rFonts w:hint="cs"/>
          <w:rtl/>
        </w:rPr>
        <w:t>2002/2003 لتدريب الشباب في الفترة السابقة للعمل. ويتوقف عدد</w:t>
      </w:r>
      <w:r>
        <w:rPr>
          <w:rFonts w:hint="cs"/>
          <w:rtl/>
        </w:rPr>
        <w:t xml:space="preserve"> الدورات التدريبية التي تنظم حالياً على توافر الأموال ومستوى الطلب وتوفر القدرات التدريسية.</w:t>
      </w:r>
    </w:p>
    <w:p w:rsidR="00000000" w:rsidRDefault="00443EC1">
      <w:pPr>
        <w:spacing w:line="380" w:lineRule="exact"/>
        <w:jc w:val="both"/>
        <w:rPr>
          <w:rFonts w:hint="cs"/>
          <w:rtl/>
        </w:rPr>
      </w:pPr>
      <w:r>
        <w:rPr>
          <w:rFonts w:hint="cs"/>
          <w:i/>
          <w:iCs/>
          <w:rtl/>
        </w:rPr>
        <w:t>التقدم نحو الأمام</w:t>
      </w:r>
    </w:p>
    <w:p w:rsidR="00000000" w:rsidRDefault="00443EC1">
      <w:pPr>
        <w:spacing w:line="380" w:lineRule="exact"/>
        <w:jc w:val="both"/>
        <w:rPr>
          <w:rFonts w:hint="cs"/>
          <w:rtl/>
        </w:rPr>
      </w:pPr>
      <w:r>
        <w:rPr>
          <w:rFonts w:hint="cs"/>
          <w:rtl/>
        </w:rPr>
        <w:t>396-</w:t>
      </w:r>
      <w:r>
        <w:rPr>
          <w:rFonts w:hint="cs"/>
          <w:rtl/>
        </w:rPr>
        <w:tab/>
        <w:t>لقد أسسنا لجنة لتنمية القوة البشرية لإسداء المشورة بشأن توفير التعليم والتدريب المهني والتنسيق والتنظيم في هذا المجال بغية تلبية الاحتياجات ا</w:t>
      </w:r>
      <w:r>
        <w:rPr>
          <w:rFonts w:hint="cs"/>
          <w:rtl/>
        </w:rPr>
        <w:t>لمتغيرة للمجتمع. ومن المقرر أيضاً أن تعيد اللجنة النظر في نطاق النظام القائم لإعادة تدريب العاملين وترتيبات تمويله وأسلوب عمله.</w:t>
      </w:r>
    </w:p>
    <w:p w:rsidR="00000000" w:rsidRDefault="00443EC1">
      <w:pPr>
        <w:spacing w:line="380" w:lineRule="exact"/>
        <w:jc w:val="both"/>
        <w:rPr>
          <w:rFonts w:hint="cs"/>
          <w:rtl/>
        </w:rPr>
      </w:pPr>
      <w:r>
        <w:rPr>
          <w:rFonts w:hint="cs"/>
          <w:i/>
          <w:iCs/>
          <w:rtl/>
        </w:rPr>
        <w:t>الإجراءات المتخذة بحق العاملين غير القانونيين</w:t>
      </w:r>
    </w:p>
    <w:p w:rsidR="00000000" w:rsidRDefault="00443EC1">
      <w:pPr>
        <w:spacing w:line="380" w:lineRule="exact"/>
        <w:jc w:val="both"/>
        <w:rPr>
          <w:rtl/>
        </w:rPr>
      </w:pPr>
      <w:r>
        <w:rPr>
          <w:rFonts w:hint="cs"/>
          <w:rtl/>
        </w:rPr>
        <w:t>397-</w:t>
      </w:r>
      <w:r>
        <w:rPr>
          <w:rFonts w:hint="cs"/>
          <w:rtl/>
        </w:rPr>
        <w:tab/>
        <w:t>عمدت حكومة منطقة هونغ كونغ الإدارية الخاصة، حمايةً منها لفرص عمل العمال المحل</w:t>
      </w:r>
      <w:r>
        <w:rPr>
          <w:rFonts w:hint="cs"/>
          <w:rtl/>
        </w:rPr>
        <w:t>يين، إلى زيادة الإجراءات التي تتخذ لمكافحة العمل غير المشروع من خلال إنفاذ القوانين إنفاذاً صارماً، بما في ذلك تفتيش أماكن العمل تفتيشاً يشمل جميع مناطق الإقليم وتنفيذ عمليات تستهدف التجارة وتطبيق برامج تثقيفية عامة وشاملة. كما نظمت إدارة شؤون العمل مع إدا</w:t>
      </w:r>
      <w:r>
        <w:rPr>
          <w:rFonts w:hint="cs"/>
          <w:rtl/>
        </w:rPr>
        <w:t>رة شؤون الهجرة والشرطة عمليات مشتركة عديدة. وقد أفضت هذه التدابير إلى زيادة عدد العمال المعتقلين غير القانونيين. وتبين الإحصاءات ما يلي: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5"/>
        <w:gridCol w:w="1595"/>
        <w:gridCol w:w="1595"/>
        <w:gridCol w:w="1595"/>
        <w:gridCol w:w="1595"/>
        <w:gridCol w:w="1595"/>
      </w:tblGrid>
      <w:tr w:rsidR="00443EC1" w:rsidTr="00443EC1">
        <w:tblPrEx>
          <w:tblCellMar>
            <w:top w:w="0" w:type="dxa"/>
            <w:bottom w:w="0" w:type="dxa"/>
          </w:tblCellMar>
        </w:tblPrEx>
        <w:trPr>
          <w:jc w:val="center"/>
        </w:trPr>
        <w:tc>
          <w:tcPr>
            <w:tcW w:w="1595" w:type="dxa"/>
            <w:tcBorders>
              <w:bottom w:val="single" w:sz="4" w:space="0" w:color="auto"/>
            </w:tcBorders>
          </w:tcPr>
          <w:p w:rsidR="00443EC1" w:rsidRDefault="00443EC1">
            <w:pPr>
              <w:spacing w:before="0" w:after="0" w:line="280" w:lineRule="exact"/>
              <w:jc w:val="both"/>
              <w:rPr>
                <w:rFonts w:hint="cs"/>
                <w:sz w:val="26"/>
                <w:szCs w:val="26"/>
              </w:rPr>
            </w:pPr>
          </w:p>
        </w:tc>
        <w:tc>
          <w:tcPr>
            <w:tcW w:w="1595" w:type="dxa"/>
            <w:tcBorders>
              <w:bottom w:val="single" w:sz="4" w:space="0" w:color="auto"/>
            </w:tcBorders>
          </w:tcPr>
          <w:p w:rsidR="00443EC1" w:rsidRDefault="00443EC1">
            <w:pPr>
              <w:spacing w:before="0" w:after="0" w:line="280" w:lineRule="exact"/>
              <w:jc w:val="center"/>
              <w:rPr>
                <w:rFonts w:hint="cs"/>
                <w:sz w:val="26"/>
                <w:szCs w:val="26"/>
              </w:rPr>
            </w:pPr>
            <w:r>
              <w:rPr>
                <w:rFonts w:hint="cs"/>
                <w:sz w:val="26"/>
                <w:szCs w:val="26"/>
                <w:rtl/>
              </w:rPr>
              <w:t>1998</w:t>
            </w:r>
          </w:p>
        </w:tc>
        <w:tc>
          <w:tcPr>
            <w:tcW w:w="1595" w:type="dxa"/>
            <w:tcBorders>
              <w:bottom w:val="single" w:sz="4" w:space="0" w:color="auto"/>
            </w:tcBorders>
          </w:tcPr>
          <w:p w:rsidR="00443EC1" w:rsidRDefault="00443EC1">
            <w:pPr>
              <w:spacing w:before="0" w:after="0" w:line="280" w:lineRule="exact"/>
              <w:jc w:val="center"/>
              <w:rPr>
                <w:rFonts w:hint="cs"/>
                <w:sz w:val="26"/>
                <w:szCs w:val="26"/>
              </w:rPr>
            </w:pPr>
            <w:r>
              <w:rPr>
                <w:rFonts w:hint="cs"/>
                <w:sz w:val="26"/>
                <w:szCs w:val="26"/>
                <w:rtl/>
              </w:rPr>
              <w:t>1999</w:t>
            </w:r>
          </w:p>
        </w:tc>
        <w:tc>
          <w:tcPr>
            <w:tcW w:w="1595" w:type="dxa"/>
            <w:tcBorders>
              <w:bottom w:val="single" w:sz="4" w:space="0" w:color="auto"/>
            </w:tcBorders>
          </w:tcPr>
          <w:p w:rsidR="00443EC1" w:rsidRDefault="00443EC1">
            <w:pPr>
              <w:spacing w:before="0" w:after="0" w:line="280" w:lineRule="exact"/>
              <w:jc w:val="center"/>
              <w:rPr>
                <w:rFonts w:hint="cs"/>
                <w:sz w:val="26"/>
                <w:szCs w:val="26"/>
              </w:rPr>
            </w:pPr>
            <w:r>
              <w:rPr>
                <w:rFonts w:hint="cs"/>
                <w:sz w:val="26"/>
                <w:szCs w:val="26"/>
                <w:rtl/>
              </w:rPr>
              <w:t>2000</w:t>
            </w:r>
          </w:p>
        </w:tc>
        <w:tc>
          <w:tcPr>
            <w:tcW w:w="1595" w:type="dxa"/>
            <w:tcBorders>
              <w:bottom w:val="single" w:sz="4" w:space="0" w:color="auto"/>
            </w:tcBorders>
          </w:tcPr>
          <w:p w:rsidR="00443EC1" w:rsidRDefault="00443EC1">
            <w:pPr>
              <w:spacing w:before="0" w:after="0" w:line="280" w:lineRule="exact"/>
              <w:jc w:val="center"/>
              <w:rPr>
                <w:rFonts w:hint="cs"/>
                <w:sz w:val="26"/>
                <w:szCs w:val="26"/>
              </w:rPr>
            </w:pPr>
            <w:r>
              <w:rPr>
                <w:rFonts w:hint="cs"/>
                <w:sz w:val="26"/>
                <w:szCs w:val="26"/>
                <w:rtl/>
              </w:rPr>
              <w:t>2001</w:t>
            </w:r>
          </w:p>
        </w:tc>
        <w:tc>
          <w:tcPr>
            <w:tcW w:w="1595" w:type="dxa"/>
            <w:tcBorders>
              <w:bottom w:val="single" w:sz="4" w:space="0" w:color="auto"/>
            </w:tcBorders>
          </w:tcPr>
          <w:p w:rsidR="00443EC1" w:rsidRDefault="00443EC1">
            <w:pPr>
              <w:spacing w:before="0" w:after="0" w:line="280" w:lineRule="exact"/>
              <w:jc w:val="center"/>
              <w:rPr>
                <w:rFonts w:hint="cs"/>
                <w:sz w:val="26"/>
                <w:szCs w:val="26"/>
              </w:rPr>
            </w:pPr>
            <w:r>
              <w:rPr>
                <w:rFonts w:hint="cs"/>
                <w:sz w:val="26"/>
                <w:szCs w:val="26"/>
                <w:rtl/>
              </w:rPr>
              <w:t>2002</w:t>
            </w:r>
          </w:p>
        </w:tc>
      </w:tr>
      <w:tr w:rsidR="00443EC1" w:rsidTr="00443EC1">
        <w:tblPrEx>
          <w:tblCellMar>
            <w:top w:w="0" w:type="dxa"/>
            <w:bottom w:w="0" w:type="dxa"/>
          </w:tblCellMar>
        </w:tblPrEx>
        <w:trPr>
          <w:trHeight w:val="239"/>
          <w:jc w:val="center"/>
        </w:trPr>
        <w:tc>
          <w:tcPr>
            <w:tcW w:w="1595" w:type="dxa"/>
            <w:tcBorders>
              <w:bottom w:val="nil"/>
              <w:right w:val="single" w:sz="4" w:space="0" w:color="auto"/>
            </w:tcBorders>
          </w:tcPr>
          <w:p w:rsidR="00443EC1" w:rsidRDefault="00443EC1">
            <w:pPr>
              <w:spacing w:before="0" w:after="0" w:line="280" w:lineRule="exact"/>
              <w:jc w:val="both"/>
              <w:rPr>
                <w:rFonts w:hint="cs"/>
                <w:sz w:val="26"/>
                <w:szCs w:val="26"/>
              </w:rPr>
            </w:pPr>
            <w:r>
              <w:rPr>
                <w:rFonts w:hint="cs"/>
                <w:sz w:val="26"/>
                <w:szCs w:val="26"/>
                <w:rtl/>
              </w:rPr>
              <w:t>العمليات</w:t>
            </w:r>
          </w:p>
        </w:tc>
        <w:tc>
          <w:tcPr>
            <w:tcW w:w="1595" w:type="dxa"/>
            <w:tcBorders>
              <w:left w:val="single" w:sz="4" w:space="0" w:color="auto"/>
              <w:bottom w:val="nil"/>
              <w:right w:val="single" w:sz="4" w:space="0" w:color="auto"/>
            </w:tcBorders>
          </w:tcPr>
          <w:p w:rsidR="00443EC1" w:rsidRDefault="00443EC1">
            <w:pPr>
              <w:spacing w:before="0" w:after="0" w:line="280" w:lineRule="exact"/>
              <w:jc w:val="center"/>
              <w:rPr>
                <w:rFonts w:hint="cs"/>
                <w:sz w:val="26"/>
                <w:szCs w:val="26"/>
                <w:rtl/>
              </w:rPr>
            </w:pPr>
            <w:r>
              <w:rPr>
                <w:rFonts w:hint="cs"/>
                <w:sz w:val="26"/>
                <w:szCs w:val="26"/>
                <w:rtl/>
              </w:rPr>
              <w:t>178 2</w:t>
            </w:r>
          </w:p>
        </w:tc>
        <w:tc>
          <w:tcPr>
            <w:tcW w:w="1595" w:type="dxa"/>
            <w:tcBorders>
              <w:left w:val="single" w:sz="4" w:space="0" w:color="auto"/>
              <w:bottom w:val="nil"/>
              <w:right w:val="single" w:sz="4" w:space="0" w:color="auto"/>
            </w:tcBorders>
          </w:tcPr>
          <w:p w:rsidR="00443EC1" w:rsidRDefault="00443EC1">
            <w:pPr>
              <w:spacing w:before="0" w:after="0" w:line="280" w:lineRule="exact"/>
              <w:jc w:val="center"/>
              <w:rPr>
                <w:rFonts w:hint="cs"/>
                <w:sz w:val="26"/>
                <w:szCs w:val="26"/>
                <w:rtl/>
              </w:rPr>
            </w:pPr>
            <w:r>
              <w:rPr>
                <w:rFonts w:hint="cs"/>
                <w:sz w:val="26"/>
                <w:szCs w:val="26"/>
                <w:rtl/>
              </w:rPr>
              <w:t>377 1</w:t>
            </w:r>
          </w:p>
        </w:tc>
        <w:tc>
          <w:tcPr>
            <w:tcW w:w="1595" w:type="dxa"/>
            <w:tcBorders>
              <w:left w:val="single" w:sz="4" w:space="0" w:color="auto"/>
              <w:bottom w:val="nil"/>
              <w:right w:val="single" w:sz="4" w:space="0" w:color="auto"/>
            </w:tcBorders>
          </w:tcPr>
          <w:p w:rsidR="00443EC1" w:rsidRDefault="00443EC1">
            <w:pPr>
              <w:spacing w:before="0" w:after="0" w:line="280" w:lineRule="exact"/>
              <w:jc w:val="center"/>
              <w:rPr>
                <w:rFonts w:hint="cs"/>
                <w:sz w:val="26"/>
                <w:szCs w:val="26"/>
                <w:rtl/>
              </w:rPr>
            </w:pPr>
            <w:r>
              <w:rPr>
                <w:rFonts w:hint="cs"/>
                <w:sz w:val="26"/>
                <w:szCs w:val="26"/>
                <w:rtl/>
              </w:rPr>
              <w:t>080 2</w:t>
            </w:r>
          </w:p>
        </w:tc>
        <w:tc>
          <w:tcPr>
            <w:tcW w:w="1595" w:type="dxa"/>
            <w:tcBorders>
              <w:left w:val="single" w:sz="4" w:space="0" w:color="auto"/>
              <w:bottom w:val="nil"/>
              <w:right w:val="single" w:sz="4" w:space="0" w:color="auto"/>
            </w:tcBorders>
          </w:tcPr>
          <w:p w:rsidR="00443EC1" w:rsidRDefault="00443EC1">
            <w:pPr>
              <w:spacing w:before="0" w:after="0" w:line="280" w:lineRule="exact"/>
              <w:jc w:val="center"/>
              <w:rPr>
                <w:rFonts w:hint="cs"/>
                <w:sz w:val="26"/>
                <w:szCs w:val="26"/>
                <w:rtl/>
              </w:rPr>
            </w:pPr>
            <w:r>
              <w:rPr>
                <w:rFonts w:hint="cs"/>
                <w:sz w:val="26"/>
                <w:szCs w:val="26"/>
                <w:rtl/>
              </w:rPr>
              <w:t>896 2</w:t>
            </w:r>
          </w:p>
        </w:tc>
        <w:tc>
          <w:tcPr>
            <w:tcW w:w="1595" w:type="dxa"/>
            <w:tcBorders>
              <w:left w:val="single" w:sz="4" w:space="0" w:color="auto"/>
              <w:bottom w:val="nil"/>
            </w:tcBorders>
          </w:tcPr>
          <w:p w:rsidR="00443EC1" w:rsidRDefault="00443EC1">
            <w:pPr>
              <w:spacing w:before="0" w:after="0" w:line="280" w:lineRule="exact"/>
              <w:jc w:val="center"/>
              <w:rPr>
                <w:rFonts w:hint="cs"/>
                <w:sz w:val="26"/>
                <w:szCs w:val="26"/>
                <w:rtl/>
              </w:rPr>
            </w:pPr>
            <w:r>
              <w:rPr>
                <w:rFonts w:hint="cs"/>
                <w:sz w:val="26"/>
                <w:szCs w:val="26"/>
                <w:rtl/>
              </w:rPr>
              <w:t>580 3</w:t>
            </w:r>
          </w:p>
        </w:tc>
      </w:tr>
      <w:tr w:rsidR="00443EC1" w:rsidTr="00443EC1">
        <w:tblPrEx>
          <w:tblCellMar>
            <w:top w:w="0" w:type="dxa"/>
            <w:bottom w:w="0" w:type="dxa"/>
          </w:tblCellMar>
        </w:tblPrEx>
        <w:trPr>
          <w:trHeight w:val="567"/>
          <w:jc w:val="center"/>
        </w:trPr>
        <w:tc>
          <w:tcPr>
            <w:tcW w:w="1595" w:type="dxa"/>
            <w:tcBorders>
              <w:top w:val="nil"/>
              <w:bottom w:val="nil"/>
              <w:right w:val="single" w:sz="4" w:space="0" w:color="auto"/>
            </w:tcBorders>
          </w:tcPr>
          <w:p w:rsidR="00443EC1" w:rsidRDefault="00443EC1">
            <w:pPr>
              <w:spacing w:before="0" w:after="0" w:line="280" w:lineRule="exact"/>
              <w:jc w:val="both"/>
              <w:rPr>
                <w:rFonts w:hint="cs"/>
                <w:sz w:val="26"/>
                <w:szCs w:val="26"/>
                <w:rtl/>
              </w:rPr>
            </w:pPr>
            <w:r>
              <w:rPr>
                <w:rFonts w:hint="cs"/>
                <w:sz w:val="26"/>
                <w:szCs w:val="26"/>
                <w:rtl/>
              </w:rPr>
              <w:t>العمال غير القانونيين المعتقلون</w:t>
            </w:r>
          </w:p>
        </w:tc>
        <w:tc>
          <w:tcPr>
            <w:tcW w:w="1595" w:type="dxa"/>
            <w:tcBorders>
              <w:top w:val="nil"/>
              <w:left w:val="single" w:sz="4" w:space="0" w:color="auto"/>
              <w:bottom w:val="nil"/>
              <w:right w:val="single" w:sz="4" w:space="0" w:color="auto"/>
            </w:tcBorders>
          </w:tcPr>
          <w:p w:rsidR="00443EC1" w:rsidRDefault="00443EC1">
            <w:pPr>
              <w:spacing w:before="0" w:after="0" w:line="280" w:lineRule="exact"/>
              <w:jc w:val="center"/>
              <w:rPr>
                <w:rFonts w:hint="cs"/>
                <w:sz w:val="26"/>
                <w:szCs w:val="26"/>
                <w:rtl/>
              </w:rPr>
            </w:pPr>
            <w:r>
              <w:rPr>
                <w:rFonts w:hint="cs"/>
                <w:sz w:val="26"/>
                <w:szCs w:val="26"/>
                <w:rtl/>
              </w:rPr>
              <w:t>949 5</w:t>
            </w:r>
          </w:p>
        </w:tc>
        <w:tc>
          <w:tcPr>
            <w:tcW w:w="1595" w:type="dxa"/>
            <w:tcBorders>
              <w:top w:val="nil"/>
              <w:left w:val="single" w:sz="4" w:space="0" w:color="auto"/>
              <w:bottom w:val="nil"/>
              <w:right w:val="single" w:sz="4" w:space="0" w:color="auto"/>
            </w:tcBorders>
          </w:tcPr>
          <w:p w:rsidR="00443EC1" w:rsidRDefault="00443EC1">
            <w:pPr>
              <w:spacing w:before="0" w:after="0" w:line="280" w:lineRule="exact"/>
              <w:jc w:val="center"/>
              <w:rPr>
                <w:rFonts w:hint="cs"/>
                <w:sz w:val="26"/>
                <w:szCs w:val="26"/>
                <w:rtl/>
              </w:rPr>
            </w:pPr>
            <w:r>
              <w:rPr>
                <w:rFonts w:hint="cs"/>
                <w:sz w:val="26"/>
                <w:szCs w:val="26"/>
                <w:rtl/>
              </w:rPr>
              <w:t>314 4</w:t>
            </w:r>
          </w:p>
          <w:p w:rsidR="00443EC1" w:rsidRDefault="00443EC1">
            <w:pPr>
              <w:spacing w:before="0" w:after="0" w:line="280" w:lineRule="exact"/>
              <w:jc w:val="center"/>
              <w:rPr>
                <w:rFonts w:hint="cs"/>
                <w:sz w:val="26"/>
                <w:szCs w:val="26"/>
                <w:rtl/>
              </w:rPr>
            </w:pPr>
            <w:r>
              <w:rPr>
                <w:rFonts w:hint="cs"/>
                <w:sz w:val="26"/>
                <w:szCs w:val="26"/>
                <w:rtl/>
              </w:rPr>
              <w:t xml:space="preserve">(-27.5 </w:t>
            </w:r>
            <w:r>
              <w:rPr>
                <w:rFonts w:cs="Mudir MT" w:hint="cs"/>
                <w:sz w:val="24"/>
                <w:szCs w:val="24"/>
                <w:rtl/>
                <w:lang w:eastAsia="en-US"/>
              </w:rPr>
              <w:t>%</w:t>
            </w:r>
            <w:r>
              <w:rPr>
                <w:rFonts w:hint="cs"/>
                <w:sz w:val="26"/>
                <w:szCs w:val="26"/>
                <w:rtl/>
              </w:rPr>
              <w:t>)</w:t>
            </w:r>
          </w:p>
        </w:tc>
        <w:tc>
          <w:tcPr>
            <w:tcW w:w="1595" w:type="dxa"/>
            <w:tcBorders>
              <w:top w:val="nil"/>
              <w:left w:val="single" w:sz="4" w:space="0" w:color="auto"/>
              <w:bottom w:val="nil"/>
              <w:right w:val="single" w:sz="4" w:space="0" w:color="auto"/>
            </w:tcBorders>
          </w:tcPr>
          <w:p w:rsidR="00443EC1" w:rsidRDefault="00443EC1">
            <w:pPr>
              <w:spacing w:before="0" w:after="0" w:line="280" w:lineRule="exact"/>
              <w:jc w:val="center"/>
              <w:rPr>
                <w:rFonts w:hint="cs"/>
                <w:sz w:val="26"/>
                <w:szCs w:val="26"/>
                <w:rtl/>
              </w:rPr>
            </w:pPr>
            <w:r>
              <w:rPr>
                <w:rFonts w:hint="cs"/>
                <w:sz w:val="26"/>
                <w:szCs w:val="26"/>
                <w:rtl/>
              </w:rPr>
              <w:t>715 5</w:t>
            </w:r>
          </w:p>
          <w:p w:rsidR="00443EC1" w:rsidRDefault="00443EC1">
            <w:pPr>
              <w:spacing w:before="0" w:after="0" w:line="280" w:lineRule="exact"/>
              <w:jc w:val="center"/>
              <w:rPr>
                <w:rFonts w:hint="cs"/>
                <w:sz w:val="26"/>
                <w:szCs w:val="26"/>
                <w:rtl/>
              </w:rPr>
            </w:pPr>
            <w:r>
              <w:rPr>
                <w:rFonts w:hint="cs"/>
                <w:sz w:val="26"/>
                <w:szCs w:val="26"/>
                <w:rtl/>
              </w:rPr>
              <w:t xml:space="preserve">(+32.5 </w:t>
            </w:r>
            <w:r>
              <w:rPr>
                <w:rFonts w:cs="Mudir MT" w:hint="cs"/>
                <w:sz w:val="24"/>
                <w:szCs w:val="24"/>
                <w:rtl/>
                <w:lang w:eastAsia="en-US"/>
              </w:rPr>
              <w:t>%</w:t>
            </w:r>
            <w:r>
              <w:rPr>
                <w:rFonts w:hint="cs"/>
                <w:sz w:val="26"/>
                <w:szCs w:val="26"/>
                <w:rtl/>
              </w:rPr>
              <w:t>)</w:t>
            </w:r>
          </w:p>
        </w:tc>
        <w:tc>
          <w:tcPr>
            <w:tcW w:w="1595" w:type="dxa"/>
            <w:tcBorders>
              <w:top w:val="nil"/>
              <w:left w:val="single" w:sz="4" w:space="0" w:color="auto"/>
              <w:bottom w:val="nil"/>
              <w:right w:val="single" w:sz="4" w:space="0" w:color="auto"/>
            </w:tcBorders>
          </w:tcPr>
          <w:p w:rsidR="00443EC1" w:rsidRDefault="00443EC1">
            <w:pPr>
              <w:spacing w:before="0" w:after="0" w:line="280" w:lineRule="exact"/>
              <w:jc w:val="center"/>
              <w:rPr>
                <w:rFonts w:hint="cs"/>
                <w:sz w:val="26"/>
                <w:szCs w:val="26"/>
                <w:rtl/>
              </w:rPr>
            </w:pPr>
            <w:r>
              <w:rPr>
                <w:rFonts w:hint="cs"/>
                <w:sz w:val="26"/>
                <w:szCs w:val="26"/>
                <w:rtl/>
              </w:rPr>
              <w:t>841 7</w:t>
            </w:r>
          </w:p>
          <w:p w:rsidR="00443EC1" w:rsidRDefault="00443EC1">
            <w:pPr>
              <w:spacing w:before="0" w:after="0" w:line="280" w:lineRule="exact"/>
              <w:jc w:val="center"/>
              <w:rPr>
                <w:rFonts w:hint="cs"/>
                <w:sz w:val="26"/>
                <w:szCs w:val="26"/>
                <w:rtl/>
              </w:rPr>
            </w:pPr>
            <w:r>
              <w:rPr>
                <w:rFonts w:hint="cs"/>
                <w:sz w:val="26"/>
                <w:szCs w:val="26"/>
                <w:rtl/>
              </w:rPr>
              <w:t xml:space="preserve">(+37.2 </w:t>
            </w:r>
            <w:r>
              <w:rPr>
                <w:rFonts w:cs="Mudir MT" w:hint="cs"/>
                <w:sz w:val="24"/>
                <w:szCs w:val="24"/>
                <w:rtl/>
                <w:lang w:eastAsia="en-US"/>
              </w:rPr>
              <w:t>%</w:t>
            </w:r>
            <w:r>
              <w:rPr>
                <w:rFonts w:hint="cs"/>
                <w:sz w:val="26"/>
                <w:szCs w:val="26"/>
                <w:rtl/>
              </w:rPr>
              <w:t>)</w:t>
            </w:r>
          </w:p>
        </w:tc>
        <w:tc>
          <w:tcPr>
            <w:tcW w:w="1595" w:type="dxa"/>
            <w:tcBorders>
              <w:top w:val="nil"/>
              <w:left w:val="single" w:sz="4" w:space="0" w:color="auto"/>
              <w:bottom w:val="nil"/>
            </w:tcBorders>
          </w:tcPr>
          <w:p w:rsidR="00443EC1" w:rsidRDefault="00443EC1">
            <w:pPr>
              <w:spacing w:before="0" w:after="0" w:line="280" w:lineRule="exact"/>
              <w:jc w:val="center"/>
              <w:rPr>
                <w:rFonts w:hint="cs"/>
                <w:sz w:val="26"/>
                <w:szCs w:val="26"/>
                <w:rtl/>
              </w:rPr>
            </w:pPr>
            <w:r>
              <w:rPr>
                <w:rFonts w:hint="cs"/>
                <w:sz w:val="26"/>
                <w:szCs w:val="26"/>
                <w:rtl/>
              </w:rPr>
              <w:t>990 11</w:t>
            </w:r>
          </w:p>
          <w:p w:rsidR="00443EC1" w:rsidRDefault="00443EC1">
            <w:pPr>
              <w:spacing w:before="0" w:after="0" w:line="280" w:lineRule="exact"/>
              <w:jc w:val="center"/>
              <w:rPr>
                <w:rFonts w:hint="cs"/>
                <w:sz w:val="26"/>
                <w:szCs w:val="26"/>
                <w:rtl/>
              </w:rPr>
            </w:pPr>
            <w:r>
              <w:rPr>
                <w:rFonts w:hint="cs"/>
                <w:sz w:val="26"/>
                <w:szCs w:val="26"/>
                <w:rtl/>
              </w:rPr>
              <w:t xml:space="preserve">(+52.9 </w:t>
            </w:r>
            <w:r>
              <w:rPr>
                <w:rFonts w:cs="Mudir MT" w:hint="cs"/>
                <w:sz w:val="24"/>
                <w:szCs w:val="24"/>
                <w:rtl/>
                <w:lang w:eastAsia="en-US"/>
              </w:rPr>
              <w:t>%</w:t>
            </w:r>
            <w:r>
              <w:rPr>
                <w:rFonts w:hint="cs"/>
                <w:sz w:val="26"/>
                <w:szCs w:val="26"/>
                <w:rtl/>
              </w:rPr>
              <w:t>)</w:t>
            </w:r>
          </w:p>
        </w:tc>
      </w:tr>
      <w:tr w:rsidR="00443EC1" w:rsidTr="00443EC1">
        <w:tblPrEx>
          <w:tblCellMar>
            <w:top w:w="0" w:type="dxa"/>
            <w:bottom w:w="0" w:type="dxa"/>
          </w:tblCellMar>
        </w:tblPrEx>
        <w:trPr>
          <w:trHeight w:val="619"/>
          <w:jc w:val="center"/>
        </w:trPr>
        <w:tc>
          <w:tcPr>
            <w:tcW w:w="1595" w:type="dxa"/>
            <w:tcBorders>
              <w:top w:val="nil"/>
              <w:right w:val="single" w:sz="4" w:space="0" w:color="auto"/>
            </w:tcBorders>
          </w:tcPr>
          <w:p w:rsidR="00443EC1" w:rsidRDefault="00443EC1">
            <w:pPr>
              <w:spacing w:before="0" w:after="0" w:line="280" w:lineRule="exact"/>
              <w:jc w:val="both"/>
              <w:rPr>
                <w:rFonts w:hint="cs"/>
                <w:sz w:val="26"/>
                <w:szCs w:val="26"/>
                <w:rtl/>
              </w:rPr>
            </w:pPr>
            <w:r>
              <w:rPr>
                <w:rFonts w:hint="cs"/>
                <w:sz w:val="26"/>
                <w:szCs w:val="26"/>
                <w:rtl/>
              </w:rPr>
              <w:t>أصحـاب العمل المعتقلون</w:t>
            </w:r>
          </w:p>
        </w:tc>
        <w:tc>
          <w:tcPr>
            <w:tcW w:w="1595" w:type="dxa"/>
            <w:tcBorders>
              <w:top w:val="nil"/>
              <w:left w:val="single" w:sz="4" w:space="0" w:color="auto"/>
              <w:right w:val="single" w:sz="4" w:space="0" w:color="auto"/>
            </w:tcBorders>
          </w:tcPr>
          <w:p w:rsidR="00443EC1" w:rsidRDefault="00443EC1">
            <w:pPr>
              <w:spacing w:before="0" w:after="0" w:line="280" w:lineRule="exact"/>
              <w:jc w:val="center"/>
              <w:rPr>
                <w:rFonts w:hint="cs"/>
                <w:sz w:val="26"/>
                <w:szCs w:val="26"/>
                <w:rtl/>
              </w:rPr>
            </w:pPr>
            <w:r>
              <w:rPr>
                <w:rFonts w:hint="cs"/>
                <w:sz w:val="26"/>
                <w:szCs w:val="26"/>
                <w:rtl/>
              </w:rPr>
              <w:t>139 1</w:t>
            </w:r>
          </w:p>
          <w:p w:rsidR="00443EC1" w:rsidRDefault="00443EC1">
            <w:pPr>
              <w:spacing w:before="0" w:after="0" w:line="280" w:lineRule="exact"/>
              <w:jc w:val="center"/>
              <w:rPr>
                <w:rFonts w:hint="cs"/>
                <w:sz w:val="26"/>
                <w:szCs w:val="26"/>
                <w:rtl/>
              </w:rPr>
            </w:pPr>
          </w:p>
        </w:tc>
        <w:tc>
          <w:tcPr>
            <w:tcW w:w="1595" w:type="dxa"/>
            <w:tcBorders>
              <w:top w:val="nil"/>
              <w:left w:val="single" w:sz="4" w:space="0" w:color="auto"/>
              <w:right w:val="single" w:sz="4" w:space="0" w:color="auto"/>
            </w:tcBorders>
          </w:tcPr>
          <w:p w:rsidR="00443EC1" w:rsidRDefault="00443EC1">
            <w:pPr>
              <w:spacing w:before="0" w:after="0" w:line="280" w:lineRule="exact"/>
              <w:jc w:val="center"/>
              <w:rPr>
                <w:rFonts w:hint="cs"/>
                <w:sz w:val="26"/>
                <w:szCs w:val="26"/>
                <w:rtl/>
              </w:rPr>
            </w:pPr>
            <w:r>
              <w:rPr>
                <w:rFonts w:hint="cs"/>
                <w:sz w:val="26"/>
                <w:szCs w:val="26"/>
                <w:rtl/>
              </w:rPr>
              <w:t>758</w:t>
            </w:r>
          </w:p>
          <w:p w:rsidR="00443EC1" w:rsidRDefault="00443EC1">
            <w:pPr>
              <w:spacing w:before="0" w:after="0" w:line="280" w:lineRule="exact"/>
              <w:jc w:val="center"/>
              <w:rPr>
                <w:rFonts w:hint="cs"/>
                <w:sz w:val="26"/>
                <w:szCs w:val="26"/>
                <w:rtl/>
              </w:rPr>
            </w:pPr>
            <w:r>
              <w:rPr>
                <w:rFonts w:hint="cs"/>
                <w:sz w:val="26"/>
                <w:szCs w:val="26"/>
                <w:rtl/>
              </w:rPr>
              <w:t xml:space="preserve">(-33.5 </w:t>
            </w:r>
            <w:r>
              <w:rPr>
                <w:rFonts w:cs="Mudir MT" w:hint="cs"/>
                <w:sz w:val="24"/>
                <w:szCs w:val="24"/>
                <w:rtl/>
                <w:lang w:eastAsia="en-US"/>
              </w:rPr>
              <w:t>%</w:t>
            </w:r>
            <w:r>
              <w:rPr>
                <w:rFonts w:hint="cs"/>
                <w:sz w:val="26"/>
                <w:szCs w:val="26"/>
                <w:rtl/>
              </w:rPr>
              <w:t>)</w:t>
            </w:r>
          </w:p>
        </w:tc>
        <w:tc>
          <w:tcPr>
            <w:tcW w:w="1595" w:type="dxa"/>
            <w:tcBorders>
              <w:top w:val="nil"/>
              <w:left w:val="single" w:sz="4" w:space="0" w:color="auto"/>
              <w:right w:val="single" w:sz="4" w:space="0" w:color="auto"/>
            </w:tcBorders>
          </w:tcPr>
          <w:p w:rsidR="00443EC1" w:rsidRDefault="00443EC1">
            <w:pPr>
              <w:spacing w:before="0" w:after="0" w:line="280" w:lineRule="exact"/>
              <w:jc w:val="center"/>
              <w:rPr>
                <w:rFonts w:hint="cs"/>
                <w:sz w:val="26"/>
                <w:szCs w:val="26"/>
                <w:rtl/>
              </w:rPr>
            </w:pPr>
            <w:r>
              <w:rPr>
                <w:rFonts w:hint="cs"/>
                <w:sz w:val="26"/>
                <w:szCs w:val="26"/>
                <w:rtl/>
              </w:rPr>
              <w:t>712</w:t>
            </w:r>
          </w:p>
          <w:p w:rsidR="00443EC1" w:rsidRDefault="00443EC1">
            <w:pPr>
              <w:spacing w:before="0" w:after="0" w:line="280" w:lineRule="exact"/>
              <w:jc w:val="center"/>
              <w:rPr>
                <w:rFonts w:hint="cs"/>
                <w:sz w:val="26"/>
                <w:szCs w:val="26"/>
                <w:rtl/>
              </w:rPr>
            </w:pPr>
            <w:r>
              <w:rPr>
                <w:rFonts w:hint="cs"/>
                <w:sz w:val="26"/>
                <w:szCs w:val="26"/>
                <w:rtl/>
              </w:rPr>
              <w:t xml:space="preserve">(-6.1 </w:t>
            </w:r>
            <w:r>
              <w:rPr>
                <w:rFonts w:cs="Mudir MT" w:hint="cs"/>
                <w:sz w:val="24"/>
                <w:szCs w:val="24"/>
                <w:rtl/>
                <w:lang w:eastAsia="en-US"/>
              </w:rPr>
              <w:t>%</w:t>
            </w:r>
            <w:r>
              <w:rPr>
                <w:rFonts w:hint="cs"/>
                <w:sz w:val="26"/>
                <w:szCs w:val="26"/>
                <w:rtl/>
              </w:rPr>
              <w:t>)</w:t>
            </w:r>
          </w:p>
        </w:tc>
        <w:tc>
          <w:tcPr>
            <w:tcW w:w="1595" w:type="dxa"/>
            <w:tcBorders>
              <w:top w:val="nil"/>
              <w:left w:val="single" w:sz="4" w:space="0" w:color="auto"/>
              <w:right w:val="single" w:sz="4" w:space="0" w:color="auto"/>
            </w:tcBorders>
          </w:tcPr>
          <w:p w:rsidR="00443EC1" w:rsidRDefault="00443EC1">
            <w:pPr>
              <w:spacing w:before="0" w:after="0" w:line="280" w:lineRule="exact"/>
              <w:jc w:val="center"/>
              <w:rPr>
                <w:rFonts w:hint="cs"/>
                <w:sz w:val="26"/>
                <w:szCs w:val="26"/>
                <w:rtl/>
              </w:rPr>
            </w:pPr>
            <w:r>
              <w:rPr>
                <w:rFonts w:hint="cs"/>
                <w:sz w:val="26"/>
                <w:szCs w:val="26"/>
                <w:rtl/>
              </w:rPr>
              <w:t>968</w:t>
            </w:r>
          </w:p>
          <w:p w:rsidR="00443EC1" w:rsidRDefault="00443EC1">
            <w:pPr>
              <w:spacing w:before="0" w:after="0" w:line="280" w:lineRule="exact"/>
              <w:jc w:val="center"/>
              <w:rPr>
                <w:rFonts w:hint="cs"/>
                <w:sz w:val="26"/>
                <w:szCs w:val="26"/>
                <w:rtl/>
              </w:rPr>
            </w:pPr>
            <w:r>
              <w:rPr>
                <w:rFonts w:hint="cs"/>
                <w:sz w:val="26"/>
                <w:szCs w:val="26"/>
                <w:rtl/>
              </w:rPr>
              <w:t xml:space="preserve">(+36.0 </w:t>
            </w:r>
            <w:r>
              <w:rPr>
                <w:rFonts w:cs="Mudir MT" w:hint="cs"/>
                <w:sz w:val="24"/>
                <w:szCs w:val="24"/>
                <w:rtl/>
                <w:lang w:eastAsia="en-US"/>
              </w:rPr>
              <w:t>%</w:t>
            </w:r>
            <w:r>
              <w:rPr>
                <w:rFonts w:hint="cs"/>
                <w:sz w:val="26"/>
                <w:szCs w:val="26"/>
                <w:rtl/>
              </w:rPr>
              <w:t>)</w:t>
            </w:r>
          </w:p>
        </w:tc>
        <w:tc>
          <w:tcPr>
            <w:tcW w:w="1595" w:type="dxa"/>
            <w:tcBorders>
              <w:top w:val="nil"/>
              <w:left w:val="single" w:sz="4" w:space="0" w:color="auto"/>
            </w:tcBorders>
          </w:tcPr>
          <w:p w:rsidR="00443EC1" w:rsidRDefault="00443EC1">
            <w:pPr>
              <w:spacing w:before="0" w:after="0" w:line="280" w:lineRule="exact"/>
              <w:jc w:val="center"/>
              <w:rPr>
                <w:rFonts w:hint="cs"/>
                <w:sz w:val="26"/>
                <w:szCs w:val="26"/>
                <w:rtl/>
              </w:rPr>
            </w:pPr>
            <w:r>
              <w:rPr>
                <w:rFonts w:hint="cs"/>
                <w:sz w:val="26"/>
                <w:szCs w:val="26"/>
                <w:rtl/>
              </w:rPr>
              <w:t>918</w:t>
            </w:r>
          </w:p>
          <w:p w:rsidR="00443EC1" w:rsidRDefault="00443EC1">
            <w:pPr>
              <w:spacing w:before="0" w:after="0" w:line="280" w:lineRule="exact"/>
              <w:jc w:val="center"/>
              <w:rPr>
                <w:rFonts w:hint="cs"/>
                <w:sz w:val="26"/>
                <w:szCs w:val="26"/>
                <w:rtl/>
              </w:rPr>
            </w:pPr>
            <w:r>
              <w:rPr>
                <w:rFonts w:hint="cs"/>
                <w:sz w:val="26"/>
                <w:szCs w:val="26"/>
                <w:rtl/>
              </w:rPr>
              <w:t xml:space="preserve">(-5.2 </w:t>
            </w:r>
            <w:r>
              <w:rPr>
                <w:rFonts w:cs="Mudir MT" w:hint="cs"/>
                <w:sz w:val="24"/>
                <w:szCs w:val="24"/>
                <w:rtl/>
                <w:lang w:eastAsia="en-US"/>
              </w:rPr>
              <w:t>%</w:t>
            </w:r>
            <w:r>
              <w:rPr>
                <w:rFonts w:hint="cs"/>
                <w:sz w:val="26"/>
                <w:szCs w:val="26"/>
                <w:rtl/>
              </w:rPr>
              <w:t>)</w:t>
            </w:r>
          </w:p>
        </w:tc>
      </w:tr>
    </w:tbl>
    <w:p w:rsidR="00000000" w:rsidRDefault="00443EC1">
      <w:pPr>
        <w:spacing w:line="380" w:lineRule="exact"/>
        <w:jc w:val="both"/>
        <w:rPr>
          <w:rFonts w:hint="cs"/>
          <w:rtl/>
        </w:rPr>
      </w:pPr>
      <w:r>
        <w:rPr>
          <w:rFonts w:hint="cs"/>
          <w:i/>
          <w:iCs/>
          <w:rtl/>
        </w:rPr>
        <w:t>حظر تشغيل الأطفال</w:t>
      </w:r>
    </w:p>
    <w:p w:rsidR="00000000" w:rsidRDefault="00443EC1">
      <w:pPr>
        <w:spacing w:line="380" w:lineRule="exact"/>
        <w:jc w:val="both"/>
        <w:rPr>
          <w:rFonts w:hint="cs"/>
          <w:rtl/>
        </w:rPr>
      </w:pPr>
      <w:r>
        <w:rPr>
          <w:rFonts w:hint="cs"/>
          <w:rtl/>
        </w:rPr>
        <w:t>398-</w:t>
      </w:r>
      <w:r>
        <w:rPr>
          <w:rFonts w:hint="cs"/>
          <w:rtl/>
        </w:rPr>
        <w:tab/>
        <w:t>لا يزال الوضع كما تبينه الفقرة 64 من التقرير الأولي.</w:t>
      </w:r>
    </w:p>
    <w:p w:rsidR="00000000" w:rsidRDefault="00443EC1">
      <w:pPr>
        <w:spacing w:line="380" w:lineRule="exact"/>
        <w:jc w:val="both"/>
        <w:rPr>
          <w:rFonts w:hint="cs"/>
          <w:rtl/>
        </w:rPr>
      </w:pPr>
      <w:r>
        <w:rPr>
          <w:rFonts w:hint="cs"/>
          <w:i/>
          <w:iCs/>
          <w:rtl/>
        </w:rPr>
        <w:t>استيراد اليد العاملة</w:t>
      </w:r>
    </w:p>
    <w:p w:rsidR="00000000" w:rsidRDefault="00443EC1">
      <w:pPr>
        <w:spacing w:line="380" w:lineRule="exact"/>
        <w:jc w:val="both"/>
        <w:rPr>
          <w:rFonts w:hint="cs"/>
          <w:rtl/>
        </w:rPr>
      </w:pPr>
      <w:r>
        <w:rPr>
          <w:rFonts w:hint="cs"/>
          <w:rtl/>
        </w:rPr>
        <w:t>399-</w:t>
      </w:r>
      <w:r>
        <w:rPr>
          <w:rFonts w:hint="cs"/>
          <w:rtl/>
        </w:rPr>
        <w:tab/>
        <w:t>لقد بينا في الفقر</w:t>
      </w:r>
      <w:r>
        <w:rPr>
          <w:rFonts w:hint="cs"/>
          <w:rtl/>
        </w:rPr>
        <w:t>ة 65 من التقرير الأولي وجود نظامين لهذا الغرض. وقد توقف منذ ذلك الحين تنفيذ واحد منهما. وكان الوضع لغاية 31 كانون الأول/ديسمبر 2002 كما يلي:</w:t>
      </w:r>
    </w:p>
    <w:p w:rsidR="00000000" w:rsidRDefault="00443EC1">
      <w:pPr>
        <w:spacing w:line="380" w:lineRule="exact"/>
        <w:jc w:val="both"/>
        <w:rPr>
          <w:rFonts w:hint="cs"/>
          <w:rtl/>
        </w:rPr>
      </w:pPr>
      <w:r>
        <w:rPr>
          <w:rFonts w:hint="cs"/>
          <w:rtl/>
        </w:rPr>
        <w:tab/>
        <w:t>(أ)</w:t>
      </w:r>
      <w:r>
        <w:rPr>
          <w:rFonts w:hint="cs"/>
          <w:rtl/>
        </w:rPr>
        <w:tab/>
      </w:r>
      <w:r>
        <w:rPr>
          <w:rFonts w:hint="cs"/>
          <w:b/>
          <w:bCs/>
          <w:rtl/>
        </w:rPr>
        <w:t>نظام</w:t>
      </w:r>
      <w:r>
        <w:rPr>
          <w:rFonts w:hint="cs"/>
          <w:rtl/>
        </w:rPr>
        <w:t xml:space="preserve"> </w:t>
      </w:r>
      <w:r>
        <w:rPr>
          <w:rFonts w:hint="cs"/>
          <w:b/>
          <w:bCs/>
          <w:rtl/>
        </w:rPr>
        <w:t>خاص باستيراد العمالة من أجل مشروع بناء مطار جديد وما يتصل به من مشاريع</w:t>
      </w:r>
      <w:r>
        <w:rPr>
          <w:rFonts w:hint="cs"/>
          <w:rtl/>
        </w:rPr>
        <w:t xml:space="preserve">: توقف في آذار/مارس 1999 مع انتهاء </w:t>
      </w:r>
      <w:r>
        <w:rPr>
          <w:rFonts w:hint="cs"/>
          <w:rtl/>
        </w:rPr>
        <w:t>عقد المطار الجديد وما يتصل به من عقود عمل؛</w:t>
      </w:r>
    </w:p>
    <w:p w:rsidR="00000000" w:rsidRDefault="00443EC1">
      <w:pPr>
        <w:spacing w:line="380" w:lineRule="exact"/>
        <w:jc w:val="both"/>
        <w:rPr>
          <w:rFonts w:hint="cs"/>
          <w:rtl/>
        </w:rPr>
      </w:pPr>
      <w:r>
        <w:rPr>
          <w:rFonts w:hint="cs"/>
          <w:rtl/>
        </w:rPr>
        <w:tab/>
        <w:t>(ب)</w:t>
      </w:r>
      <w:r>
        <w:rPr>
          <w:rFonts w:hint="cs"/>
          <w:rtl/>
        </w:rPr>
        <w:tab/>
      </w:r>
      <w:r>
        <w:rPr>
          <w:rFonts w:hint="cs"/>
          <w:b/>
          <w:bCs/>
          <w:rtl/>
        </w:rPr>
        <w:t>نظام اليد العاملة التكميلية</w:t>
      </w:r>
      <w:r>
        <w:rPr>
          <w:rFonts w:hint="cs"/>
          <w:rtl/>
        </w:rPr>
        <w:t>: لا يزال الوضع كما</w:t>
      </w:r>
      <w:r>
        <w:rPr>
          <w:rFonts w:hint="cs"/>
          <w:b/>
          <w:bCs/>
          <w:rtl/>
        </w:rPr>
        <w:t xml:space="preserve"> </w:t>
      </w:r>
      <w:r>
        <w:rPr>
          <w:rFonts w:hint="cs"/>
          <w:rtl/>
        </w:rPr>
        <w:t>تبينه الفقرة</w:t>
      </w:r>
      <w:r>
        <w:rPr>
          <w:rFonts w:hint="cs"/>
          <w:b/>
          <w:bCs/>
          <w:rtl/>
        </w:rPr>
        <w:t xml:space="preserve"> </w:t>
      </w:r>
      <w:r>
        <w:rPr>
          <w:rFonts w:hint="cs"/>
          <w:rtl/>
        </w:rPr>
        <w:t>65</w:t>
      </w:r>
      <w:r>
        <w:rPr>
          <w:rFonts w:hint="cs"/>
          <w:b/>
          <w:bCs/>
          <w:rtl/>
        </w:rPr>
        <w:t xml:space="preserve">(أ) </w:t>
      </w:r>
      <w:r>
        <w:rPr>
          <w:rFonts w:hint="cs"/>
          <w:rtl/>
        </w:rPr>
        <w:t>من التقرير الأولي؛</w:t>
      </w:r>
    </w:p>
    <w:p w:rsidR="00000000" w:rsidRDefault="00443EC1">
      <w:pPr>
        <w:spacing w:line="380" w:lineRule="exact"/>
        <w:jc w:val="both"/>
        <w:rPr>
          <w:rFonts w:hint="cs"/>
          <w:rtl/>
        </w:rPr>
      </w:pPr>
      <w:r>
        <w:rPr>
          <w:rFonts w:hint="cs"/>
          <w:rtl/>
        </w:rPr>
        <w:tab/>
        <w:t>(ج)</w:t>
      </w:r>
      <w:r>
        <w:rPr>
          <w:rFonts w:hint="cs"/>
          <w:rtl/>
        </w:rPr>
        <w:tab/>
      </w:r>
      <w:r>
        <w:rPr>
          <w:rFonts w:hint="cs"/>
          <w:b/>
          <w:bCs/>
          <w:rtl/>
        </w:rPr>
        <w:t>قبول المواهب</w:t>
      </w:r>
      <w:r>
        <w:rPr>
          <w:rFonts w:hint="cs"/>
          <w:rtl/>
        </w:rPr>
        <w:t>: نقبل الأشخاص الموهوبين من خارج هونغ كونغ لزيادة المنافسة. وقد بلغ عدد الطلبات التي تمت الموافقة عليها في</w:t>
      </w:r>
      <w:r>
        <w:rPr>
          <w:rFonts w:hint="cs"/>
          <w:rtl/>
        </w:rPr>
        <w:t xml:space="preserve"> نهاية عام 2002 ما مجموعه 256 طلباً؛</w:t>
      </w:r>
    </w:p>
    <w:p w:rsidR="00000000" w:rsidRDefault="00443EC1">
      <w:pPr>
        <w:spacing w:line="380" w:lineRule="exact"/>
        <w:jc w:val="both"/>
        <w:rPr>
          <w:rFonts w:hint="cs"/>
          <w:rtl/>
        </w:rPr>
      </w:pPr>
      <w:r>
        <w:rPr>
          <w:rFonts w:hint="cs"/>
          <w:rtl/>
        </w:rPr>
        <w:tab/>
        <w:t>(د)</w:t>
      </w:r>
      <w:r>
        <w:rPr>
          <w:rFonts w:hint="cs"/>
          <w:rtl/>
        </w:rPr>
        <w:tab/>
      </w:r>
      <w:r>
        <w:rPr>
          <w:rFonts w:hint="cs"/>
          <w:b/>
          <w:bCs/>
          <w:rtl/>
        </w:rPr>
        <w:t>قبول الفنيين من البلد الأم</w:t>
      </w:r>
      <w:r>
        <w:rPr>
          <w:rFonts w:hint="cs"/>
          <w:rtl/>
        </w:rPr>
        <w:t xml:space="preserve">: نعمل على اجتذاب الفنيين المؤهلين من الصين البلد الأم للعمل في هونغ كونغ، لتلبية احتياجات القوة البشرية المحلية وزيادة قدرتنا التنافسية في السوق العالمية. ويجب على الفنيين المقبولين لهذا </w:t>
      </w:r>
      <w:r>
        <w:rPr>
          <w:rFonts w:hint="cs"/>
          <w:rtl/>
        </w:rPr>
        <w:t>الغرض أن يمتلكوا مهارات ومعارف لا تتوفر في المرحلة الحالية، أو تنقص محلياً. ويجب أن يكونوا قادرين على المشاركة في تشغيل المصانع والقطاعات المعنية. وقد بلغ عدد الطلبات التي تمت الموافقة عليها حتى 31 كانون الأول/ديسمبر 2002 ما مجموعه 141 طلباً.</w:t>
      </w:r>
    </w:p>
    <w:p w:rsidR="00000000" w:rsidRDefault="00443EC1">
      <w:pPr>
        <w:spacing w:line="380" w:lineRule="exact"/>
        <w:jc w:val="both"/>
        <w:rPr>
          <w:rFonts w:hint="cs"/>
          <w:rtl/>
        </w:rPr>
      </w:pPr>
      <w:r>
        <w:rPr>
          <w:rFonts w:hint="cs"/>
          <w:i/>
          <w:iCs/>
          <w:rtl/>
        </w:rPr>
        <w:t>الفرقة العامل</w:t>
      </w:r>
      <w:r>
        <w:rPr>
          <w:rFonts w:hint="cs"/>
          <w:i/>
          <w:iCs/>
          <w:rtl/>
        </w:rPr>
        <w:t>ة المعنية بالعمالة</w:t>
      </w:r>
    </w:p>
    <w:p w:rsidR="00000000" w:rsidRDefault="00443EC1">
      <w:pPr>
        <w:spacing w:line="380" w:lineRule="exact"/>
        <w:jc w:val="both"/>
        <w:rPr>
          <w:rFonts w:hint="cs"/>
          <w:rtl/>
        </w:rPr>
      </w:pPr>
      <w:r>
        <w:rPr>
          <w:rFonts w:hint="cs"/>
          <w:rtl/>
        </w:rPr>
        <w:t>400-</w:t>
      </w:r>
      <w:r>
        <w:rPr>
          <w:rFonts w:hint="cs"/>
          <w:rtl/>
        </w:rPr>
        <w:tab/>
        <w:t>في تشرين الأول/أكتوبر 2002، وسعنا عضوية الفرقة العاملة المعنية بالعمالة، التي بينا دورها في الفقرة 67 من التقرير الأولي، لتشمل الأحزاب السياسية وأعضاء المجلس التشريعي. ومن المقرر أن تواصل الفرقة العاملة اكتشافها سبل تيسير إيجاد وظائ</w:t>
      </w:r>
      <w:r>
        <w:rPr>
          <w:rFonts w:hint="cs"/>
          <w:rtl/>
        </w:rPr>
        <w:t>ف في القطاع الخاص.</w:t>
      </w:r>
    </w:p>
    <w:p w:rsidR="00000000" w:rsidRDefault="00443EC1">
      <w:pPr>
        <w:spacing w:line="380" w:lineRule="exact"/>
        <w:jc w:val="both"/>
        <w:rPr>
          <w:rFonts w:hint="cs"/>
          <w:rtl/>
        </w:rPr>
      </w:pPr>
      <w:r>
        <w:rPr>
          <w:rFonts w:hint="cs"/>
          <w:i/>
          <w:iCs/>
          <w:rtl/>
        </w:rPr>
        <w:t xml:space="preserve">الحق في العمل: مخاوف بشأن التمييز </w:t>
      </w:r>
    </w:p>
    <w:p w:rsidR="00000000" w:rsidRDefault="00443EC1">
      <w:pPr>
        <w:spacing w:line="380" w:lineRule="exact"/>
        <w:jc w:val="both"/>
        <w:rPr>
          <w:rFonts w:hint="cs"/>
          <w:rtl/>
        </w:rPr>
      </w:pPr>
      <w:r>
        <w:rPr>
          <w:rFonts w:hint="cs"/>
          <w:rtl/>
        </w:rPr>
        <w:t>401-</w:t>
      </w:r>
      <w:r>
        <w:rPr>
          <w:rFonts w:hint="cs"/>
          <w:rtl/>
        </w:rPr>
        <w:tab/>
        <w:t>تناولت الفقرات 350 و351 و353 أعلاه الموقف الذي يتعلق بالتمييز على أساس العرق والميل الجنسي.</w:t>
      </w:r>
    </w:p>
    <w:p w:rsidR="00000000" w:rsidRDefault="00443EC1">
      <w:pPr>
        <w:spacing w:line="380" w:lineRule="exact"/>
        <w:jc w:val="both"/>
        <w:rPr>
          <w:rFonts w:hint="cs"/>
          <w:rtl/>
        </w:rPr>
      </w:pPr>
      <w:r>
        <w:rPr>
          <w:rFonts w:hint="cs"/>
          <w:rtl/>
        </w:rPr>
        <w:t>402-</w:t>
      </w:r>
      <w:r>
        <w:rPr>
          <w:rFonts w:hint="cs"/>
          <w:rtl/>
        </w:rPr>
        <w:tab/>
        <w:t>وتناولنا في الفقرات من 68 إلى 77 من التقرير الأولي مخاوف</w:t>
      </w:r>
      <w:r>
        <w:rPr>
          <w:rFonts w:hint="cs"/>
          <w:vertAlign w:val="superscript"/>
          <w:rtl/>
        </w:rPr>
        <w:t>(17)</w:t>
      </w:r>
      <w:r>
        <w:rPr>
          <w:rFonts w:hint="cs"/>
          <w:rtl/>
        </w:rPr>
        <w:t xml:space="preserve"> مفادها أن النساء اللاتي تجاوزن الثلاثين</w:t>
      </w:r>
      <w:r>
        <w:rPr>
          <w:rFonts w:hint="cs"/>
          <w:rtl/>
        </w:rPr>
        <w:t xml:space="preserve"> من العمر يتعرضن للتمييز في مجال العمل، وأوضحنا أن هذه المخاوف لا تستند إلى أساس إحصائي. وقد بقي هذا الوضع على حاله. وفي عام 2002، سجلت شعبة خدمات التوظيف التابعة لإدارة شؤون العمل أسماء باحثين عن عمل بلغ مجموع عددهم 895 208 باحثاً، كان منهم 030 109 امرأة </w:t>
      </w:r>
      <w:r>
        <w:rPr>
          <w:rFonts w:hint="cs"/>
          <w:rtl/>
        </w:rPr>
        <w:t>(52.2 في المائة)، ومنهن نسبة 47.2 في المائة بلغن الثلاثين أو أكثر من العمر. وفي الفترة ذاتها، أمنت شعبة خدمات التوظيف 734 28 وظيفة، منها 188 16 وظيفة للنساء الباحثات عن عمل و589 10 وظيفة للنساء اللاتي بلغن الثلاثين أو أكثر من العمر. وقد بلغت معدلات التوظيف</w:t>
      </w:r>
      <w:r>
        <w:rPr>
          <w:rFonts w:hint="cs"/>
          <w:rtl/>
        </w:rPr>
        <w:t xml:space="preserve"> للباحثات عن عمل وللباحثات عن عمل اللاتي بلغن الثلاثين أو أكثر من العمر 14.8 في المائة و20.6 في المائة على التوالي. وقد بلغت المعدلات ذات الصلة للفئات المماثلة من الذكور الباحثين عن عمل 12.6 في المائة و14.6 في المائة.</w:t>
      </w:r>
    </w:p>
    <w:p w:rsidR="00000000" w:rsidRDefault="00443EC1">
      <w:pPr>
        <w:spacing w:line="380" w:lineRule="exact"/>
        <w:jc w:val="both"/>
        <w:rPr>
          <w:rFonts w:hint="cs"/>
          <w:i/>
          <w:iCs/>
          <w:rtl/>
        </w:rPr>
      </w:pPr>
      <w:r>
        <w:rPr>
          <w:rFonts w:hint="cs"/>
          <w:i/>
          <w:iCs/>
          <w:rtl/>
        </w:rPr>
        <w:t>التحفظات على المادة 6</w:t>
      </w:r>
    </w:p>
    <w:p w:rsidR="00000000" w:rsidRDefault="00443EC1">
      <w:pPr>
        <w:spacing w:line="380" w:lineRule="exact"/>
        <w:jc w:val="both"/>
        <w:rPr>
          <w:rFonts w:hint="cs"/>
          <w:rtl/>
        </w:rPr>
      </w:pPr>
      <w:r>
        <w:rPr>
          <w:rFonts w:hint="cs"/>
          <w:rtl/>
        </w:rPr>
        <w:t>403-</w:t>
      </w:r>
      <w:r>
        <w:rPr>
          <w:rFonts w:hint="cs"/>
          <w:rtl/>
        </w:rPr>
        <w:tab/>
        <w:t xml:space="preserve"> أوصت اللجن</w:t>
      </w:r>
      <w:r>
        <w:rPr>
          <w:rFonts w:hint="cs"/>
          <w:rtl/>
        </w:rPr>
        <w:t>ة في الفقرة 29 من الملاحظات الختامية لعام 2001 منطقة هونغ كونغ الإدارية الخاصة "بأن تسحب تحفظها على المادة 6 وكذلك الإعلان التفسيري الذي يحل محل تحفظها السابق على المادة 8".</w:t>
      </w:r>
    </w:p>
    <w:p w:rsidR="00000000" w:rsidRDefault="00443EC1">
      <w:pPr>
        <w:spacing w:line="380" w:lineRule="exact"/>
        <w:jc w:val="both"/>
        <w:rPr>
          <w:rFonts w:hint="cs"/>
          <w:rtl/>
        </w:rPr>
      </w:pPr>
      <w:r>
        <w:rPr>
          <w:rFonts w:hint="cs"/>
          <w:rtl/>
        </w:rPr>
        <w:t>404-</w:t>
      </w:r>
      <w:r>
        <w:rPr>
          <w:rFonts w:hint="cs"/>
          <w:rtl/>
        </w:rPr>
        <w:tab/>
        <w:t xml:space="preserve">ويحتفظ الإعلان بالحق في تفسير المادة 6 بأنها لا تحول دون فرض قيود، بالاستناد </w:t>
      </w:r>
      <w:r>
        <w:rPr>
          <w:rFonts w:hint="cs"/>
          <w:rtl/>
        </w:rPr>
        <w:t>إلى مكان الولادة أو مؤهلات الإقامة، على الحصول على عمل في منطقة هونغ كونغ الإدارية الخاصة بهدف ضمان توفير فرص عمل لعمال "المنطقة". وقد نظرنا بعناية في توصية اللجنة. لكننا استنتجنا أن الإعلان مازال ضرورياً لأنه ينص على المرونة في وضع التدابير اللازمة لحماية</w:t>
      </w:r>
      <w:r>
        <w:rPr>
          <w:rFonts w:hint="cs"/>
          <w:rtl/>
        </w:rPr>
        <w:t xml:space="preserve"> مصالح العمال المحليين وفرص عملهم. وبناءً عليه، نعلمكم بأننا نقترح الاحتفاظ به.</w:t>
      </w:r>
    </w:p>
    <w:p w:rsidR="00000000" w:rsidRDefault="00443EC1">
      <w:pPr>
        <w:spacing w:line="380" w:lineRule="exact"/>
        <w:jc w:val="center"/>
        <w:rPr>
          <w:rFonts w:hint="cs"/>
          <w:b/>
          <w:bCs/>
          <w:rtl/>
        </w:rPr>
      </w:pPr>
      <w:r>
        <w:rPr>
          <w:rFonts w:hint="cs"/>
          <w:b/>
          <w:bCs/>
          <w:rtl/>
        </w:rPr>
        <w:t>زاي - المادة 7</w:t>
      </w:r>
    </w:p>
    <w:p w:rsidR="00000000" w:rsidRDefault="00443EC1">
      <w:pPr>
        <w:spacing w:line="380" w:lineRule="exact"/>
        <w:jc w:val="center"/>
        <w:rPr>
          <w:rFonts w:hint="cs"/>
          <w:b/>
          <w:bCs/>
          <w:rtl/>
        </w:rPr>
      </w:pPr>
      <w:r>
        <w:rPr>
          <w:rFonts w:hint="cs"/>
          <w:b/>
          <w:bCs/>
          <w:rtl/>
        </w:rPr>
        <w:t>الحق في التمتع بشروط عمل عادلة ومرضية</w:t>
      </w:r>
    </w:p>
    <w:p w:rsidR="00000000" w:rsidRDefault="00443EC1">
      <w:pPr>
        <w:spacing w:line="380" w:lineRule="exact"/>
        <w:jc w:val="both"/>
        <w:rPr>
          <w:rFonts w:hint="cs"/>
          <w:i/>
          <w:iCs/>
          <w:rtl/>
        </w:rPr>
      </w:pPr>
      <w:r>
        <w:rPr>
          <w:rFonts w:hint="cs"/>
          <w:i/>
          <w:iCs/>
          <w:rtl/>
        </w:rPr>
        <w:t>قائمة التقارير بموجب اتفاقات العمل الدولية ذات الصلة</w:t>
      </w:r>
    </w:p>
    <w:p w:rsidR="00000000" w:rsidRDefault="00443EC1">
      <w:pPr>
        <w:spacing w:line="380" w:lineRule="exact"/>
        <w:jc w:val="both"/>
        <w:rPr>
          <w:rFonts w:hint="cs"/>
          <w:rtl/>
        </w:rPr>
      </w:pPr>
      <w:r>
        <w:rPr>
          <w:rFonts w:hint="cs"/>
          <w:rtl/>
        </w:rPr>
        <w:t>405-</w:t>
      </w:r>
      <w:r>
        <w:rPr>
          <w:rFonts w:hint="cs"/>
          <w:rtl/>
        </w:rPr>
        <w:tab/>
        <w:t>قدمت معلومات متصلة بهذه المادة في التقارير التالية المقدمة إلى من</w:t>
      </w:r>
      <w:r>
        <w:rPr>
          <w:rFonts w:hint="cs"/>
          <w:rtl/>
        </w:rPr>
        <w:t>ظمة العمل الدولية:</w:t>
      </w:r>
    </w:p>
    <w:p w:rsidR="00000000" w:rsidRDefault="00443EC1">
      <w:pPr>
        <w:spacing w:line="380" w:lineRule="exact"/>
        <w:jc w:val="both"/>
        <w:rPr>
          <w:rFonts w:hint="cs"/>
          <w:rtl/>
        </w:rPr>
      </w:pPr>
      <w:r>
        <w:rPr>
          <w:rFonts w:hint="cs"/>
          <w:rtl/>
        </w:rPr>
        <w:tab/>
        <w:t>(أ)</w:t>
      </w:r>
      <w:r>
        <w:rPr>
          <w:rFonts w:hint="cs"/>
          <w:rtl/>
        </w:rPr>
        <w:tab/>
        <w:t>التقريران المقدمان عملاً بالمادة 22 عن اتفاقية حماية العمال من المخاطر المهنية الناجمة عن تلوث الهواء والضوضاء والاهتزازات في بيئة العمل (رقم 148) عن الفترتين من 1 تموز/يوليه 1993 إلى 31 أيار/مايو 1999 ومن 1 حزيران/يونيه 1999 إلى 31</w:t>
      </w:r>
      <w:r>
        <w:rPr>
          <w:rFonts w:hint="cs"/>
          <w:rtl/>
        </w:rPr>
        <w:t xml:space="preserve"> أيار/مايو 2001؛ </w:t>
      </w:r>
    </w:p>
    <w:p w:rsidR="00000000" w:rsidRDefault="00443EC1">
      <w:pPr>
        <w:spacing w:line="380" w:lineRule="exact"/>
        <w:jc w:val="both"/>
        <w:rPr>
          <w:rFonts w:hint="cs"/>
          <w:rtl/>
        </w:rPr>
      </w:pPr>
      <w:r>
        <w:rPr>
          <w:rFonts w:hint="cs"/>
          <w:rtl/>
        </w:rPr>
        <w:tab/>
        <w:t>(ب)</w:t>
      </w:r>
      <w:r>
        <w:rPr>
          <w:rFonts w:hint="cs"/>
          <w:rtl/>
        </w:rPr>
        <w:tab/>
        <w:t>التقريران المقدمان عملاً بالمادة 22 عن اتفاقية تطبيق الراحة الأسبوعية في المنشآت الصناعية (الاتفاقية رقم 14) عن الفترتين من 1 تموز/يوليه 1994 إلى 31 أيار/مايو 2000 ومن 1 حزيران/يونيه 2000 إلى 31 أيار/مايو 2002؛</w:t>
      </w:r>
    </w:p>
    <w:p w:rsidR="00000000" w:rsidRDefault="00443EC1">
      <w:pPr>
        <w:spacing w:line="380" w:lineRule="exact"/>
        <w:jc w:val="both"/>
        <w:rPr>
          <w:rFonts w:hint="cs"/>
          <w:rtl/>
        </w:rPr>
      </w:pPr>
      <w:r>
        <w:rPr>
          <w:rFonts w:hint="cs"/>
          <w:rtl/>
        </w:rPr>
        <w:tab/>
        <w:t>(ج)</w:t>
      </w:r>
      <w:r>
        <w:rPr>
          <w:rFonts w:hint="cs"/>
          <w:rtl/>
        </w:rPr>
        <w:tab/>
        <w:t>التقريران المقدما</w:t>
      </w:r>
      <w:r>
        <w:rPr>
          <w:rFonts w:hint="cs"/>
          <w:rtl/>
        </w:rPr>
        <w:t>ن عملاً بالمادة 22 عن حماية العمال من الإشعاعات المؤينة (الاتفاقية رقم 115) عن الفترتين من 1 تموز/يوليه 1994 إلى 31 أيار/مايو 2000 ومن 1 حزيران/يونيه 2000 إلى 31 أيار/مايو 2002؛</w:t>
      </w:r>
    </w:p>
    <w:p w:rsidR="00000000" w:rsidRDefault="00443EC1">
      <w:pPr>
        <w:spacing w:line="380" w:lineRule="exact"/>
        <w:jc w:val="both"/>
        <w:rPr>
          <w:rFonts w:hint="cs"/>
          <w:rtl/>
        </w:rPr>
      </w:pPr>
      <w:r>
        <w:rPr>
          <w:rFonts w:hint="cs"/>
          <w:rtl/>
        </w:rPr>
        <w:tab/>
        <w:t>(د)</w:t>
      </w:r>
      <w:r>
        <w:rPr>
          <w:rFonts w:hint="cs"/>
          <w:rtl/>
        </w:rPr>
        <w:tab/>
        <w:t>التقريران المقدمان عملاً بالمادة 22 عن الاتفاقية بشأن الإجازات مدفوعة الأ</w:t>
      </w:r>
      <w:r>
        <w:rPr>
          <w:rFonts w:hint="cs"/>
          <w:rtl/>
        </w:rPr>
        <w:t>جر في الزراعة (الاتفاقية رقم 101) عن الفترتين من 1 كانون الثاني/يناير 1996 إلى 1 حزيران/يونيه 2000 ومن 1 حزيران/يونيه 2000 إلى 31 أيار/مايو 2002؛</w:t>
      </w:r>
    </w:p>
    <w:p w:rsidR="00000000" w:rsidRDefault="00443EC1">
      <w:pPr>
        <w:spacing w:line="380" w:lineRule="exact"/>
        <w:jc w:val="both"/>
        <w:rPr>
          <w:rFonts w:hint="cs"/>
          <w:rtl/>
        </w:rPr>
      </w:pPr>
      <w:r>
        <w:rPr>
          <w:rFonts w:hint="cs"/>
          <w:rtl/>
        </w:rPr>
        <w:tab/>
        <w:t>(ه‍)</w:t>
      </w:r>
      <w:r>
        <w:rPr>
          <w:rFonts w:hint="cs"/>
          <w:rtl/>
        </w:rPr>
        <w:tab/>
        <w:t>التقريران المقدمان عملاً بالمادة 22 عن الاتفاقية بشأن تفتيش العمل في الصناعة والتجارة (الاتفاقية رقم 81)</w:t>
      </w:r>
      <w:r>
        <w:rPr>
          <w:rFonts w:hint="cs"/>
          <w:rtl/>
        </w:rPr>
        <w:t xml:space="preserve"> عن الفترتين من 1 كانون الثاني/يناير 1997 إلى 31 أيار/مايو 1999 ومن 1 حزيران/يونيه 1999 إلى 31 أيار/مايو 2001.</w:t>
      </w:r>
    </w:p>
    <w:p w:rsidR="00000000" w:rsidRDefault="00443EC1">
      <w:pPr>
        <w:spacing w:line="380" w:lineRule="exact"/>
        <w:jc w:val="both"/>
        <w:rPr>
          <w:rFonts w:hint="cs"/>
          <w:i/>
          <w:iCs/>
          <w:rtl/>
        </w:rPr>
      </w:pPr>
      <w:r>
        <w:rPr>
          <w:rFonts w:hint="cs"/>
          <w:i/>
          <w:iCs/>
          <w:rtl/>
        </w:rPr>
        <w:t>توفير ظروف عمل آمنة وصحية</w:t>
      </w:r>
    </w:p>
    <w:p w:rsidR="00000000" w:rsidRDefault="00443EC1">
      <w:pPr>
        <w:spacing w:line="380" w:lineRule="exact"/>
        <w:jc w:val="both"/>
        <w:rPr>
          <w:rFonts w:hint="cs"/>
          <w:rtl/>
        </w:rPr>
      </w:pPr>
      <w:r>
        <w:rPr>
          <w:rFonts w:hint="cs"/>
          <w:rtl/>
        </w:rPr>
        <w:t>406-</w:t>
      </w:r>
      <w:r>
        <w:rPr>
          <w:rFonts w:hint="cs"/>
          <w:rtl/>
        </w:rPr>
        <w:tab/>
        <w:t>لا يزال الوضع كما تبينه الفقرات من 98 إلى 101 من التقرير الأولي.</w:t>
      </w:r>
    </w:p>
    <w:p w:rsidR="00000000" w:rsidRDefault="00443EC1">
      <w:pPr>
        <w:spacing w:line="380" w:lineRule="exact"/>
        <w:jc w:val="both"/>
        <w:rPr>
          <w:rFonts w:hint="cs"/>
          <w:i/>
          <w:iCs/>
          <w:rtl/>
        </w:rPr>
      </w:pPr>
      <w:r>
        <w:rPr>
          <w:rFonts w:hint="cs"/>
          <w:i/>
          <w:iCs/>
          <w:rtl/>
        </w:rPr>
        <w:t>منع الحوادث والأمراض في مكان العمل: جوانب الحماية</w:t>
      </w:r>
      <w:r>
        <w:rPr>
          <w:rFonts w:hint="cs"/>
          <w:i/>
          <w:iCs/>
          <w:rtl/>
        </w:rPr>
        <w:t xml:space="preserve"> القانونية</w:t>
      </w:r>
    </w:p>
    <w:p w:rsidR="00000000" w:rsidRDefault="00443EC1">
      <w:pPr>
        <w:spacing w:line="380" w:lineRule="exact"/>
        <w:jc w:val="both"/>
        <w:rPr>
          <w:rFonts w:hint="cs"/>
          <w:rtl/>
        </w:rPr>
      </w:pPr>
      <w:r>
        <w:rPr>
          <w:rFonts w:hint="cs"/>
          <w:rtl/>
        </w:rPr>
        <w:t>407-</w:t>
      </w:r>
      <w:r>
        <w:rPr>
          <w:rFonts w:hint="cs"/>
          <w:rtl/>
        </w:rPr>
        <w:tab/>
        <w:t>عُدل في عام 1999 قانون المصانع والتعهدات الصناعية (الفصل 59) لينص على دورات تدريبية إلزامية عن سلامة الأشخاص العاملين في البناء وفي صناعات مناولة الحاويات. ويوسع هذا التعديل من نطاق صلاحية مفوض شؤون العمل في وضع قوانين تلزم المالكين أو المق</w:t>
      </w:r>
      <w:r>
        <w:rPr>
          <w:rFonts w:hint="cs"/>
          <w:rtl/>
        </w:rPr>
        <w:t>اولين بوضع نظم إدارة تتعلق بسلامة الموظفين أثناء تأديتهم لمهامهم الصناعية ذات الصلة.</w:t>
      </w:r>
    </w:p>
    <w:p w:rsidR="00000000" w:rsidRDefault="00443EC1">
      <w:pPr>
        <w:spacing w:line="380" w:lineRule="exact"/>
        <w:jc w:val="both"/>
        <w:rPr>
          <w:rFonts w:hint="cs"/>
          <w:rtl/>
        </w:rPr>
      </w:pPr>
      <w:r>
        <w:rPr>
          <w:rFonts w:hint="cs"/>
          <w:rtl/>
        </w:rPr>
        <w:t>408-</w:t>
      </w:r>
      <w:r>
        <w:rPr>
          <w:rFonts w:hint="cs"/>
          <w:rtl/>
        </w:rPr>
        <w:tab/>
        <w:t>وفيما عدا ذلك، ظل الوضع كما تبينه الفقرات من 104 إلى 111 من التقرير الأولي.</w:t>
      </w:r>
    </w:p>
    <w:p w:rsidR="00000000" w:rsidRDefault="00443EC1">
      <w:pPr>
        <w:spacing w:line="380" w:lineRule="exact"/>
        <w:jc w:val="both"/>
        <w:rPr>
          <w:rFonts w:hint="cs"/>
          <w:b/>
          <w:bCs/>
          <w:rtl/>
          <w:lang w:bidi="ar-MA"/>
        </w:rPr>
      </w:pPr>
      <w:r>
        <w:rPr>
          <w:rFonts w:hint="cs"/>
          <w:b/>
          <w:bCs/>
          <w:rtl/>
          <w:lang w:bidi="ar-MA"/>
        </w:rPr>
        <w:t>حماية العمالة: حقوق العمال واستحقاقاتهم</w:t>
      </w:r>
    </w:p>
    <w:p w:rsidR="00000000" w:rsidRDefault="00443EC1">
      <w:pPr>
        <w:spacing w:line="380" w:lineRule="exact"/>
        <w:jc w:val="both"/>
        <w:rPr>
          <w:rFonts w:hint="cs"/>
          <w:rtl/>
          <w:lang w:bidi="ar-MA"/>
        </w:rPr>
      </w:pPr>
      <w:r>
        <w:rPr>
          <w:rFonts w:hint="cs"/>
          <w:rtl/>
          <w:lang w:bidi="ar-MA"/>
        </w:rPr>
        <w:t>409-</w:t>
      </w:r>
      <w:r>
        <w:rPr>
          <w:rFonts w:hint="cs"/>
          <w:rtl/>
          <w:lang w:bidi="ar-MA"/>
        </w:rPr>
        <w:tab/>
        <w:t>أعربت اللجنة في الفقرة 15(أ) من ملاحظاتها الخ</w:t>
      </w:r>
      <w:r>
        <w:rPr>
          <w:rFonts w:hint="cs"/>
          <w:rtl/>
          <w:lang w:bidi="ar-MA"/>
        </w:rPr>
        <w:t>تامية الصادرة في عام 2001 عن قلق خاص إزاء عدم وجود "</w:t>
      </w:r>
      <w:r>
        <w:rPr>
          <w:rFonts w:hint="cs"/>
          <w:rtl/>
        </w:rPr>
        <w:t>سبل للحماية من الفصل التعسفي من العمل وعدم وجود لوائح وافية ناظمة للحد الأدنى القانوني للأجور، وساعات العمل، والراحة الأسبوعية المدفوعة الأجر، وفترات الراحة أثناء العمل، والأجر الإلزامي عن العمل الإضافي</w:t>
      </w:r>
      <w:r>
        <w:rPr>
          <w:rFonts w:hint="cs"/>
          <w:rtl/>
          <w:lang w:bidi="ar-MA"/>
        </w:rPr>
        <w:t>".</w:t>
      </w:r>
      <w:r>
        <w:rPr>
          <w:rFonts w:hint="cs"/>
          <w:rtl/>
          <w:lang w:bidi="ar-MA"/>
        </w:rPr>
        <w:t xml:space="preserve"> وفي الفقرة 34 "</w:t>
      </w:r>
      <w:r>
        <w:rPr>
          <w:rFonts w:hint="cs"/>
          <w:rtl/>
        </w:rPr>
        <w:t>تكرر اللجنة توصيتها لمنطقة هونغ كونغ الإدارية الخاصة بأن تعيد النظر في سياستها فيما يتعلق بالفصل التعسفي من العمل، والحد الأدنى للأجور، والراحة الأسبوعية المدفوعة الأجر، وفترات الراحة أثناء العمل، والحد الأقصى لساعات العمل، وأجور العمل الإض</w:t>
      </w:r>
      <w:r>
        <w:rPr>
          <w:rFonts w:hint="cs"/>
          <w:rtl/>
        </w:rPr>
        <w:t>افي، بغية جعل هذه السياسة متمشية مع التزامات منطقة هونغ كونغ على نحو ما تنص عليه أحكام العهد</w:t>
      </w:r>
      <w:r>
        <w:rPr>
          <w:rFonts w:hint="cs"/>
          <w:rtl/>
          <w:lang w:bidi="ar-MA"/>
        </w:rPr>
        <w:t xml:space="preserve">". وحثت اللجنة </w:t>
      </w:r>
      <w:r>
        <w:rPr>
          <w:rFonts w:hint="cs"/>
          <w:rtl/>
        </w:rPr>
        <w:t xml:space="preserve">منطقة هونغ كونغ الإدارية الخاصة </w:t>
      </w:r>
      <w:r>
        <w:rPr>
          <w:rFonts w:hint="cs"/>
          <w:rtl/>
          <w:lang w:bidi="ar-MA"/>
        </w:rPr>
        <w:t>"</w:t>
      </w:r>
      <w:r>
        <w:rPr>
          <w:rFonts w:hint="cs"/>
          <w:rtl/>
        </w:rPr>
        <w:t>على أن تسن تشريعا بشأن الأجر المتكافئ لقاء العمل المتكافئ القيمة على نحو ما تنص عليه أحكام العهد</w:t>
      </w:r>
      <w:r>
        <w:rPr>
          <w:rFonts w:hint="cs"/>
          <w:rtl/>
          <w:lang w:bidi="ar-MA"/>
        </w:rPr>
        <w:t>". ووجه المعلقون الم</w:t>
      </w:r>
      <w:r>
        <w:rPr>
          <w:rFonts w:hint="cs"/>
          <w:rtl/>
          <w:lang w:bidi="ar-MA"/>
        </w:rPr>
        <w:t>حليون النداءات ذاتها، مطالبين أيضا بتوفير الحماية للعمال الموظفين لدى مقاولين حكوميين.</w:t>
      </w:r>
    </w:p>
    <w:p w:rsidR="00000000" w:rsidRDefault="00443EC1">
      <w:pPr>
        <w:spacing w:line="380" w:lineRule="exact"/>
        <w:jc w:val="both"/>
        <w:rPr>
          <w:rFonts w:hint="cs"/>
          <w:rtl/>
          <w:lang w:bidi="ar-MA"/>
        </w:rPr>
      </w:pPr>
      <w:r>
        <w:rPr>
          <w:rFonts w:hint="cs"/>
          <w:rtl/>
          <w:lang w:bidi="ar-MA"/>
        </w:rPr>
        <w:t>410-</w:t>
      </w:r>
      <w:r>
        <w:rPr>
          <w:rFonts w:hint="cs"/>
          <w:rtl/>
          <w:lang w:bidi="ar-MA"/>
        </w:rPr>
        <w:tab/>
        <w:t>وبخصوص الفقرة 15(</w:t>
      </w:r>
      <w:r>
        <w:rPr>
          <w:rFonts w:hint="cs"/>
          <w:rtl/>
        </w:rPr>
        <w:t>ه‍)</w:t>
      </w:r>
      <w:r>
        <w:rPr>
          <w:rFonts w:hint="cs"/>
          <w:rtl/>
          <w:lang w:bidi="ar-MA"/>
        </w:rPr>
        <w:t xml:space="preserve"> و34 من الملاحظات الختامية، نوجه نظر اللجنة بكل احترام إلى الأمر الخاص بالعمل يحمي العمال بالفعل من الفصل التعسفي. وتشمل أساليب الجبر أوامر بإعا</w:t>
      </w:r>
      <w:r>
        <w:rPr>
          <w:rFonts w:hint="cs"/>
          <w:rtl/>
          <w:lang w:bidi="ar-MA"/>
        </w:rPr>
        <w:t>دة التعيين/إعادة التوظيف رهنا برضى الطرفين، أو مدفوعات نهاية الخدمة. وتعد الحدود الدنيا للأجور وأجر يوم الراحة الأسبوعي وفترات الراحة أثناء العمل وعدد ساعات العمل وأجور ساعات العمل الإضافية من شروط العمل، وتمثل، باعتبارها كذلك، قضايا يتفاوض عليها أرباب الع</w:t>
      </w:r>
      <w:r>
        <w:rPr>
          <w:rFonts w:hint="cs"/>
          <w:rtl/>
          <w:lang w:bidi="ar-MA"/>
        </w:rPr>
        <w:t>مل والموظفون في سياق شروط السوق. وتعد هونغ كونغ منطقة اقتصادية صغيرة ومنفتحة وموجهة نحو الخارج وتحركها قوى السوق يتعين عليها أن تتسم بالمرونة للتكيف مع تغيرات الظروف الاقتصادية. ولذا، فقد يؤول فرض قيود مفرطة على سوق العمل، كوضع حد أقصى من ساعات العمل وتحدي</w:t>
      </w:r>
      <w:r>
        <w:rPr>
          <w:rFonts w:hint="cs"/>
          <w:rtl/>
          <w:lang w:bidi="ar-MA"/>
        </w:rPr>
        <w:t>د أجرة قانونية عن ساعات العمل الإضافية، إلى الحد من تلك المرونة وزيادة تكاليف العمل. لهذه الأسباب لا نزمع سن قوانين في هذه المجالات. بل سنعمل على النهوض تدريجيا بحقوق العمال واستحقاقاتهم بأساليب تساير نسق نمو هونغ كونغ الاقتصادي والاجتماعي وتقيم توازنا بين</w:t>
      </w:r>
      <w:r>
        <w:rPr>
          <w:rFonts w:hint="cs"/>
          <w:rtl/>
          <w:lang w:bidi="ar-MA"/>
        </w:rPr>
        <w:t xml:space="preserve"> مصالح أرباب العمل ومصالح العمال. ويرد ملخص التدابير المعتمدة حاليا لحماية العمال الموظفين لدى المقاولين الحكوميين من الفصل التعسفي في المرفق 7 - ألف.</w:t>
      </w:r>
    </w:p>
    <w:p w:rsidR="00000000" w:rsidRDefault="00443EC1">
      <w:pPr>
        <w:spacing w:line="380" w:lineRule="exact"/>
        <w:jc w:val="both"/>
        <w:rPr>
          <w:rFonts w:hint="cs"/>
          <w:rtl/>
          <w:lang w:bidi="ar-MA"/>
        </w:rPr>
      </w:pPr>
      <w:r>
        <w:rPr>
          <w:rFonts w:hint="cs"/>
          <w:rtl/>
          <w:lang w:bidi="ar-MA"/>
        </w:rPr>
        <w:t>411-</w:t>
      </w:r>
      <w:r>
        <w:rPr>
          <w:rFonts w:hint="cs"/>
          <w:rtl/>
          <w:lang w:bidi="ar-MA"/>
        </w:rPr>
        <w:tab/>
        <w:t>ونرى، في ما يتعلق بالفقرة 35 من الملاحظات الختامية، أن الأمر الخاص بمنع التمييز على أساس الجنس يعالج</w:t>
      </w:r>
      <w:r>
        <w:rPr>
          <w:rFonts w:hint="cs"/>
          <w:rtl/>
          <w:lang w:bidi="ar-MA"/>
        </w:rPr>
        <w:t xml:space="preserve"> بالفعل مسألة الأجر المتساوي عن العمل ذي القيمة المتساوية، رغم تفويضه البت في حالات خاصة إلى المحاكم. وتخطط لجنة تكافؤ الفرص لحملة دعائية ترمي إلى إقناع أرباب العمل بمزايا الأجر المتساوي عن العمل ذي القيمة المتساوية. وفي شهر تشرين الأول/أكتوبر 2001، عقدت ا</w:t>
      </w:r>
      <w:r>
        <w:rPr>
          <w:rFonts w:hint="cs"/>
          <w:rtl/>
          <w:lang w:bidi="ar-MA"/>
        </w:rPr>
        <w:t>للجنة، تحقيقاً لذلك الهدف، مؤتمرا في هذا الشأن، بحضور فريق خبراء من أستراليا وكندا والمملكة المتحدة. وتقاسم الفريق الممارسات الدولية الحسنة بشأن تكافؤ الأجر مع أرباب العمل والمسؤولين عن الموارد البشرية وصانعي السياسات ونشطاء حقوق الإنسان وحقوق العمل المحلي</w:t>
      </w:r>
      <w:r>
        <w:rPr>
          <w:rFonts w:hint="cs"/>
          <w:rtl/>
          <w:lang w:bidi="ar-MA"/>
        </w:rPr>
        <w:t xml:space="preserve">ين. كما طلبت لجنة تكافؤ الفرص عام 2001 إجراء دراسة للكشف عن حالات انعدام التكافؤ في الأجور على أساس الجنس، والتوصية، إذا وجدت هذه الحالات، بطرائق تكفل حصول العمال على أجور متساوية عن عمل متساوي القيمة. </w:t>
      </w:r>
    </w:p>
    <w:p w:rsidR="00000000" w:rsidRDefault="00443EC1">
      <w:pPr>
        <w:spacing w:line="380" w:lineRule="exact"/>
        <w:jc w:val="both"/>
        <w:rPr>
          <w:rFonts w:hint="cs"/>
          <w:rtl/>
          <w:lang w:bidi="ar-MA"/>
        </w:rPr>
      </w:pPr>
      <w:r>
        <w:rPr>
          <w:rFonts w:hint="cs"/>
          <w:rtl/>
          <w:lang w:bidi="ar-MA"/>
        </w:rPr>
        <w:t>412-</w:t>
      </w:r>
      <w:r>
        <w:rPr>
          <w:rFonts w:hint="cs"/>
          <w:rtl/>
          <w:lang w:bidi="ar-MA"/>
        </w:rPr>
        <w:tab/>
        <w:t>ويثير تطبيق مفهوم الأجر المتساوي عن العمل ذي الق</w:t>
      </w:r>
      <w:r>
        <w:rPr>
          <w:rFonts w:hint="cs"/>
          <w:rtl/>
          <w:lang w:bidi="ar-MA"/>
        </w:rPr>
        <w:t xml:space="preserve">يمة المتساوية مشاكل عملية في سياق هونغ كونغ، </w:t>
      </w:r>
      <w:r>
        <w:rPr>
          <w:rFonts w:hint="cs"/>
          <w:spacing w:val="4"/>
          <w:rtl/>
          <w:lang w:bidi="ar-MA"/>
        </w:rPr>
        <w:t>حيث مشاريع الأعمال معظمها مؤسسات صغيرة ومتوسطة الحجم. ولا بد لأرباب العمل من وضع نظم موضوعية لتصنيف العمل وتحديد الأجور، فضلا عن تعيين موظفين أكفاء لإدارتها. وتستوجب هذه المسائل</w:t>
      </w:r>
      <w:r>
        <w:rPr>
          <w:rFonts w:hint="cs"/>
          <w:rtl/>
          <w:lang w:bidi="ar-MA"/>
        </w:rPr>
        <w:t xml:space="preserve"> وغيرها من التبعات المحتملة على أر</w:t>
      </w:r>
      <w:r>
        <w:rPr>
          <w:rFonts w:hint="cs"/>
          <w:rtl/>
          <w:lang w:bidi="ar-MA"/>
        </w:rPr>
        <w:t>باب العمل، ولا سيما في المؤسسات الصغيرة والمتوسطة الحجم، بحثا دقيقا.</w:t>
      </w:r>
    </w:p>
    <w:p w:rsidR="00000000" w:rsidRDefault="00443EC1">
      <w:pPr>
        <w:spacing w:line="380" w:lineRule="exact"/>
        <w:jc w:val="both"/>
        <w:rPr>
          <w:rFonts w:hint="cs"/>
          <w:rtl/>
          <w:lang w:bidi="ar-MA"/>
        </w:rPr>
      </w:pPr>
      <w:r>
        <w:rPr>
          <w:rFonts w:hint="cs"/>
          <w:rtl/>
          <w:lang w:bidi="ar-MA"/>
        </w:rPr>
        <w:t>413-</w:t>
      </w:r>
      <w:r>
        <w:rPr>
          <w:rFonts w:hint="cs"/>
          <w:rtl/>
          <w:lang w:bidi="ar-MA"/>
        </w:rPr>
        <w:tab/>
        <w:t>وأفاد معلقون أن بعض أرباب العمل يجبرون عمالهم على العمل للحساب الخاص بغية تفادي تسديد مدفوعات صناديق الادخار الإلزامية</w:t>
      </w:r>
      <w:r>
        <w:rPr>
          <w:rFonts w:hint="cs"/>
          <w:vertAlign w:val="superscript"/>
          <w:rtl/>
          <w:lang w:bidi="ar-MA"/>
        </w:rPr>
        <w:t>(18)</w:t>
      </w:r>
      <w:r>
        <w:rPr>
          <w:rFonts w:hint="cs"/>
          <w:rtl/>
          <w:lang w:bidi="ar-MA"/>
        </w:rPr>
        <w:t xml:space="preserve"> وغيرها من استحقاقات العمالة. غير أنه لا يجوز لأرباب العمل ت</w:t>
      </w:r>
      <w:r>
        <w:rPr>
          <w:rFonts w:hint="cs"/>
          <w:rtl/>
          <w:lang w:bidi="ar-MA"/>
        </w:rPr>
        <w:t>غيير شروط توظيف عمالهم من طرف واحد دون الحصول مسبقا على موافقة العمال. وينص الجزء السادس - ألف من الأمر الخاص بالعمالة، المتعلق بحماية العمل، على أنه يجوز للعمال الموظفين بموجب عقد دائم أن يطالبوا بالجبر عن قيام رب العمل بتغيير مدة التوظيف من طرف واحد بصور</w:t>
      </w:r>
      <w:r>
        <w:rPr>
          <w:rFonts w:hint="cs"/>
          <w:rtl/>
          <w:lang w:bidi="ar-MA"/>
        </w:rPr>
        <w:t>ة غير معقولة. وتشمل سبل الجبر هذه أوامر بإعادة التعيين/إعادة التوظيف (رهنا برضى الطرفين)، أو تسدد مدفوعات نهاية الخدمة.</w:t>
      </w:r>
    </w:p>
    <w:p w:rsidR="00000000" w:rsidRDefault="00443EC1">
      <w:pPr>
        <w:spacing w:line="380" w:lineRule="exact"/>
        <w:jc w:val="both"/>
        <w:rPr>
          <w:rFonts w:hint="cs"/>
          <w:rtl/>
          <w:lang w:bidi="ar-MA"/>
        </w:rPr>
      </w:pPr>
      <w:r>
        <w:rPr>
          <w:rFonts w:hint="cs"/>
          <w:rtl/>
          <w:lang w:bidi="ar-MA"/>
        </w:rPr>
        <w:t>414-</w:t>
      </w:r>
      <w:r>
        <w:rPr>
          <w:rFonts w:hint="cs"/>
          <w:rtl/>
          <w:lang w:bidi="ar-MA"/>
        </w:rPr>
        <w:tab/>
        <w:t xml:space="preserve">كذلك، قد يكون إجبار العمال على تغيير مركزهم كي يعملوا للحساب الخاص دون الحصول على موافقة مسبقة منهم، بمثابة فصل ضمني بموجب القانون </w:t>
      </w:r>
      <w:r>
        <w:rPr>
          <w:rFonts w:hint="cs"/>
          <w:rtl/>
          <w:lang w:bidi="ar-MA"/>
        </w:rPr>
        <w:t xml:space="preserve">العام متى شكل إخلالا جوهريا وأساسيا بالعقد على نحو يتعارض ومصلحة العامل. وباستطاعة العمال، في ظل ظرف مماثل أن يطالبوا بإنهاء العقد والحصول على تعويض بموجب كل من الأمر الخاص بالعمالة وعقود توظيفهم. </w:t>
      </w:r>
    </w:p>
    <w:p w:rsidR="00000000" w:rsidRDefault="00443EC1">
      <w:pPr>
        <w:spacing w:line="380" w:lineRule="exact"/>
        <w:jc w:val="both"/>
        <w:rPr>
          <w:rFonts w:hint="cs"/>
          <w:rtl/>
          <w:lang w:bidi="ar-MA"/>
        </w:rPr>
      </w:pPr>
      <w:r>
        <w:rPr>
          <w:rFonts w:hint="cs"/>
          <w:rtl/>
          <w:lang w:bidi="ar-MA"/>
        </w:rPr>
        <w:t>415-</w:t>
      </w:r>
      <w:r>
        <w:rPr>
          <w:rFonts w:hint="cs"/>
          <w:rtl/>
          <w:lang w:bidi="ar-MA"/>
        </w:rPr>
        <w:tab/>
        <w:t>وتلجأ المحكمة، لدى النظر في مثل هذه الدعاوى، إلى اختب</w:t>
      </w:r>
      <w:r>
        <w:rPr>
          <w:rFonts w:hint="cs"/>
          <w:rtl/>
          <w:lang w:bidi="ar-MA"/>
        </w:rPr>
        <w:t>ارات بغية تحديد الطبيعة الحقيقية لعلاقة العمل. وإذا ظلت العلاقة بين رب العمل والعامل على حالها عقب تغيير مركز العامل (قسرا) إلى عامل للحساب الخاص، يبقى من واجب رب العمل الوفاء بالتزاماته كرب عمل بموجب الأمر الخاص بالعمالة وغيره من التشريعات المتعلقة بالعما</w:t>
      </w:r>
      <w:r>
        <w:rPr>
          <w:rFonts w:hint="cs"/>
          <w:rtl/>
          <w:lang w:bidi="ar-MA"/>
        </w:rPr>
        <w:t>لة.</w:t>
      </w:r>
    </w:p>
    <w:p w:rsidR="00000000" w:rsidRDefault="00443EC1">
      <w:pPr>
        <w:spacing w:line="380" w:lineRule="exact"/>
        <w:jc w:val="both"/>
        <w:rPr>
          <w:rFonts w:hint="cs"/>
          <w:rtl/>
          <w:lang w:bidi="ar-MA"/>
        </w:rPr>
      </w:pPr>
      <w:r>
        <w:rPr>
          <w:rFonts w:hint="cs"/>
          <w:rtl/>
          <w:lang w:bidi="ar-MA"/>
        </w:rPr>
        <w:t>416-</w:t>
      </w:r>
      <w:r>
        <w:rPr>
          <w:rFonts w:hint="cs"/>
          <w:rtl/>
          <w:lang w:bidi="ar-MA"/>
        </w:rPr>
        <w:tab/>
        <w:t>وتحقق وزارة العمل بحزم في أي شكاوى تتعلق بالتحول القسري إلى مركز عامل للحساب الخاص وتقدم خدمات المصالحة للمساعدة على فض النزاعات الناجمة عن ذلك. ويمكن تقديم المطالبات غير المسواة إلى محكمة العمل أو مجلس البت في شكاوى العمل البسيطة (بحسب مبلغ المطا</w:t>
      </w:r>
      <w:r>
        <w:rPr>
          <w:rFonts w:hint="cs"/>
          <w:rtl/>
          <w:lang w:bidi="ar-MA"/>
        </w:rPr>
        <w:t>لبة) كي يُبت فيها. وحيثما يُكتشف إخلال بالأمر الخاص بالعمالة، تتولى الوزارة المقاضاة، رهنا بتوافر ما يكفي من الأدلة وباستعداد العمال المتضررين لأن يكونوا شهودا في القضية.</w:t>
      </w:r>
    </w:p>
    <w:p w:rsidR="00000000" w:rsidRDefault="00443EC1">
      <w:pPr>
        <w:spacing w:line="380" w:lineRule="exact"/>
        <w:jc w:val="both"/>
        <w:rPr>
          <w:rFonts w:hint="cs"/>
          <w:rtl/>
          <w:lang w:bidi="ar-MA"/>
        </w:rPr>
      </w:pPr>
      <w:r>
        <w:rPr>
          <w:rFonts w:hint="cs"/>
          <w:rtl/>
          <w:lang w:bidi="ar-MA"/>
        </w:rPr>
        <w:t>417-</w:t>
      </w:r>
      <w:r>
        <w:rPr>
          <w:rFonts w:hint="cs"/>
          <w:rtl/>
          <w:lang w:bidi="ar-MA"/>
        </w:rPr>
        <w:tab/>
        <w:t>وقال بعض المعلقين إن الأمر الخاص بالعمالة لا يكفل ما يكفي من الحماية للعاملين عل</w:t>
      </w:r>
      <w:r>
        <w:rPr>
          <w:rFonts w:hint="cs"/>
          <w:rtl/>
          <w:lang w:bidi="ar-MA"/>
        </w:rPr>
        <w:t>ى أساس غير متفرغ. والواقع أنه يحق لجميع العمال، بصرف النظر عن عدد ساعات عملهم ونمط توظيفهم، أن يتمتعوا بالحماية والاستحقاقات الأساسية، بما في ذلك دفع الرواتب، وفرض قيود على الخصوم من الرواتب، والعطل القانونية الرسمية، والحماية من التمييز على أساس معاداة ال</w:t>
      </w:r>
      <w:r>
        <w:rPr>
          <w:rFonts w:hint="cs"/>
          <w:rtl/>
          <w:lang w:bidi="ar-MA"/>
        </w:rPr>
        <w:t>نقابات، والحماية من الطرد التعسفي أو غير الشرعي، وبالنسبة للعاملات الحوامل حظر إسناد عمل شاق أو خطر أو مضر.</w:t>
      </w:r>
    </w:p>
    <w:p w:rsidR="00000000" w:rsidRDefault="00443EC1">
      <w:pPr>
        <w:spacing w:line="380" w:lineRule="exact"/>
        <w:jc w:val="both"/>
        <w:rPr>
          <w:rFonts w:hint="cs"/>
          <w:rtl/>
          <w:lang w:bidi="ar-MA"/>
        </w:rPr>
      </w:pPr>
      <w:r>
        <w:rPr>
          <w:rFonts w:hint="cs"/>
          <w:rtl/>
          <w:lang w:bidi="ar-MA"/>
        </w:rPr>
        <w:t>418-</w:t>
      </w:r>
      <w:r>
        <w:rPr>
          <w:rFonts w:hint="cs"/>
          <w:rtl/>
          <w:lang w:bidi="ar-MA"/>
        </w:rPr>
        <w:tab/>
        <w:t>ويحق للعمال الموظفين بموجب عقد مستمر</w:t>
      </w:r>
      <w:r>
        <w:rPr>
          <w:rFonts w:hint="cs"/>
          <w:vertAlign w:val="superscript"/>
          <w:rtl/>
          <w:lang w:bidi="ar-MA"/>
        </w:rPr>
        <w:t>(19)</w:t>
      </w:r>
      <w:r>
        <w:rPr>
          <w:rFonts w:hint="cs"/>
          <w:rtl/>
          <w:lang w:bidi="ar-MA"/>
        </w:rPr>
        <w:t xml:space="preserve"> الحصول على باقي الاستحقاقات القانونية المنصوص عليها في الأمر، رهنا باستيفائهم شرط مدة الخدمة وغير ذلك </w:t>
      </w:r>
      <w:r>
        <w:rPr>
          <w:rFonts w:hint="cs"/>
          <w:rtl/>
          <w:lang w:bidi="ar-MA"/>
        </w:rPr>
        <w:t>من شروط التأهيل. ونلاحظ أن بعض محادثينا يرون في هذه التفرقة حيفا، لكننا نعتقد أن ذلك يقيم توازنا معقولا بين مصالح أرباب العمال ومصالح العمال. وفي الربع الثالث من عام 2001، أجرينا استقصاء لجمع المزيد من المعلومات عن العمال الذين لم يحصلوا على عقود مستمرة. و</w:t>
      </w:r>
      <w:r>
        <w:rPr>
          <w:rFonts w:hint="cs"/>
          <w:rtl/>
          <w:lang w:bidi="ar-MA"/>
        </w:rPr>
        <w:t>لم يخلص الاستقصاء إلى ما يدل على أن عدد الذين يعملون أقل من 18 ساعة في الأسبوع آخذ في الارتفاع. كما لم يخلص إلى ما يدل على أن الحماية القانونية الممنوحة للعمال الموظفين بموجب عقود مستمرة حماية غير كافية.</w:t>
      </w:r>
    </w:p>
    <w:p w:rsidR="00000000" w:rsidRDefault="00443EC1">
      <w:pPr>
        <w:spacing w:line="380" w:lineRule="exact"/>
        <w:jc w:val="both"/>
        <w:rPr>
          <w:rFonts w:hint="cs"/>
          <w:i/>
          <w:iCs/>
          <w:rtl/>
          <w:lang w:bidi="ar-MA"/>
        </w:rPr>
      </w:pPr>
      <w:r>
        <w:rPr>
          <w:rFonts w:hint="cs"/>
          <w:i/>
          <w:iCs/>
          <w:rtl/>
          <w:lang w:bidi="ar-MA"/>
        </w:rPr>
        <w:t>العمال المستوردون والعاملون الأجانب في الخدمة المنزل</w:t>
      </w:r>
      <w:r>
        <w:rPr>
          <w:rFonts w:hint="cs"/>
          <w:i/>
          <w:iCs/>
          <w:rtl/>
          <w:lang w:bidi="ar-MA"/>
        </w:rPr>
        <w:t xml:space="preserve">ية </w:t>
      </w:r>
    </w:p>
    <w:p w:rsidR="00000000" w:rsidRDefault="00443EC1">
      <w:pPr>
        <w:spacing w:line="380" w:lineRule="exact"/>
        <w:jc w:val="both"/>
        <w:rPr>
          <w:rFonts w:hint="cs"/>
          <w:rtl/>
        </w:rPr>
      </w:pPr>
      <w:r>
        <w:rPr>
          <w:rFonts w:hint="cs"/>
          <w:rtl/>
          <w:lang w:bidi="ar-MA"/>
        </w:rPr>
        <w:t>419-</w:t>
      </w:r>
      <w:r>
        <w:rPr>
          <w:rFonts w:hint="cs"/>
          <w:rtl/>
          <w:lang w:bidi="ar-MA"/>
        </w:rPr>
        <w:tab/>
        <w:t xml:space="preserve">أعربت اللجنة في الفقرة 15(و) من ملاحظاتها الختامية عن قلق خاص لكون قاعدة الأسبوعين المفروضة على الأجانب العاملين </w:t>
      </w:r>
      <w:r>
        <w:rPr>
          <w:rFonts w:hint="cs"/>
          <w:rtl/>
        </w:rPr>
        <w:t>في الخدمة المنزلية عند انقضاء فترات عقودهم تحرمهم من حقهم في حرية البحث عن عمل ومن الحماية من التمييز.</w:t>
      </w:r>
    </w:p>
    <w:p w:rsidR="00000000" w:rsidRDefault="00443EC1">
      <w:pPr>
        <w:spacing w:line="380" w:lineRule="exact"/>
        <w:jc w:val="both"/>
        <w:rPr>
          <w:rFonts w:hint="cs"/>
          <w:rtl/>
          <w:lang w:bidi="ar-MA"/>
        </w:rPr>
      </w:pPr>
      <w:r>
        <w:rPr>
          <w:rFonts w:hint="cs"/>
          <w:rtl/>
        </w:rPr>
        <w:t>420-</w:t>
      </w:r>
      <w:r>
        <w:rPr>
          <w:rFonts w:hint="cs"/>
          <w:rtl/>
        </w:rPr>
        <w:tab/>
        <w:t>ونرى أن قاعدة الأسبوعين لا</w:t>
      </w:r>
      <w:r>
        <w:rPr>
          <w:rFonts w:hint="cs"/>
          <w:rtl/>
        </w:rPr>
        <w:t xml:space="preserve"> تتعارض مع حق العاملين في الخدمة المنزلية في التماس الجبر بموجب القانون. وباستطاعتهم أن يستفيدوا من خدمات الصلح المجانية التي تقدمها وزارة العمل في ما يتصل بدعاوى الرواتب غير المدفوعة وغير ذلك من استحقاقات العمل. وباستطاعتهم أيضا رفع دعاوى إلى الهيئات القض</w:t>
      </w:r>
      <w:r>
        <w:rPr>
          <w:rFonts w:hint="cs"/>
          <w:rtl/>
        </w:rPr>
        <w:t>ائية المحلية كمحكمة العمل و</w:t>
      </w:r>
      <w:r>
        <w:rPr>
          <w:rFonts w:hint="cs"/>
          <w:rtl/>
          <w:lang w:bidi="ar-MA"/>
        </w:rPr>
        <w:t xml:space="preserve">مجلس البت في شكاوى العمل البسيطة. وتحقق وزارة العمل في انتهاكات قانون العمل، بغرض ملاحقة أرباب العمل الذين ارتكبوا مخالفات. ويجوز للعاملين في الخدمة المنزلية الذين يلتمسون الجبر أن يطلبوا تمديد الإقامة. ولا تمنع السياسة المتوخاة </w:t>
      </w:r>
      <w:r>
        <w:rPr>
          <w:rFonts w:hint="cs"/>
          <w:rtl/>
          <w:lang w:bidi="ar-MA"/>
        </w:rPr>
        <w:t>العاملين في الخدمة المنزلية الذين تنتهي عقودهم قبل الأوان من العمل في هونغ كونغ مجددا بعد العودة إلى مكان إقامتهم. وقد يُسمح لهم، بحسب الظروف الخاصة بكل حالة، تغيير العمل دون العودة إلى مكان إقامتهم.</w:t>
      </w:r>
    </w:p>
    <w:p w:rsidR="00000000" w:rsidRDefault="00443EC1">
      <w:pPr>
        <w:spacing w:line="380" w:lineRule="exact"/>
        <w:jc w:val="both"/>
        <w:rPr>
          <w:rFonts w:hint="cs"/>
          <w:rtl/>
          <w:lang w:bidi="ar-MA"/>
        </w:rPr>
      </w:pPr>
      <w:r>
        <w:rPr>
          <w:rFonts w:hint="cs"/>
          <w:rtl/>
          <w:lang w:bidi="ar-MA"/>
        </w:rPr>
        <w:t>421-</w:t>
      </w:r>
      <w:r>
        <w:rPr>
          <w:rFonts w:hint="cs"/>
          <w:rtl/>
          <w:lang w:bidi="ar-MA"/>
        </w:rPr>
        <w:tab/>
        <w:t>وأعرب المعلقون عن انشغالهم إزاء عدم دفع الرواتب ونق</w:t>
      </w:r>
      <w:r>
        <w:rPr>
          <w:rFonts w:hint="cs"/>
          <w:rtl/>
          <w:lang w:bidi="ar-MA"/>
        </w:rPr>
        <w:t>ص الرواتب. ويتعرض أرباب العمل الذين يتعمدون بلا أي عذر معقول عدم دفع الرواتب المستحقة للعمال للملاحقة، ولدفع غرامة بمبلغ 000 200 دولار من دولارات هونغ كونغ والحبس مدة سنة إذا ما أدينوا. كما يجب عليهم أن يدفعوا لعمالهم فائدة عن المبلغ المستحق</w:t>
      </w:r>
      <w:r>
        <w:rPr>
          <w:rFonts w:hint="cs"/>
          <w:vertAlign w:val="superscript"/>
          <w:rtl/>
          <w:lang w:bidi="ar-MA"/>
        </w:rPr>
        <w:t>(20)</w:t>
      </w:r>
      <w:r>
        <w:rPr>
          <w:rFonts w:hint="cs"/>
          <w:rtl/>
          <w:lang w:bidi="ar-MA"/>
        </w:rPr>
        <w:t>. وتتخذ الح</w:t>
      </w:r>
      <w:r>
        <w:rPr>
          <w:rFonts w:hint="cs"/>
          <w:rtl/>
          <w:lang w:bidi="ar-MA"/>
        </w:rPr>
        <w:t xml:space="preserve">كومة موقفا صارما من هذه القضايا، وتقوم وزارة العمل بزيارات تفتيش متواترة إلى </w:t>
      </w:r>
      <w:r>
        <w:rPr>
          <w:rFonts w:hint="cs"/>
          <w:spacing w:val="2"/>
          <w:rtl/>
          <w:lang w:bidi="ar-MA"/>
        </w:rPr>
        <w:t>أماكن العمل من قبيل حظائر البناء وخدمات المطاعم، للكشف عن مخالفات الأجور. وتتولى الوزارة التحقيق على الفور في الحالات المشتبه في انطوائها على خرق للقانون واتخاذ إجراءات الملاحقة م</w:t>
      </w:r>
      <w:r>
        <w:rPr>
          <w:rFonts w:hint="cs"/>
          <w:spacing w:val="2"/>
          <w:rtl/>
          <w:lang w:bidi="ar-MA"/>
        </w:rPr>
        <w:t>تى توافر لديها ما يكفي من</w:t>
      </w:r>
      <w:r>
        <w:rPr>
          <w:rFonts w:hint="cs"/>
          <w:rtl/>
          <w:lang w:bidi="ar-MA"/>
        </w:rPr>
        <w:t xml:space="preserve"> الأدلة. </w:t>
      </w:r>
    </w:p>
    <w:p w:rsidR="00000000" w:rsidRDefault="00443EC1">
      <w:pPr>
        <w:spacing w:line="380" w:lineRule="exact"/>
        <w:jc w:val="both"/>
        <w:rPr>
          <w:rFonts w:hint="cs"/>
          <w:rtl/>
          <w:lang w:bidi="ar-MA"/>
        </w:rPr>
      </w:pPr>
      <w:r>
        <w:rPr>
          <w:rFonts w:hint="cs"/>
          <w:rtl/>
          <w:lang w:bidi="ar-MA"/>
        </w:rPr>
        <w:t>422-</w:t>
      </w:r>
      <w:r>
        <w:rPr>
          <w:rFonts w:hint="cs"/>
          <w:rtl/>
          <w:lang w:bidi="ar-MA"/>
        </w:rPr>
        <w:tab/>
        <w:t>وهكذا، فمن الضروري أن يقدم العمال الذين لم تُدفع أجورهم شكاوى إلى الوزارة وأن يكونوا على استعداد للإدلاء بشهاداتهم في القضية. وبناء عليه، تذكّر برامج الوزارة القائمة أرباب العمل بوجوب دفع الأجور في أوانها وتحث العمال</w:t>
      </w:r>
      <w:r>
        <w:rPr>
          <w:rFonts w:hint="cs"/>
          <w:rtl/>
          <w:lang w:bidi="ar-MA"/>
        </w:rPr>
        <w:t xml:space="preserve"> على الإسراع بتقديم الشكاوى والمثول كشهود. وتحمي المادة 72 - باء من الأمر الخاص بالعمالة العمال الذين يقدمون على ذلك، إذ تمنع أرباب العمل من طرد العمال أو التمييز ضدهم بأي شكل من الأشكال على أساس تقديمهم أدلة أو معلومات في إجراء أو تحقيق يتصل بإنفاذ الأمر.</w:t>
      </w:r>
      <w:r>
        <w:rPr>
          <w:rFonts w:hint="cs"/>
          <w:rtl/>
          <w:lang w:bidi="ar-MA"/>
        </w:rPr>
        <w:t xml:space="preserve"> </w:t>
      </w:r>
    </w:p>
    <w:p w:rsidR="00000000" w:rsidRDefault="00443EC1">
      <w:pPr>
        <w:spacing w:line="380" w:lineRule="exact"/>
        <w:jc w:val="both"/>
        <w:rPr>
          <w:rFonts w:hint="cs"/>
          <w:rtl/>
          <w:lang w:bidi="ar-MA"/>
        </w:rPr>
      </w:pPr>
      <w:r>
        <w:rPr>
          <w:rFonts w:hint="cs"/>
          <w:rtl/>
          <w:lang w:bidi="ar-MA"/>
        </w:rPr>
        <w:t>423-</w:t>
      </w:r>
      <w:r>
        <w:rPr>
          <w:rFonts w:hint="cs"/>
          <w:rtl/>
          <w:lang w:bidi="ar-MA"/>
        </w:rPr>
        <w:tab/>
        <w:t>وفي عام 2002، كثفت الوزارة إجراءات الإنفاذ وارتفع عدد جلسات الاستماع ذات الصلة بمخالفات الأجور إلى 198 جلسة مقابل 95 جلسة في عام 2001، وهو ما يمثل ارتفاعا بنسبة 108 في المائة. وبلغت حالات الإدانة 139 حالة في عام 2002 مقابل 75 حالة في عام 2001، وهو م</w:t>
      </w:r>
      <w:r>
        <w:rPr>
          <w:rFonts w:hint="cs"/>
          <w:rtl/>
          <w:lang w:bidi="ar-MA"/>
        </w:rPr>
        <w:t>ا يمثل ارتفاعا بنسبة 85 في المائة. وفي شهر أيلول/سبتمبر 2002، أنشأت الحكومة وحدة التحقيق في شكاوى العمل كي تقوم بتحقيقات سريعة ومعمقة في الحالات التي يشتبه في انطوائها على إخلال بالأمر الخاص بالعمالة لتبدأ الملاحقة دون تأخير.</w:t>
      </w:r>
    </w:p>
    <w:p w:rsidR="00000000" w:rsidRDefault="00443EC1">
      <w:pPr>
        <w:spacing w:line="380" w:lineRule="exact"/>
        <w:jc w:val="both"/>
        <w:rPr>
          <w:rFonts w:hint="cs"/>
          <w:rtl/>
          <w:lang w:bidi="ar-MA"/>
        </w:rPr>
      </w:pPr>
      <w:r>
        <w:rPr>
          <w:rFonts w:hint="cs"/>
          <w:rtl/>
          <w:lang w:bidi="ar-MA"/>
        </w:rPr>
        <w:t>424-</w:t>
      </w:r>
      <w:r>
        <w:rPr>
          <w:rFonts w:hint="cs"/>
          <w:rtl/>
          <w:lang w:bidi="ar-MA"/>
        </w:rPr>
        <w:tab/>
        <w:t>وأعرب المعلقون أيضا عن قل</w:t>
      </w:r>
      <w:r>
        <w:rPr>
          <w:rFonts w:hint="cs"/>
          <w:rtl/>
          <w:lang w:bidi="ar-MA"/>
        </w:rPr>
        <w:t xml:space="preserve">قهم بشأن احتمال إساءة استعمال صندوق حماية الأجور في حالة الإعسار، الذي أنشئ بمقتضى الأمر الخاص بحماية الأجور في حالة الإعسار (الفصل 380) والذي نوقش في الفقرة 115 من التقرير الأولي. </w:t>
      </w:r>
    </w:p>
    <w:p w:rsidR="00000000" w:rsidRDefault="00443EC1">
      <w:pPr>
        <w:spacing w:line="380" w:lineRule="exact"/>
        <w:jc w:val="both"/>
        <w:rPr>
          <w:rFonts w:hint="cs"/>
          <w:rtl/>
          <w:lang w:bidi="ar-MA"/>
        </w:rPr>
      </w:pPr>
      <w:r>
        <w:rPr>
          <w:rFonts w:hint="cs"/>
          <w:rtl/>
          <w:lang w:bidi="ar-MA"/>
        </w:rPr>
        <w:t>425-</w:t>
      </w:r>
      <w:r>
        <w:rPr>
          <w:rFonts w:hint="cs"/>
          <w:rtl/>
          <w:lang w:bidi="ar-MA"/>
        </w:rPr>
        <w:tab/>
        <w:t>ويبدو أن بواعث القلق ناجمة عن الزيادة الملحوظة في المطالبات المقدمة إ</w:t>
      </w:r>
      <w:r>
        <w:rPr>
          <w:rFonts w:hint="cs"/>
          <w:rtl/>
          <w:lang w:bidi="ar-MA"/>
        </w:rPr>
        <w:t>لى الصندوق عام 2002، إذ بلغ عددها023 23 مطالبة، وهو ما يمثل زيادة بنسبة 27.6 في المائة مقارنة بعام 2001. وتعزى هذه الزيادة بالأساس إلى إعسار مجموعة مطاعم كبيرة في شهر تموز/يوليه 2002، وهو ما تسبب لوحده في نحو 100 2 مطالبة. وإذا ما خُصمت هذه الحالة، يغدو مع</w:t>
      </w:r>
      <w:r>
        <w:rPr>
          <w:rFonts w:hint="cs"/>
          <w:rtl/>
          <w:lang w:bidi="ar-MA"/>
        </w:rPr>
        <w:t xml:space="preserve">دل الزيادة نحو  16 في المائة. وثمة ارتباط وثيق بين عدد المطالبات المقدمة إلى الصندوق وحالة الاقتصاد، ويعكس الارتفاع المسجل عام 2002 بالفعل بيئة الأعمال الصعبة أكثر مما يعكس زيادة في سوء استعمال الصندوق. وتتخذ وزارة العمل، عدا ذلك، موقفا حازما من حالات سوء </w:t>
      </w:r>
      <w:r>
        <w:rPr>
          <w:rFonts w:hint="cs"/>
          <w:rtl/>
          <w:lang w:bidi="ar-MA"/>
        </w:rPr>
        <w:t>الاستعمال هذه، كما تعتمد إجراءات صارمة لمعالجة كل المطالبات. وعلاوة على ذلك، أنشئ، مؤخرا، فريق عمل خاص يضم مكتب شرطة الجرائم التجارية ومكتب القابض الرسمي وإدارة المساعدة القانونية ووزارة العمل، بغية منع أي تجاوزات.</w:t>
      </w:r>
    </w:p>
    <w:p w:rsidR="00000000" w:rsidRDefault="00443EC1">
      <w:pPr>
        <w:spacing w:line="380" w:lineRule="exact"/>
        <w:jc w:val="both"/>
        <w:rPr>
          <w:rFonts w:hint="cs"/>
          <w:rtl/>
          <w:lang w:bidi="ar-MA"/>
        </w:rPr>
      </w:pPr>
      <w:r>
        <w:rPr>
          <w:rFonts w:hint="cs"/>
          <w:rtl/>
          <w:lang w:bidi="ar-MA"/>
        </w:rPr>
        <w:t>426-</w:t>
      </w:r>
      <w:r>
        <w:rPr>
          <w:rFonts w:hint="cs"/>
          <w:rtl/>
          <w:lang w:bidi="ar-MA"/>
        </w:rPr>
        <w:tab/>
        <w:t>وطالب المعلقون بتوفير المشورة النفسي</w:t>
      </w:r>
      <w:r>
        <w:rPr>
          <w:rFonts w:hint="cs"/>
          <w:rtl/>
          <w:lang w:bidi="ar-MA"/>
        </w:rPr>
        <w:t>ة للعمال المتضررين وأسرهم. وهذه المشورة متوفرة، في الواقع، لدى الوحدات الطبية الخاصة بالخدمات الاجتماعية في المستشفيات ومراكز خدمة الأسرة. وباستطاعة الأشخاص الذين يلتمسون المشورة بطبيعة الحال أن يطلبوها مباشرة. إلا أن موظفي وزارة العمل يبقون على اتصال وثيق</w:t>
      </w:r>
      <w:r>
        <w:rPr>
          <w:rFonts w:hint="cs"/>
          <w:rtl/>
          <w:lang w:bidi="ar-MA"/>
        </w:rPr>
        <w:t xml:space="preserve"> بالعمال المتضررين وأسر العمال المتوفين ويرشدونهم إلى المشورة إذا كانوا في حاجة إلى هذه الخدمات. </w:t>
      </w:r>
    </w:p>
    <w:p w:rsidR="00000000" w:rsidRDefault="00443EC1">
      <w:pPr>
        <w:spacing w:line="380" w:lineRule="exact"/>
        <w:jc w:val="center"/>
        <w:rPr>
          <w:rFonts w:hint="cs"/>
          <w:b/>
          <w:bCs/>
          <w:rtl/>
        </w:rPr>
      </w:pPr>
      <w:r>
        <w:rPr>
          <w:rFonts w:hint="cs"/>
          <w:b/>
          <w:bCs/>
          <w:rtl/>
        </w:rPr>
        <w:t>حاء - المادة 8</w:t>
      </w:r>
    </w:p>
    <w:p w:rsidR="00000000" w:rsidRDefault="00443EC1">
      <w:pPr>
        <w:spacing w:line="380" w:lineRule="exact"/>
        <w:jc w:val="center"/>
        <w:rPr>
          <w:rFonts w:hint="cs"/>
          <w:b/>
          <w:bCs/>
          <w:rtl/>
        </w:rPr>
      </w:pPr>
      <w:r>
        <w:rPr>
          <w:rFonts w:hint="cs"/>
          <w:b/>
          <w:bCs/>
          <w:rtl/>
        </w:rPr>
        <w:t>الحق في الانضمام إلى النقابات</w:t>
      </w:r>
    </w:p>
    <w:p w:rsidR="00000000" w:rsidRDefault="00443EC1">
      <w:pPr>
        <w:spacing w:line="380" w:lineRule="exact"/>
        <w:jc w:val="both"/>
        <w:rPr>
          <w:rFonts w:hint="cs"/>
          <w:u w:val="single"/>
          <w:rtl/>
        </w:rPr>
      </w:pPr>
      <w:r>
        <w:rPr>
          <w:rFonts w:hint="cs"/>
          <w:u w:val="single"/>
          <w:rtl/>
        </w:rPr>
        <w:t xml:space="preserve">اتفاقيات العمل الدولية </w:t>
      </w:r>
    </w:p>
    <w:p w:rsidR="00000000" w:rsidRDefault="00443EC1">
      <w:pPr>
        <w:spacing w:line="380" w:lineRule="exact"/>
        <w:jc w:val="both"/>
        <w:rPr>
          <w:rtl/>
        </w:rPr>
      </w:pPr>
      <w:r>
        <w:rPr>
          <w:rFonts w:hint="cs"/>
          <w:rtl/>
        </w:rPr>
        <w:t>427</w:t>
      </w:r>
      <w:r>
        <w:rPr>
          <w:rtl/>
        </w:rPr>
        <w:t>-</w:t>
      </w:r>
      <w:r>
        <w:rPr>
          <w:rtl/>
        </w:rPr>
        <w:tab/>
        <w:t xml:space="preserve">قدمت معلومات متصلة بهذه المادة في التقارير التالية المقدمة </w:t>
      </w:r>
      <w:r>
        <w:rPr>
          <w:rFonts w:hint="cs"/>
          <w:rtl/>
        </w:rPr>
        <w:t>إلى منظمة</w:t>
      </w:r>
      <w:r>
        <w:rPr>
          <w:rtl/>
        </w:rPr>
        <w:t xml:space="preserve"> العمل الدولية:</w:t>
      </w:r>
    </w:p>
    <w:p w:rsidR="00000000" w:rsidRDefault="00443EC1">
      <w:pPr>
        <w:spacing w:line="380" w:lineRule="exact"/>
        <w:jc w:val="both"/>
        <w:rPr>
          <w:rtl/>
        </w:rPr>
      </w:pPr>
      <w:r>
        <w:rPr>
          <w:rtl/>
        </w:rPr>
        <w:tab/>
        <w:t>(أ)</w:t>
      </w:r>
      <w:r>
        <w:rPr>
          <w:rtl/>
        </w:rPr>
        <w:tab/>
        <w:t>التقرير</w:t>
      </w:r>
      <w:r>
        <w:rPr>
          <w:rFonts w:hint="cs"/>
          <w:rtl/>
        </w:rPr>
        <w:t>ان</w:t>
      </w:r>
      <w:r>
        <w:rPr>
          <w:rtl/>
        </w:rPr>
        <w:t xml:space="preserve"> المقدم</w:t>
      </w:r>
      <w:r>
        <w:rPr>
          <w:rFonts w:hint="cs"/>
          <w:rtl/>
        </w:rPr>
        <w:t>ان</w:t>
      </w:r>
      <w:r>
        <w:rPr>
          <w:rtl/>
        </w:rPr>
        <w:t xml:space="preserve"> عملا بالمادة 22 </w:t>
      </w:r>
      <w:r>
        <w:rPr>
          <w:rFonts w:hint="cs"/>
          <w:rtl/>
        </w:rPr>
        <w:t>والمتعلقان ب</w:t>
      </w:r>
      <w:r>
        <w:rPr>
          <w:rtl/>
        </w:rPr>
        <w:t xml:space="preserve">اتفاقية حق التجمع (الزراعة) (الاتفاقية رقم 11) عن الفترة من </w:t>
      </w:r>
      <w:r>
        <w:rPr>
          <w:rFonts w:hint="cs"/>
          <w:rtl/>
        </w:rPr>
        <w:t xml:space="preserve">1 تموز/يوليه </w:t>
      </w:r>
      <w:r>
        <w:rPr>
          <w:rtl/>
        </w:rPr>
        <w:t>1994</w:t>
      </w:r>
      <w:r>
        <w:rPr>
          <w:rFonts w:hint="cs"/>
          <w:rtl/>
        </w:rPr>
        <w:t xml:space="preserve"> إلى 31 أيار/مايو 1999 والفترة</w:t>
      </w:r>
      <w:r>
        <w:rPr>
          <w:rFonts w:hint="cs"/>
          <w:rtl/>
          <w:lang w:bidi="ar-MA"/>
        </w:rPr>
        <w:t xml:space="preserve"> من</w:t>
      </w:r>
      <w:r>
        <w:rPr>
          <w:rFonts w:hint="cs"/>
          <w:rtl/>
        </w:rPr>
        <w:t xml:space="preserve"> 1 حزيران/يونيه 1999 إلى</w:t>
      </w:r>
      <w:r>
        <w:rPr>
          <w:rFonts w:hint="cs"/>
          <w:rtl/>
          <w:lang w:bidi="ar-MA"/>
        </w:rPr>
        <w:t xml:space="preserve"> 31 </w:t>
      </w:r>
      <w:r>
        <w:rPr>
          <w:rFonts w:hint="cs"/>
          <w:rtl/>
        </w:rPr>
        <w:t>أيار/مايو 2001</w:t>
      </w:r>
      <w:r>
        <w:rPr>
          <w:rtl/>
        </w:rPr>
        <w:t>؛</w:t>
      </w:r>
    </w:p>
    <w:p w:rsidR="00000000" w:rsidRDefault="00443EC1">
      <w:pPr>
        <w:spacing w:line="380" w:lineRule="exact"/>
        <w:jc w:val="both"/>
        <w:rPr>
          <w:rFonts w:hint="cs"/>
          <w:rtl/>
        </w:rPr>
      </w:pPr>
      <w:r>
        <w:rPr>
          <w:rtl/>
        </w:rPr>
        <w:tab/>
        <w:t>(ب)</w:t>
      </w:r>
      <w:r>
        <w:rPr>
          <w:rtl/>
        </w:rPr>
        <w:tab/>
        <w:t>التقرير</w:t>
      </w:r>
      <w:r>
        <w:rPr>
          <w:rFonts w:hint="cs"/>
          <w:rtl/>
          <w:lang w:bidi="ar-MA"/>
        </w:rPr>
        <w:t>ان</w:t>
      </w:r>
      <w:r>
        <w:rPr>
          <w:rtl/>
        </w:rPr>
        <w:t xml:space="preserve"> المقدم</w:t>
      </w:r>
      <w:r>
        <w:rPr>
          <w:rFonts w:hint="cs"/>
          <w:rtl/>
          <w:lang w:bidi="ar-MA"/>
        </w:rPr>
        <w:t>ان</w:t>
      </w:r>
      <w:r>
        <w:rPr>
          <w:rtl/>
        </w:rPr>
        <w:t xml:space="preserve"> عملاً بالمادة 22 عن اتفاقي</w:t>
      </w:r>
      <w:r>
        <w:rPr>
          <w:rtl/>
        </w:rPr>
        <w:t>ة حق التنظيم والمفاوضة الجماعية (الاتفاقية رقم 98) عن الفترة من</w:t>
      </w:r>
      <w:r>
        <w:rPr>
          <w:rFonts w:hint="cs"/>
          <w:rtl/>
          <w:lang w:bidi="ar-MA"/>
        </w:rPr>
        <w:t xml:space="preserve"> 1 كانون الثاني/يناير 1997 إلى 31 أيار/مايو 1999 والفترة من 1 حزيران/يونيه 1999 إلى 31 أيار/مايو 2001</w:t>
      </w:r>
      <w:r>
        <w:rPr>
          <w:rtl/>
        </w:rPr>
        <w:t>؛</w:t>
      </w:r>
    </w:p>
    <w:p w:rsidR="00000000" w:rsidRDefault="00443EC1">
      <w:pPr>
        <w:spacing w:line="380" w:lineRule="exact"/>
        <w:jc w:val="both"/>
        <w:rPr>
          <w:rtl/>
        </w:rPr>
      </w:pPr>
      <w:r>
        <w:rPr>
          <w:rtl/>
        </w:rPr>
        <w:tab/>
        <w:t>(ج)</w:t>
      </w:r>
      <w:r>
        <w:rPr>
          <w:rtl/>
        </w:rPr>
        <w:tab/>
        <w:t>التقرير المقدم عملاً بالمادة 22 عن اتفاقية منظمات العمال الريفيين (الاتفاقية رقم 141)</w:t>
      </w:r>
      <w:r>
        <w:rPr>
          <w:rtl/>
        </w:rPr>
        <w:t xml:space="preserve"> عن الفترة من </w:t>
      </w:r>
      <w:r>
        <w:rPr>
          <w:rFonts w:hint="cs"/>
          <w:rtl/>
          <w:lang w:bidi="ar-MA"/>
        </w:rPr>
        <w:t>1 كانون الثاني/يناير 1997 إلى 31 أيار/مايو 2002</w:t>
      </w:r>
      <w:r>
        <w:rPr>
          <w:rtl/>
        </w:rPr>
        <w:t>؛</w:t>
      </w:r>
    </w:p>
    <w:p w:rsidR="00000000" w:rsidRDefault="00443EC1">
      <w:pPr>
        <w:spacing w:line="380" w:lineRule="exact"/>
        <w:jc w:val="both"/>
        <w:rPr>
          <w:rtl/>
        </w:rPr>
      </w:pPr>
      <w:r>
        <w:rPr>
          <w:rtl/>
        </w:rPr>
        <w:tab/>
        <w:t>(د)</w:t>
      </w:r>
      <w:r>
        <w:rPr>
          <w:rtl/>
        </w:rPr>
        <w:tab/>
        <w:t>التقرير</w:t>
      </w:r>
      <w:r>
        <w:rPr>
          <w:rFonts w:hint="cs"/>
          <w:rtl/>
          <w:lang w:bidi="ar-MA"/>
        </w:rPr>
        <w:t>ان</w:t>
      </w:r>
      <w:r>
        <w:rPr>
          <w:rtl/>
        </w:rPr>
        <w:t xml:space="preserve"> المقدم</w:t>
      </w:r>
      <w:r>
        <w:rPr>
          <w:rFonts w:hint="cs"/>
          <w:rtl/>
          <w:lang w:bidi="ar-MA"/>
        </w:rPr>
        <w:t>ان</w:t>
      </w:r>
      <w:r>
        <w:rPr>
          <w:rtl/>
        </w:rPr>
        <w:t xml:space="preserve"> عملاً بالمادة 22 عن اتفاقية علاقات العمل </w:t>
      </w:r>
      <w:r>
        <w:rPr>
          <w:rFonts w:hint="cs"/>
          <w:rtl/>
        </w:rPr>
        <w:t>(</w:t>
      </w:r>
      <w:r>
        <w:rPr>
          <w:rtl/>
        </w:rPr>
        <w:t>في الخدمة العامة</w:t>
      </w:r>
      <w:r>
        <w:rPr>
          <w:rFonts w:hint="cs"/>
          <w:rtl/>
        </w:rPr>
        <w:t>)</w:t>
      </w:r>
      <w:r>
        <w:rPr>
          <w:rtl/>
        </w:rPr>
        <w:t xml:space="preserve"> (الاتفاقية رقم 151) عن الفترة من</w:t>
      </w:r>
      <w:r>
        <w:rPr>
          <w:rFonts w:hint="cs"/>
          <w:rtl/>
          <w:lang w:bidi="ar-MA"/>
        </w:rPr>
        <w:t xml:space="preserve"> 1 كانون الثاني/يناير 1996 إلى 31 أيار/مايو 1999 والفترة من 1 حزيران/يونيه 19</w:t>
      </w:r>
      <w:r>
        <w:rPr>
          <w:rFonts w:hint="cs"/>
          <w:rtl/>
          <w:lang w:bidi="ar-MA"/>
        </w:rPr>
        <w:t>99 إلى 31 أيار/مايو 2001</w:t>
      </w:r>
      <w:r>
        <w:rPr>
          <w:rtl/>
        </w:rPr>
        <w:t>؛</w:t>
      </w:r>
    </w:p>
    <w:p w:rsidR="00000000" w:rsidRDefault="00443EC1">
      <w:pPr>
        <w:spacing w:line="380" w:lineRule="exact"/>
        <w:jc w:val="both"/>
        <w:rPr>
          <w:rFonts w:hint="cs"/>
          <w:rtl/>
          <w:lang w:bidi="ar-MA"/>
        </w:rPr>
      </w:pPr>
      <w:r>
        <w:rPr>
          <w:rtl/>
        </w:rPr>
        <w:tab/>
        <w:t>(</w:t>
      </w:r>
      <w:r>
        <w:rPr>
          <w:rFonts w:hint="cs"/>
          <w:rtl/>
        </w:rPr>
        <w:t>ه‍)</w:t>
      </w:r>
      <w:r>
        <w:rPr>
          <w:rtl/>
        </w:rPr>
        <w:tab/>
        <w:t>التقرير</w:t>
      </w:r>
      <w:r>
        <w:rPr>
          <w:rFonts w:hint="cs"/>
          <w:rtl/>
          <w:lang w:bidi="ar-MA"/>
        </w:rPr>
        <w:t>ان</w:t>
      </w:r>
      <w:r>
        <w:rPr>
          <w:rtl/>
        </w:rPr>
        <w:t xml:space="preserve"> المقدم</w:t>
      </w:r>
      <w:r>
        <w:rPr>
          <w:rFonts w:hint="cs"/>
          <w:rtl/>
          <w:lang w:bidi="ar-MA"/>
        </w:rPr>
        <w:t>ان</w:t>
      </w:r>
      <w:r>
        <w:rPr>
          <w:rtl/>
        </w:rPr>
        <w:t xml:space="preserve"> عملاً بالمادة 22 عن اتفاقية الحرية النقابية وحماية حق التنظيم (الاتفاقية رقم 87) عن الفترة من</w:t>
      </w:r>
      <w:r>
        <w:rPr>
          <w:rFonts w:hint="cs"/>
          <w:rtl/>
          <w:lang w:bidi="ar-MA"/>
        </w:rPr>
        <w:t xml:space="preserve"> 1 حزيران/يونيه 1998 إلى 31 أيار/مايو 2000 والفترة من 1 حزيران/يونيه 2000 إلى 31 أيار/مايو 2002</w:t>
      </w:r>
      <w:r>
        <w:rPr>
          <w:rtl/>
        </w:rPr>
        <w:t>.</w:t>
      </w:r>
    </w:p>
    <w:p w:rsidR="00000000" w:rsidRDefault="00443EC1">
      <w:pPr>
        <w:spacing w:line="380" w:lineRule="exact"/>
        <w:jc w:val="both"/>
        <w:rPr>
          <w:rFonts w:hint="cs"/>
          <w:i/>
          <w:iCs/>
          <w:rtl/>
          <w:lang w:bidi="ar-MA"/>
        </w:rPr>
      </w:pPr>
      <w:r>
        <w:rPr>
          <w:rFonts w:hint="cs"/>
          <w:i/>
          <w:iCs/>
          <w:rtl/>
          <w:lang w:bidi="ar-MA"/>
        </w:rPr>
        <w:t>الأمر الخاص بال</w:t>
      </w:r>
      <w:r>
        <w:rPr>
          <w:rFonts w:hint="cs"/>
          <w:i/>
          <w:iCs/>
          <w:rtl/>
          <w:lang w:bidi="ar-MA"/>
        </w:rPr>
        <w:t>نقابات</w:t>
      </w:r>
    </w:p>
    <w:p w:rsidR="00000000" w:rsidRDefault="00443EC1">
      <w:pPr>
        <w:spacing w:line="380" w:lineRule="exact"/>
        <w:jc w:val="both"/>
        <w:rPr>
          <w:rFonts w:hint="cs"/>
          <w:rtl/>
          <w:lang w:bidi="ar-MA"/>
        </w:rPr>
      </w:pPr>
      <w:r>
        <w:rPr>
          <w:rFonts w:hint="cs"/>
          <w:rtl/>
          <w:lang w:bidi="ar-MA"/>
        </w:rPr>
        <w:t>428-</w:t>
      </w:r>
      <w:r>
        <w:rPr>
          <w:rFonts w:hint="cs"/>
          <w:rtl/>
          <w:lang w:bidi="ar-MA"/>
        </w:rPr>
        <w:tab/>
        <w:t>يبقى الوضع عموما كما تقدم شرحه في الفقرات من 120 إلى 126 من التقرير الأولي.</w:t>
      </w:r>
    </w:p>
    <w:p w:rsidR="00000000" w:rsidRDefault="00443EC1">
      <w:pPr>
        <w:spacing w:line="380" w:lineRule="exact"/>
        <w:jc w:val="both"/>
        <w:rPr>
          <w:rFonts w:hint="cs"/>
          <w:i/>
          <w:iCs/>
          <w:rtl/>
          <w:lang w:bidi="ar-MA"/>
        </w:rPr>
      </w:pPr>
      <w:r>
        <w:rPr>
          <w:rFonts w:hint="cs"/>
          <w:i/>
          <w:iCs/>
          <w:rtl/>
          <w:lang w:bidi="ar-MA"/>
        </w:rPr>
        <w:t>عدد النقابات وأعضاؤها</w:t>
      </w:r>
    </w:p>
    <w:p w:rsidR="00000000" w:rsidRDefault="00443EC1">
      <w:pPr>
        <w:spacing w:line="380" w:lineRule="exact"/>
        <w:jc w:val="both"/>
        <w:rPr>
          <w:rFonts w:hint="cs"/>
          <w:rtl/>
          <w:lang w:bidi="ar-MA"/>
        </w:rPr>
      </w:pPr>
      <w:r>
        <w:rPr>
          <w:rFonts w:hint="cs"/>
          <w:rtl/>
          <w:lang w:bidi="ar-MA"/>
        </w:rPr>
        <w:t>429-</w:t>
      </w:r>
      <w:r>
        <w:rPr>
          <w:rFonts w:hint="cs"/>
          <w:rtl/>
          <w:lang w:bidi="ar-MA"/>
        </w:rPr>
        <w:tab/>
        <w:t>فيما يلي عدد نقابات العمـال وعدد أعضاؤها المعلن عنهم في هونغ كونغ حتى 31 كانون الأول/ديسمبر 2001:</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0"/>
        <w:gridCol w:w="1620"/>
        <w:gridCol w:w="1910"/>
      </w:tblGrid>
      <w:tr w:rsidR="00443EC1" w:rsidTr="00443EC1">
        <w:trPr>
          <w:cantSplit/>
          <w:jc w:val="center"/>
        </w:trPr>
        <w:tc>
          <w:tcPr>
            <w:tcW w:w="5580" w:type="dxa"/>
            <w:vMerge w:val="restart"/>
          </w:tcPr>
          <w:p w:rsidR="00443EC1" w:rsidRDefault="00443EC1">
            <w:pPr>
              <w:spacing w:before="0" w:after="0" w:line="320" w:lineRule="exact"/>
              <w:jc w:val="center"/>
              <w:rPr>
                <w:rFonts w:hint="cs"/>
                <w:sz w:val="28"/>
                <w:szCs w:val="28"/>
                <w:rtl/>
                <w:lang w:bidi="ar-MA"/>
              </w:rPr>
            </w:pPr>
          </w:p>
          <w:p w:rsidR="00443EC1" w:rsidRDefault="00443EC1">
            <w:pPr>
              <w:spacing w:before="0" w:after="0" w:line="320" w:lineRule="exact"/>
              <w:jc w:val="center"/>
              <w:rPr>
                <w:sz w:val="28"/>
                <w:szCs w:val="28"/>
              </w:rPr>
            </w:pPr>
            <w:r>
              <w:rPr>
                <w:rFonts w:hint="cs"/>
                <w:sz w:val="28"/>
                <w:szCs w:val="28"/>
                <w:rtl/>
                <w:lang w:bidi="ar-MA"/>
              </w:rPr>
              <w:t>القطاع الاقتصادي</w:t>
            </w:r>
          </w:p>
        </w:tc>
        <w:tc>
          <w:tcPr>
            <w:tcW w:w="3530" w:type="dxa"/>
            <w:gridSpan w:val="2"/>
          </w:tcPr>
          <w:p w:rsidR="00443EC1" w:rsidRDefault="00443EC1">
            <w:pPr>
              <w:spacing w:before="0" w:after="0" w:line="320" w:lineRule="exact"/>
              <w:jc w:val="center"/>
              <w:rPr>
                <w:rFonts w:hint="cs"/>
                <w:sz w:val="28"/>
                <w:szCs w:val="28"/>
                <w:lang w:bidi="ar-MA"/>
              </w:rPr>
            </w:pPr>
            <w:r>
              <w:rPr>
                <w:rFonts w:hint="cs"/>
                <w:sz w:val="28"/>
                <w:szCs w:val="28"/>
                <w:rtl/>
                <w:lang w:bidi="ar-MA"/>
              </w:rPr>
              <w:t>2001</w:t>
            </w:r>
          </w:p>
        </w:tc>
      </w:tr>
      <w:tr w:rsidR="00443EC1" w:rsidTr="00443EC1">
        <w:trPr>
          <w:cantSplit/>
          <w:trHeight w:val="268"/>
          <w:jc w:val="center"/>
        </w:trPr>
        <w:tc>
          <w:tcPr>
            <w:tcW w:w="5580" w:type="dxa"/>
            <w:vMerge/>
          </w:tcPr>
          <w:p w:rsidR="00443EC1" w:rsidRDefault="00443EC1">
            <w:pPr>
              <w:spacing w:before="0" w:after="0" w:line="320" w:lineRule="exact"/>
              <w:jc w:val="both"/>
              <w:rPr>
                <w:rFonts w:hint="cs"/>
                <w:sz w:val="28"/>
                <w:szCs w:val="28"/>
                <w:rtl/>
                <w:lang w:bidi="ar-MA"/>
              </w:rPr>
            </w:pPr>
          </w:p>
        </w:tc>
        <w:tc>
          <w:tcPr>
            <w:tcW w:w="1620" w:type="dxa"/>
          </w:tcPr>
          <w:p w:rsidR="00443EC1" w:rsidRDefault="00443EC1">
            <w:pPr>
              <w:spacing w:before="0" w:after="0" w:line="320" w:lineRule="exact"/>
              <w:jc w:val="center"/>
              <w:rPr>
                <w:rFonts w:hint="cs"/>
                <w:sz w:val="28"/>
                <w:szCs w:val="28"/>
                <w:rtl/>
                <w:lang w:bidi="ar-MA"/>
              </w:rPr>
            </w:pPr>
            <w:r>
              <w:rPr>
                <w:rFonts w:hint="cs"/>
                <w:sz w:val="28"/>
                <w:szCs w:val="28"/>
                <w:rtl/>
                <w:lang w:bidi="ar-MA"/>
              </w:rPr>
              <w:t>عدد النقابات</w:t>
            </w:r>
          </w:p>
        </w:tc>
        <w:tc>
          <w:tcPr>
            <w:tcW w:w="1910" w:type="dxa"/>
          </w:tcPr>
          <w:p w:rsidR="00443EC1" w:rsidRDefault="00443EC1">
            <w:pPr>
              <w:spacing w:before="0" w:after="0" w:line="320" w:lineRule="exact"/>
              <w:jc w:val="center"/>
              <w:rPr>
                <w:rFonts w:hint="cs"/>
                <w:sz w:val="28"/>
                <w:szCs w:val="28"/>
                <w:rtl/>
                <w:lang w:bidi="ar-MA"/>
              </w:rPr>
            </w:pPr>
            <w:r>
              <w:rPr>
                <w:rFonts w:hint="cs"/>
                <w:sz w:val="28"/>
                <w:szCs w:val="28"/>
                <w:rtl/>
                <w:lang w:bidi="ar-MA"/>
              </w:rPr>
              <w:t>الأعضاء المعلن عنهم</w:t>
            </w:r>
          </w:p>
        </w:tc>
      </w:tr>
      <w:tr w:rsidR="00443EC1" w:rsidTr="00443EC1">
        <w:trPr>
          <w:jc w:val="center"/>
        </w:trPr>
        <w:tc>
          <w:tcPr>
            <w:tcW w:w="5580" w:type="dxa"/>
          </w:tcPr>
          <w:p w:rsidR="00443EC1" w:rsidRDefault="00443EC1">
            <w:pPr>
              <w:spacing w:before="0" w:after="0" w:line="320" w:lineRule="exact"/>
              <w:jc w:val="both"/>
              <w:rPr>
                <w:rFonts w:hint="cs"/>
                <w:sz w:val="28"/>
                <w:szCs w:val="28"/>
                <w:rtl/>
                <w:lang w:bidi="ar-MA"/>
              </w:rPr>
            </w:pPr>
            <w:r>
              <w:rPr>
                <w:rFonts w:hint="cs"/>
                <w:sz w:val="28"/>
                <w:szCs w:val="28"/>
                <w:rtl/>
                <w:lang w:bidi="ar-MA"/>
              </w:rPr>
              <w:t>الزراعة وصيد الأسماك</w:t>
            </w:r>
          </w:p>
          <w:p w:rsidR="00443EC1" w:rsidRDefault="00443EC1">
            <w:pPr>
              <w:spacing w:before="0" w:after="0" w:line="320" w:lineRule="exact"/>
              <w:jc w:val="both"/>
              <w:rPr>
                <w:rFonts w:hint="cs"/>
                <w:sz w:val="28"/>
                <w:szCs w:val="28"/>
                <w:rtl/>
                <w:lang w:bidi="ar-MA"/>
              </w:rPr>
            </w:pPr>
            <w:r>
              <w:rPr>
                <w:rFonts w:hint="cs"/>
                <w:sz w:val="28"/>
                <w:szCs w:val="28"/>
                <w:rtl/>
                <w:lang w:bidi="ar-MA"/>
              </w:rPr>
              <w:t>المناجم والمحاجر</w:t>
            </w:r>
          </w:p>
          <w:p w:rsidR="00443EC1" w:rsidRDefault="00443EC1">
            <w:pPr>
              <w:spacing w:before="0" w:after="0" w:line="320" w:lineRule="exact"/>
              <w:jc w:val="both"/>
              <w:rPr>
                <w:rFonts w:hint="cs"/>
                <w:sz w:val="28"/>
                <w:szCs w:val="28"/>
                <w:rtl/>
                <w:lang w:bidi="ar-MA"/>
              </w:rPr>
            </w:pPr>
            <w:r>
              <w:rPr>
                <w:rFonts w:hint="cs"/>
                <w:sz w:val="28"/>
                <w:szCs w:val="28"/>
                <w:rtl/>
                <w:lang w:bidi="ar-MA"/>
              </w:rPr>
              <w:t>الصناعة</w:t>
            </w:r>
          </w:p>
          <w:p w:rsidR="00443EC1" w:rsidRDefault="00443EC1">
            <w:pPr>
              <w:spacing w:before="0" w:after="0" w:line="320" w:lineRule="exact"/>
              <w:jc w:val="both"/>
              <w:rPr>
                <w:rFonts w:hint="cs"/>
                <w:sz w:val="28"/>
                <w:szCs w:val="28"/>
                <w:rtl/>
                <w:lang w:bidi="ar-MA"/>
              </w:rPr>
            </w:pPr>
            <w:r>
              <w:rPr>
                <w:rFonts w:hint="cs"/>
                <w:sz w:val="28"/>
                <w:szCs w:val="28"/>
                <w:rtl/>
                <w:lang w:bidi="ar-MA"/>
              </w:rPr>
              <w:t>الكهرباء والغاز والمياه</w:t>
            </w:r>
          </w:p>
          <w:p w:rsidR="00443EC1" w:rsidRDefault="00443EC1">
            <w:pPr>
              <w:spacing w:before="0" w:after="0" w:line="320" w:lineRule="exact"/>
              <w:jc w:val="both"/>
              <w:rPr>
                <w:rFonts w:hint="cs"/>
                <w:sz w:val="28"/>
                <w:szCs w:val="28"/>
                <w:rtl/>
                <w:lang w:bidi="ar-MA"/>
              </w:rPr>
            </w:pPr>
            <w:r>
              <w:rPr>
                <w:rFonts w:hint="cs"/>
                <w:sz w:val="28"/>
                <w:szCs w:val="28"/>
                <w:rtl/>
                <w:lang w:bidi="ar-MA"/>
              </w:rPr>
              <w:t>البناء</w:t>
            </w:r>
          </w:p>
          <w:p w:rsidR="00443EC1" w:rsidRDefault="00443EC1">
            <w:pPr>
              <w:spacing w:before="0" w:after="0" w:line="320" w:lineRule="exact"/>
              <w:jc w:val="both"/>
              <w:rPr>
                <w:rFonts w:hint="cs"/>
                <w:spacing w:val="-4"/>
                <w:sz w:val="28"/>
                <w:szCs w:val="28"/>
                <w:rtl/>
                <w:lang w:bidi="ar-MA"/>
              </w:rPr>
            </w:pPr>
            <w:r>
              <w:rPr>
                <w:rFonts w:hint="cs"/>
                <w:spacing w:val="-4"/>
                <w:sz w:val="28"/>
                <w:szCs w:val="28"/>
                <w:rtl/>
                <w:lang w:bidi="ar-MA"/>
              </w:rPr>
              <w:t>تجارة الجملة والتجزئة الاستيراد/التصدير، الحرف والمطاعم والفنادق</w:t>
            </w:r>
          </w:p>
          <w:p w:rsidR="00443EC1" w:rsidRDefault="00443EC1">
            <w:pPr>
              <w:spacing w:before="0" w:after="0" w:line="320" w:lineRule="exact"/>
              <w:jc w:val="both"/>
              <w:rPr>
                <w:rFonts w:hint="cs"/>
                <w:sz w:val="28"/>
                <w:szCs w:val="28"/>
                <w:rtl/>
                <w:lang w:bidi="ar-MA"/>
              </w:rPr>
            </w:pPr>
            <w:r>
              <w:rPr>
                <w:rFonts w:hint="cs"/>
                <w:sz w:val="28"/>
                <w:szCs w:val="28"/>
                <w:rtl/>
                <w:lang w:bidi="ar-MA"/>
              </w:rPr>
              <w:t>النقل والتخزين والاتصالات</w:t>
            </w:r>
          </w:p>
          <w:p w:rsidR="00443EC1" w:rsidRDefault="00443EC1">
            <w:pPr>
              <w:spacing w:before="0" w:after="0" w:line="320" w:lineRule="exact"/>
              <w:jc w:val="both"/>
              <w:rPr>
                <w:rFonts w:hint="cs"/>
                <w:sz w:val="28"/>
                <w:szCs w:val="28"/>
                <w:rtl/>
                <w:lang w:bidi="ar-MA"/>
              </w:rPr>
            </w:pPr>
            <w:r>
              <w:rPr>
                <w:rFonts w:hint="cs"/>
                <w:sz w:val="28"/>
                <w:szCs w:val="28"/>
                <w:rtl/>
                <w:lang w:bidi="ar-MA"/>
              </w:rPr>
              <w:t>الخدمات المالية وخدمات التأمين والعقارات والأعمال</w:t>
            </w:r>
          </w:p>
          <w:p w:rsidR="00443EC1" w:rsidRDefault="00443EC1">
            <w:pPr>
              <w:spacing w:before="0" w:after="0" w:line="320" w:lineRule="exact"/>
              <w:jc w:val="both"/>
              <w:rPr>
                <w:rFonts w:hint="cs"/>
                <w:sz w:val="28"/>
                <w:szCs w:val="28"/>
                <w:rtl/>
                <w:lang w:bidi="ar-MA"/>
              </w:rPr>
            </w:pPr>
            <w:r>
              <w:rPr>
                <w:rFonts w:hint="cs"/>
                <w:sz w:val="28"/>
                <w:szCs w:val="28"/>
                <w:rtl/>
                <w:lang w:bidi="ar-MA"/>
              </w:rPr>
              <w:t>الخدمات المجتمعية والاجتماعية والشخصية</w:t>
            </w:r>
          </w:p>
        </w:tc>
        <w:tc>
          <w:tcPr>
            <w:tcW w:w="1620" w:type="dxa"/>
          </w:tcPr>
          <w:p w:rsidR="00443EC1" w:rsidRDefault="00443EC1">
            <w:pPr>
              <w:spacing w:before="0" w:after="0" w:line="320" w:lineRule="exact"/>
              <w:jc w:val="center"/>
              <w:rPr>
                <w:rFonts w:hint="cs"/>
                <w:sz w:val="28"/>
                <w:szCs w:val="28"/>
                <w:rtl/>
                <w:lang w:bidi="ar-MA"/>
              </w:rPr>
            </w:pPr>
            <w:r>
              <w:rPr>
                <w:rFonts w:hint="cs"/>
                <w:sz w:val="28"/>
                <w:szCs w:val="28"/>
                <w:rtl/>
                <w:lang w:bidi="ar-MA"/>
              </w:rPr>
              <w:t>صفر</w:t>
            </w:r>
          </w:p>
          <w:p w:rsidR="00443EC1" w:rsidRDefault="00443EC1">
            <w:pPr>
              <w:spacing w:before="0" w:after="0" w:line="320" w:lineRule="exact"/>
              <w:jc w:val="center"/>
              <w:rPr>
                <w:rFonts w:hint="cs"/>
                <w:sz w:val="28"/>
                <w:szCs w:val="28"/>
                <w:rtl/>
                <w:lang w:bidi="ar-MA"/>
              </w:rPr>
            </w:pPr>
            <w:r>
              <w:rPr>
                <w:rFonts w:hint="cs"/>
                <w:sz w:val="28"/>
                <w:szCs w:val="28"/>
                <w:rtl/>
                <w:lang w:bidi="ar-MA"/>
              </w:rPr>
              <w:t>صفر</w:t>
            </w:r>
          </w:p>
          <w:p w:rsidR="00443EC1" w:rsidRDefault="00443EC1">
            <w:pPr>
              <w:spacing w:before="0" w:after="0" w:line="320" w:lineRule="exact"/>
              <w:jc w:val="center"/>
              <w:rPr>
                <w:rFonts w:hint="cs"/>
                <w:sz w:val="28"/>
                <w:szCs w:val="28"/>
                <w:rtl/>
                <w:lang w:bidi="ar-MA"/>
              </w:rPr>
            </w:pPr>
            <w:r>
              <w:rPr>
                <w:rFonts w:hint="cs"/>
                <w:sz w:val="28"/>
                <w:szCs w:val="28"/>
                <w:rtl/>
                <w:lang w:bidi="ar-MA"/>
              </w:rPr>
              <w:t>90</w:t>
            </w:r>
          </w:p>
          <w:p w:rsidR="00443EC1" w:rsidRDefault="00443EC1">
            <w:pPr>
              <w:spacing w:before="0" w:after="0" w:line="320" w:lineRule="exact"/>
              <w:jc w:val="center"/>
              <w:rPr>
                <w:rFonts w:hint="cs"/>
                <w:sz w:val="28"/>
                <w:szCs w:val="28"/>
                <w:rtl/>
                <w:lang w:bidi="ar-MA"/>
              </w:rPr>
            </w:pPr>
            <w:r>
              <w:rPr>
                <w:rFonts w:hint="cs"/>
                <w:sz w:val="28"/>
                <w:szCs w:val="28"/>
                <w:rtl/>
                <w:lang w:bidi="ar-MA"/>
              </w:rPr>
              <w:t>4</w:t>
            </w:r>
          </w:p>
          <w:p w:rsidR="00443EC1" w:rsidRDefault="00443EC1">
            <w:pPr>
              <w:spacing w:before="0" w:after="0" w:line="320" w:lineRule="exact"/>
              <w:jc w:val="center"/>
              <w:rPr>
                <w:rFonts w:hint="cs"/>
                <w:sz w:val="28"/>
                <w:szCs w:val="28"/>
                <w:rtl/>
                <w:lang w:bidi="ar-MA"/>
              </w:rPr>
            </w:pPr>
            <w:r>
              <w:rPr>
                <w:rFonts w:hint="cs"/>
                <w:sz w:val="28"/>
                <w:szCs w:val="28"/>
                <w:rtl/>
                <w:lang w:bidi="ar-MA"/>
              </w:rPr>
              <w:t>27</w:t>
            </w:r>
          </w:p>
          <w:p w:rsidR="00443EC1" w:rsidRDefault="00443EC1">
            <w:pPr>
              <w:spacing w:before="0" w:after="0" w:line="320" w:lineRule="exact"/>
              <w:jc w:val="center"/>
              <w:rPr>
                <w:rFonts w:hint="cs"/>
                <w:sz w:val="28"/>
                <w:szCs w:val="28"/>
                <w:rtl/>
                <w:lang w:bidi="ar-MA"/>
              </w:rPr>
            </w:pPr>
            <w:r>
              <w:rPr>
                <w:rFonts w:hint="cs"/>
                <w:sz w:val="28"/>
                <w:szCs w:val="28"/>
                <w:rtl/>
                <w:lang w:bidi="ar-MA"/>
              </w:rPr>
              <w:t>45</w:t>
            </w:r>
          </w:p>
          <w:p w:rsidR="00443EC1" w:rsidRDefault="00443EC1">
            <w:pPr>
              <w:spacing w:before="0" w:after="0" w:line="320" w:lineRule="exact"/>
              <w:jc w:val="center"/>
              <w:rPr>
                <w:rFonts w:hint="cs"/>
                <w:sz w:val="28"/>
                <w:szCs w:val="28"/>
                <w:rtl/>
                <w:lang w:bidi="ar-MA"/>
              </w:rPr>
            </w:pPr>
            <w:r>
              <w:rPr>
                <w:rFonts w:hint="cs"/>
                <w:sz w:val="28"/>
                <w:szCs w:val="28"/>
                <w:rtl/>
                <w:lang w:bidi="ar-MA"/>
              </w:rPr>
              <w:t>99</w:t>
            </w:r>
          </w:p>
          <w:p w:rsidR="00443EC1" w:rsidRDefault="00443EC1">
            <w:pPr>
              <w:spacing w:before="0" w:after="0" w:line="320" w:lineRule="exact"/>
              <w:jc w:val="center"/>
              <w:rPr>
                <w:rFonts w:hint="cs"/>
                <w:sz w:val="28"/>
                <w:szCs w:val="28"/>
                <w:rtl/>
                <w:lang w:bidi="ar-MA"/>
              </w:rPr>
            </w:pPr>
            <w:r>
              <w:rPr>
                <w:rFonts w:hint="cs"/>
                <w:sz w:val="28"/>
                <w:szCs w:val="28"/>
                <w:rtl/>
                <w:lang w:bidi="ar-MA"/>
              </w:rPr>
              <w:t>23</w:t>
            </w:r>
          </w:p>
          <w:p w:rsidR="00443EC1" w:rsidRDefault="00443EC1">
            <w:pPr>
              <w:spacing w:before="0" w:after="0" w:line="320" w:lineRule="exact"/>
              <w:jc w:val="center"/>
              <w:rPr>
                <w:rFonts w:hint="cs"/>
                <w:sz w:val="28"/>
                <w:szCs w:val="28"/>
                <w:rtl/>
                <w:lang w:bidi="ar-MA"/>
              </w:rPr>
            </w:pPr>
            <w:r>
              <w:rPr>
                <w:rFonts w:hint="cs"/>
                <w:sz w:val="28"/>
                <w:szCs w:val="28"/>
                <w:rtl/>
                <w:lang w:bidi="ar-MA"/>
              </w:rPr>
              <w:t>322</w:t>
            </w:r>
          </w:p>
        </w:tc>
        <w:tc>
          <w:tcPr>
            <w:tcW w:w="1910" w:type="dxa"/>
          </w:tcPr>
          <w:p w:rsidR="00443EC1" w:rsidRDefault="00443EC1">
            <w:pPr>
              <w:spacing w:before="0" w:after="0" w:line="320" w:lineRule="exact"/>
              <w:jc w:val="center"/>
              <w:rPr>
                <w:rFonts w:hint="cs"/>
                <w:sz w:val="28"/>
                <w:szCs w:val="28"/>
                <w:rtl/>
                <w:lang w:bidi="ar-MA"/>
              </w:rPr>
            </w:pPr>
            <w:r>
              <w:rPr>
                <w:rFonts w:hint="cs"/>
                <w:sz w:val="28"/>
                <w:szCs w:val="28"/>
                <w:rtl/>
                <w:lang w:bidi="ar-MA"/>
              </w:rPr>
              <w:t>صفر</w:t>
            </w:r>
          </w:p>
          <w:p w:rsidR="00443EC1" w:rsidRDefault="00443EC1">
            <w:pPr>
              <w:spacing w:before="0" w:after="0" w:line="320" w:lineRule="exact"/>
              <w:jc w:val="center"/>
              <w:rPr>
                <w:rFonts w:hint="cs"/>
                <w:sz w:val="28"/>
                <w:szCs w:val="28"/>
                <w:rtl/>
                <w:lang w:bidi="ar-MA"/>
              </w:rPr>
            </w:pPr>
            <w:r>
              <w:rPr>
                <w:rFonts w:hint="cs"/>
                <w:sz w:val="28"/>
                <w:szCs w:val="28"/>
                <w:rtl/>
                <w:lang w:bidi="ar-MA"/>
              </w:rPr>
              <w:t>صفر</w:t>
            </w:r>
          </w:p>
          <w:p w:rsidR="00443EC1" w:rsidRDefault="00443EC1">
            <w:pPr>
              <w:spacing w:before="0" w:after="0" w:line="320" w:lineRule="exact"/>
              <w:jc w:val="center"/>
              <w:rPr>
                <w:rFonts w:hint="cs"/>
                <w:sz w:val="28"/>
                <w:szCs w:val="28"/>
                <w:rtl/>
                <w:lang w:bidi="ar-MA"/>
              </w:rPr>
            </w:pPr>
            <w:r>
              <w:rPr>
                <w:rFonts w:hint="cs"/>
                <w:sz w:val="28"/>
                <w:szCs w:val="28"/>
                <w:rtl/>
                <w:lang w:bidi="ar-MA"/>
              </w:rPr>
              <w:t>559 66</w:t>
            </w:r>
          </w:p>
          <w:p w:rsidR="00443EC1" w:rsidRDefault="00443EC1">
            <w:pPr>
              <w:spacing w:before="0" w:after="0" w:line="320" w:lineRule="exact"/>
              <w:jc w:val="center"/>
              <w:rPr>
                <w:rFonts w:hint="cs"/>
                <w:sz w:val="28"/>
                <w:szCs w:val="28"/>
                <w:rtl/>
                <w:lang w:bidi="ar-MA"/>
              </w:rPr>
            </w:pPr>
            <w:r>
              <w:rPr>
                <w:rFonts w:hint="cs"/>
                <w:sz w:val="28"/>
                <w:szCs w:val="28"/>
                <w:rtl/>
                <w:lang w:bidi="ar-MA"/>
              </w:rPr>
              <w:t>353 2</w:t>
            </w:r>
          </w:p>
          <w:p w:rsidR="00443EC1" w:rsidRDefault="00443EC1">
            <w:pPr>
              <w:spacing w:before="0" w:after="0" w:line="320" w:lineRule="exact"/>
              <w:jc w:val="center"/>
              <w:rPr>
                <w:rFonts w:hint="cs"/>
                <w:sz w:val="28"/>
                <w:szCs w:val="28"/>
                <w:rtl/>
                <w:lang w:bidi="ar-MA"/>
              </w:rPr>
            </w:pPr>
            <w:r>
              <w:rPr>
                <w:rFonts w:hint="cs"/>
                <w:sz w:val="28"/>
                <w:szCs w:val="28"/>
                <w:rtl/>
                <w:lang w:bidi="ar-MA"/>
              </w:rPr>
              <w:t>013 33</w:t>
            </w:r>
          </w:p>
          <w:p w:rsidR="00443EC1" w:rsidRDefault="00443EC1">
            <w:pPr>
              <w:spacing w:before="0" w:after="0" w:line="320" w:lineRule="exact"/>
              <w:jc w:val="center"/>
              <w:rPr>
                <w:rFonts w:hint="cs"/>
                <w:sz w:val="28"/>
                <w:szCs w:val="28"/>
                <w:rtl/>
                <w:lang w:bidi="ar-MA"/>
              </w:rPr>
            </w:pPr>
            <w:r>
              <w:rPr>
                <w:rFonts w:hint="cs"/>
                <w:sz w:val="28"/>
                <w:szCs w:val="28"/>
                <w:rtl/>
                <w:lang w:bidi="ar-MA"/>
              </w:rPr>
              <w:t>168 53</w:t>
            </w:r>
          </w:p>
          <w:p w:rsidR="00443EC1" w:rsidRDefault="00443EC1">
            <w:pPr>
              <w:spacing w:before="0" w:after="0" w:line="320" w:lineRule="exact"/>
              <w:jc w:val="center"/>
              <w:rPr>
                <w:rFonts w:hint="cs"/>
                <w:sz w:val="28"/>
                <w:szCs w:val="28"/>
                <w:rtl/>
                <w:lang w:bidi="ar-MA"/>
              </w:rPr>
            </w:pPr>
            <w:r>
              <w:rPr>
                <w:rFonts w:hint="cs"/>
                <w:sz w:val="28"/>
                <w:szCs w:val="28"/>
                <w:rtl/>
                <w:lang w:bidi="ar-MA"/>
              </w:rPr>
              <w:t>360 102</w:t>
            </w:r>
          </w:p>
          <w:p w:rsidR="00443EC1" w:rsidRDefault="00443EC1">
            <w:pPr>
              <w:spacing w:before="0" w:after="0" w:line="320" w:lineRule="exact"/>
              <w:jc w:val="center"/>
              <w:rPr>
                <w:rFonts w:hint="cs"/>
                <w:sz w:val="28"/>
                <w:szCs w:val="28"/>
                <w:rtl/>
                <w:lang w:bidi="ar-MA"/>
              </w:rPr>
            </w:pPr>
            <w:r>
              <w:rPr>
                <w:rFonts w:hint="cs"/>
                <w:sz w:val="28"/>
                <w:szCs w:val="28"/>
                <w:rtl/>
                <w:lang w:bidi="ar-MA"/>
              </w:rPr>
              <w:t>853 48</w:t>
            </w:r>
          </w:p>
          <w:p w:rsidR="00443EC1" w:rsidRDefault="00443EC1">
            <w:pPr>
              <w:spacing w:before="0" w:after="0" w:line="320" w:lineRule="exact"/>
              <w:jc w:val="center"/>
              <w:rPr>
                <w:rFonts w:hint="cs"/>
                <w:sz w:val="28"/>
                <w:szCs w:val="28"/>
                <w:rtl/>
                <w:lang w:bidi="ar-MA"/>
              </w:rPr>
            </w:pPr>
            <w:r>
              <w:rPr>
                <w:rFonts w:hint="cs"/>
                <w:sz w:val="28"/>
                <w:szCs w:val="28"/>
                <w:rtl/>
                <w:lang w:bidi="ar-MA"/>
              </w:rPr>
              <w:t>770 364</w:t>
            </w:r>
          </w:p>
        </w:tc>
      </w:tr>
      <w:tr w:rsidR="00443EC1" w:rsidTr="00443EC1">
        <w:trPr>
          <w:jc w:val="center"/>
        </w:trPr>
        <w:tc>
          <w:tcPr>
            <w:tcW w:w="5580" w:type="dxa"/>
          </w:tcPr>
          <w:p w:rsidR="00443EC1" w:rsidRDefault="00443EC1">
            <w:pPr>
              <w:spacing w:before="0" w:after="0" w:line="320" w:lineRule="exact"/>
              <w:jc w:val="both"/>
              <w:rPr>
                <w:rFonts w:hint="cs"/>
                <w:sz w:val="28"/>
                <w:szCs w:val="28"/>
                <w:rtl/>
                <w:lang w:bidi="ar-MA"/>
              </w:rPr>
            </w:pPr>
            <w:r>
              <w:rPr>
                <w:rFonts w:hint="cs"/>
                <w:sz w:val="28"/>
                <w:szCs w:val="28"/>
                <w:rtl/>
                <w:lang w:bidi="ar-MA"/>
              </w:rPr>
              <w:t>المجموع</w:t>
            </w:r>
          </w:p>
        </w:tc>
        <w:tc>
          <w:tcPr>
            <w:tcW w:w="1620" w:type="dxa"/>
          </w:tcPr>
          <w:p w:rsidR="00443EC1" w:rsidRDefault="00443EC1">
            <w:pPr>
              <w:spacing w:before="0" w:after="0" w:line="320" w:lineRule="exact"/>
              <w:jc w:val="center"/>
              <w:rPr>
                <w:rFonts w:hint="cs"/>
                <w:sz w:val="28"/>
                <w:szCs w:val="28"/>
                <w:rtl/>
                <w:lang w:bidi="ar-MA"/>
              </w:rPr>
            </w:pPr>
            <w:r>
              <w:rPr>
                <w:rFonts w:hint="cs"/>
                <w:sz w:val="28"/>
                <w:szCs w:val="28"/>
                <w:rtl/>
                <w:lang w:bidi="ar-MA"/>
              </w:rPr>
              <w:t>610</w:t>
            </w:r>
          </w:p>
        </w:tc>
        <w:tc>
          <w:tcPr>
            <w:tcW w:w="1910" w:type="dxa"/>
          </w:tcPr>
          <w:p w:rsidR="00443EC1" w:rsidRDefault="00443EC1">
            <w:pPr>
              <w:spacing w:before="0" w:after="0" w:line="320" w:lineRule="exact"/>
              <w:jc w:val="center"/>
              <w:rPr>
                <w:rFonts w:hint="cs"/>
                <w:sz w:val="28"/>
                <w:szCs w:val="28"/>
                <w:rtl/>
                <w:lang w:bidi="ar-MA"/>
              </w:rPr>
            </w:pPr>
            <w:r>
              <w:rPr>
                <w:rFonts w:hint="cs"/>
                <w:sz w:val="28"/>
                <w:szCs w:val="28"/>
                <w:rtl/>
                <w:lang w:bidi="ar-MA"/>
              </w:rPr>
              <w:t>067 671</w:t>
            </w:r>
          </w:p>
        </w:tc>
      </w:tr>
      <w:tr w:rsidR="00443EC1" w:rsidTr="00443EC1">
        <w:trPr>
          <w:jc w:val="center"/>
        </w:trPr>
        <w:tc>
          <w:tcPr>
            <w:tcW w:w="5580" w:type="dxa"/>
          </w:tcPr>
          <w:p w:rsidR="00443EC1" w:rsidRDefault="00443EC1">
            <w:pPr>
              <w:spacing w:before="0" w:after="0" w:line="320" w:lineRule="exact"/>
              <w:jc w:val="both"/>
              <w:rPr>
                <w:rFonts w:hint="cs"/>
                <w:spacing w:val="-4"/>
                <w:sz w:val="28"/>
                <w:szCs w:val="28"/>
                <w:rtl/>
                <w:lang w:bidi="ar-MA"/>
              </w:rPr>
            </w:pPr>
            <w:r>
              <w:rPr>
                <w:rFonts w:hint="cs"/>
                <w:spacing w:val="-4"/>
                <w:sz w:val="28"/>
                <w:szCs w:val="28"/>
                <w:rtl/>
                <w:lang w:bidi="ar-MA"/>
              </w:rPr>
              <w:t>معدل المشاركة في النقابات من حيث الموظفين بأجر ومتقاضي الرواتب</w:t>
            </w:r>
          </w:p>
        </w:tc>
        <w:tc>
          <w:tcPr>
            <w:tcW w:w="1620" w:type="dxa"/>
          </w:tcPr>
          <w:p w:rsidR="00443EC1" w:rsidRDefault="00443EC1">
            <w:pPr>
              <w:spacing w:before="0" w:after="0" w:line="320" w:lineRule="exact"/>
              <w:jc w:val="both"/>
              <w:rPr>
                <w:rFonts w:hint="cs"/>
                <w:sz w:val="28"/>
                <w:szCs w:val="28"/>
                <w:rtl/>
                <w:lang w:bidi="ar-MA"/>
              </w:rPr>
            </w:pPr>
          </w:p>
        </w:tc>
        <w:tc>
          <w:tcPr>
            <w:tcW w:w="1910" w:type="dxa"/>
          </w:tcPr>
          <w:p w:rsidR="00443EC1" w:rsidRDefault="00443EC1">
            <w:pPr>
              <w:spacing w:before="0" w:after="0" w:line="320" w:lineRule="exact"/>
              <w:jc w:val="center"/>
              <w:rPr>
                <w:rFonts w:hint="cs"/>
                <w:sz w:val="28"/>
                <w:szCs w:val="28"/>
                <w:rtl/>
                <w:lang w:bidi="ar-MA"/>
              </w:rPr>
            </w:pPr>
            <w:r>
              <w:rPr>
                <w:rFonts w:hint="cs"/>
                <w:sz w:val="28"/>
                <w:szCs w:val="28"/>
                <w:rtl/>
                <w:lang w:bidi="ar-MA"/>
              </w:rPr>
              <w:t>22.10</w:t>
            </w:r>
            <w:r>
              <w:rPr>
                <w:rFonts w:cs="Mudir MT" w:hint="cs"/>
                <w:sz w:val="24"/>
                <w:szCs w:val="24"/>
                <w:rtl/>
                <w:lang w:eastAsia="en-US" w:bidi="ar-MA"/>
              </w:rPr>
              <w:t>%</w:t>
            </w:r>
            <w:r>
              <w:rPr>
                <w:rFonts w:hint="cs"/>
                <w:sz w:val="28"/>
                <w:szCs w:val="28"/>
                <w:rtl/>
                <w:lang w:bidi="ar-MA"/>
              </w:rPr>
              <w:t>*</w:t>
            </w:r>
          </w:p>
        </w:tc>
      </w:tr>
    </w:tbl>
    <w:p w:rsidR="00000000" w:rsidRDefault="00443EC1">
      <w:pPr>
        <w:spacing w:line="380" w:lineRule="exact"/>
        <w:jc w:val="both"/>
        <w:rPr>
          <w:rFonts w:hint="cs"/>
          <w:rtl/>
          <w:lang w:bidi="ar-MA"/>
        </w:rPr>
      </w:pPr>
      <w:r>
        <w:rPr>
          <w:rFonts w:hint="cs"/>
          <w:rtl/>
          <w:lang w:bidi="ar-MA"/>
        </w:rPr>
        <w:tab/>
        <w:t>*</w:t>
      </w:r>
      <w:r>
        <w:rPr>
          <w:rFonts w:hint="cs"/>
          <w:rtl/>
          <w:lang w:bidi="ar-MA"/>
        </w:rPr>
        <w:tab/>
        <w:t>اعتمدت وزارة التعداد والإحصاءات في عام 2000 نهجا جديدا</w:t>
      </w:r>
      <w:r>
        <w:rPr>
          <w:rFonts w:hint="cs"/>
          <w:rtl/>
          <w:lang w:bidi="ar-MA"/>
        </w:rPr>
        <w:t xml:space="preserve"> إزاء العد الإحصائي، وأفضى هذا النهج إلى تراجع طفيف في عدد العمال براتب وأصحاب الأجور. ولهذا السبب، لا يمكن مقارنة معدلات المشاركة في النقابات المسجلة عامي 2000 و2001 مقارنة تامة بمعدلات الأعوام السابقة. </w:t>
      </w:r>
    </w:p>
    <w:p w:rsidR="00000000" w:rsidRDefault="00443EC1">
      <w:pPr>
        <w:spacing w:line="380" w:lineRule="exact"/>
        <w:jc w:val="both"/>
        <w:rPr>
          <w:rFonts w:hint="cs"/>
          <w:i/>
          <w:iCs/>
          <w:rtl/>
          <w:lang w:bidi="ar-MA"/>
        </w:rPr>
      </w:pPr>
      <w:r>
        <w:rPr>
          <w:rFonts w:hint="cs"/>
          <w:i/>
          <w:iCs/>
          <w:rtl/>
          <w:lang w:bidi="ar-MA"/>
        </w:rPr>
        <w:t>الحماية التشريعية من التمييز ضد النقابات، وفقًا للأ</w:t>
      </w:r>
      <w:r>
        <w:rPr>
          <w:rFonts w:hint="cs"/>
          <w:i/>
          <w:iCs/>
          <w:rtl/>
          <w:lang w:bidi="ar-MA"/>
        </w:rPr>
        <w:t>مر الخاص بالعمالة (الفصل 57)</w:t>
      </w:r>
    </w:p>
    <w:p w:rsidR="00000000" w:rsidRDefault="00443EC1">
      <w:pPr>
        <w:spacing w:line="380" w:lineRule="exact"/>
        <w:jc w:val="both"/>
        <w:rPr>
          <w:rFonts w:hint="cs"/>
          <w:rtl/>
          <w:lang w:bidi="ar-MA"/>
        </w:rPr>
      </w:pPr>
      <w:r>
        <w:rPr>
          <w:rFonts w:hint="cs"/>
          <w:rtl/>
          <w:lang w:bidi="ar-MA"/>
        </w:rPr>
        <w:t>430-</w:t>
      </w:r>
      <w:r>
        <w:rPr>
          <w:rFonts w:hint="cs"/>
          <w:rtl/>
          <w:lang w:bidi="ar-MA"/>
        </w:rPr>
        <w:tab/>
        <w:t>يبقى الوضع عموما كما تقدم شرحه في الفقرات من 128 إلى 130 من التقرير الأولي.</w:t>
      </w:r>
    </w:p>
    <w:p w:rsidR="00000000" w:rsidRDefault="00443EC1">
      <w:pPr>
        <w:spacing w:line="380" w:lineRule="exact"/>
        <w:jc w:val="both"/>
        <w:rPr>
          <w:rFonts w:hint="cs"/>
          <w:b/>
          <w:bCs/>
          <w:rtl/>
          <w:lang w:bidi="ar-MA"/>
        </w:rPr>
      </w:pPr>
      <w:r>
        <w:rPr>
          <w:rFonts w:hint="cs"/>
          <w:b/>
          <w:bCs/>
          <w:rtl/>
          <w:lang w:bidi="ar-MA"/>
        </w:rPr>
        <w:t>حق الإضراب</w:t>
      </w:r>
    </w:p>
    <w:p w:rsidR="00000000" w:rsidRDefault="00443EC1">
      <w:pPr>
        <w:spacing w:line="380" w:lineRule="exact"/>
        <w:jc w:val="both"/>
        <w:rPr>
          <w:rFonts w:hint="cs"/>
          <w:rtl/>
          <w:lang w:bidi="ar-MA"/>
        </w:rPr>
      </w:pPr>
      <w:r>
        <w:rPr>
          <w:rFonts w:hint="cs"/>
          <w:rtl/>
          <w:lang w:bidi="ar-MA"/>
        </w:rPr>
        <w:t>431-</w:t>
      </w:r>
      <w:r>
        <w:rPr>
          <w:rFonts w:hint="cs"/>
          <w:rtl/>
          <w:lang w:bidi="ar-MA"/>
        </w:rPr>
        <w:tab/>
        <w:t>تكفل المادة 27 من القانون الأساسي أمورا من بينها حق الإضراب</w:t>
      </w:r>
      <w:r>
        <w:rPr>
          <w:rFonts w:hint="cs"/>
          <w:vertAlign w:val="superscript"/>
          <w:rtl/>
          <w:lang w:bidi="ar-MA"/>
        </w:rPr>
        <w:t>(21)</w:t>
      </w:r>
      <w:r>
        <w:rPr>
          <w:rFonts w:hint="cs"/>
          <w:rtl/>
          <w:lang w:bidi="ar-MA"/>
        </w:rPr>
        <w:t xml:space="preserve">. وعندما دخل هذا القانون حيز النفاذ في 1 تموز/يوليه 1997، سقط مبدأ </w:t>
      </w:r>
      <w:r>
        <w:rPr>
          <w:rFonts w:hint="cs"/>
          <w:rtl/>
          <w:lang w:bidi="ar-MA"/>
        </w:rPr>
        <w:t>القانون العرفي القائم على اعتبار الإضرابات إخلالا بالعقد يبرر الفصل بإجراءات موجزة وفقا للأمر الخاص بالعمالة. وفي شهر تموز/ يوليه 2000، أضفنا فقرة جديدة هي الفقرة 9(2) إلى الأمر الخاص بالعمالة (الفصل 57) تبين بوضوح أن مشاركة الموظف في إضراب لا تشكل سببا شر</w:t>
      </w:r>
      <w:r>
        <w:rPr>
          <w:rFonts w:hint="cs"/>
          <w:rtl/>
          <w:lang w:bidi="ar-MA"/>
        </w:rPr>
        <w:t>عيا لطرده بإجراءات موجزة دون إشعار أو دفع عوض. ونتيجة لهذا التعديل، باتت بعض الأحكام المتعلقة بحقوق معينة من حقوق الموظفين زائدة عن اللزوم وألغيت</w:t>
      </w:r>
      <w:r>
        <w:rPr>
          <w:rFonts w:hint="cs"/>
          <w:vertAlign w:val="superscript"/>
          <w:rtl/>
          <w:lang w:bidi="ar-MA"/>
        </w:rPr>
        <w:t>(22)</w:t>
      </w:r>
      <w:r>
        <w:rPr>
          <w:rFonts w:hint="cs"/>
          <w:rtl/>
          <w:lang w:bidi="ar-MA"/>
        </w:rPr>
        <w:t>.</w:t>
      </w:r>
    </w:p>
    <w:p w:rsidR="00000000" w:rsidRDefault="00443EC1">
      <w:pPr>
        <w:spacing w:line="380" w:lineRule="exact"/>
        <w:jc w:val="both"/>
        <w:rPr>
          <w:rFonts w:hint="cs"/>
          <w:b/>
          <w:bCs/>
          <w:rtl/>
          <w:lang w:bidi="ar-MA"/>
        </w:rPr>
      </w:pPr>
      <w:r>
        <w:rPr>
          <w:rFonts w:hint="cs"/>
          <w:b/>
          <w:bCs/>
          <w:rtl/>
          <w:lang w:bidi="ar-MA"/>
        </w:rPr>
        <w:t>الأمر الخاص بالنظام العام (الفصل 245)</w:t>
      </w:r>
    </w:p>
    <w:p w:rsidR="00000000" w:rsidRDefault="00443EC1">
      <w:pPr>
        <w:spacing w:line="380" w:lineRule="exact"/>
        <w:jc w:val="both"/>
        <w:rPr>
          <w:rFonts w:hint="cs"/>
          <w:rtl/>
        </w:rPr>
      </w:pPr>
      <w:r>
        <w:rPr>
          <w:rFonts w:hint="cs"/>
          <w:rtl/>
          <w:lang w:bidi="ar-MA"/>
        </w:rPr>
        <w:t>432-</w:t>
      </w:r>
      <w:r>
        <w:rPr>
          <w:rFonts w:hint="cs"/>
          <w:rtl/>
          <w:lang w:bidi="ar-MA"/>
        </w:rPr>
        <w:tab/>
        <w:t>أعربت اللجنة في الفقرة 26 من ملاحظاتها الختامية عما يساورها من</w:t>
      </w:r>
      <w:r>
        <w:rPr>
          <w:rFonts w:hint="cs"/>
          <w:rtl/>
          <w:lang w:bidi="ar-MA"/>
        </w:rPr>
        <w:t xml:space="preserve"> قلق لأن "</w:t>
      </w:r>
      <w:r>
        <w:rPr>
          <w:rFonts w:hint="cs"/>
          <w:rtl/>
        </w:rPr>
        <w:t xml:space="preserve"> قانون النظام العام قد يُستخدم لتقييد أنشطة نقابية كالحملات السلمية الرامية إلى تعزيز الحقوق العمالية التي تحميها المادة 8 (ج) من العهد". وأوصت اللجنة في الفقرة 37 "بإعادة النظر في قانون النظام العام بغية تعديل أحكامه بحيث تكفل حرية العمل النقابي</w:t>
      </w:r>
      <w:r>
        <w:rPr>
          <w:rFonts w:hint="cs"/>
          <w:rtl/>
        </w:rPr>
        <w:t xml:space="preserve"> على نحو ما تنص عليه المادة 8 (ج) من العهد". و</w:t>
      </w:r>
      <w:r>
        <w:rPr>
          <w:rFonts w:hint="cs"/>
          <w:rtl/>
        </w:rPr>
        <w:t xml:space="preserve">عبر معلقون محليون عن بواعث القلق ذاتها. </w:t>
      </w:r>
    </w:p>
    <w:p w:rsidR="00000000" w:rsidRDefault="00443EC1">
      <w:pPr>
        <w:spacing w:line="380" w:lineRule="exact"/>
        <w:jc w:val="both"/>
        <w:rPr>
          <w:rFonts w:hint="cs"/>
          <w:rtl/>
        </w:rPr>
      </w:pPr>
      <w:r>
        <w:rPr>
          <w:rFonts w:hint="cs"/>
          <w:rtl/>
        </w:rPr>
        <w:t>433-</w:t>
      </w:r>
      <w:r>
        <w:rPr>
          <w:rFonts w:hint="cs"/>
          <w:rtl/>
        </w:rPr>
        <w:tab/>
        <w:t>ونحيط علما بما يشغل اللجنة لكننا نختلف معها في تقييم التأثير الممكن للأمر الخاص بالنظام العام. إذ يوفر الأمر ضمانات كافية من التدخل التعسفي في الحقوق المكفولة في ال</w:t>
      </w:r>
      <w:r>
        <w:rPr>
          <w:rFonts w:hint="cs"/>
          <w:rtl/>
        </w:rPr>
        <w:t>مادة 27 من القانون الأساسي ومن العهد الدولي الخاص بالحقوق المدنية والسياسية. وتعكس أحكامه توازنا مناسبا بين حق الفرد في حرية التعبير والتجمع السلمي والمصالح المجتمعية الأعم. من ذلك مثلا أن مفوض الشرطة لا يجوز لـه فرض قيود على عقد الاجتماعات والتجمعات العام</w:t>
      </w:r>
      <w:r>
        <w:rPr>
          <w:rFonts w:hint="cs"/>
          <w:rtl/>
        </w:rPr>
        <w:t>ة أو منعها، إذا رأى ضرورة لذلك، إلا لأسباب تتعلق بالأمن الوطني والسلامة العامة والنظام العام وحماية حقوق الغير وحرياتهم. ويلجأ المنظمون المتضررون من قرار صادر عن الشرطة إلى هيئة استئناف مستقلة. ويرأس هذه الهيئة قاض متقاعد ولا ينتمي أعضاؤها إلى الجهاز التنف</w:t>
      </w:r>
      <w:r>
        <w:rPr>
          <w:rFonts w:hint="cs"/>
          <w:rtl/>
        </w:rPr>
        <w:t xml:space="preserve">يذي. </w:t>
      </w:r>
    </w:p>
    <w:p w:rsidR="00000000" w:rsidRDefault="00443EC1">
      <w:pPr>
        <w:spacing w:line="380" w:lineRule="exact"/>
        <w:jc w:val="both"/>
        <w:rPr>
          <w:rFonts w:hint="cs"/>
          <w:rtl/>
        </w:rPr>
      </w:pPr>
      <w:r>
        <w:rPr>
          <w:rFonts w:hint="cs"/>
          <w:rtl/>
        </w:rPr>
        <w:t>434-</w:t>
      </w:r>
      <w:r>
        <w:rPr>
          <w:rFonts w:hint="cs"/>
          <w:rtl/>
        </w:rPr>
        <w:tab/>
        <w:t>وبين 1 تموز/يوليه 1997 و30 أيلول/سبتمبر 2002، شهدت هونغ كونغ نحو 300 11 تجمع واجتماع عام. ولم تمنع سوى 18 تظاهرة لأسباب تتعلق بالسلامة العامة والنظام العام وحماية حقوق الغير وحرياتهم. ونُظمت لاحقا سبع من التظاهرات الثماني عشرة المحظورة بعد أن عد</w:t>
      </w:r>
      <w:r>
        <w:rPr>
          <w:rFonts w:hint="cs"/>
          <w:rtl/>
        </w:rPr>
        <w:t xml:space="preserve">ل منظموها مسارها أو مكان انعقادها أو نطاقها. ويتضح على هذا النحو أنه ليس ثمة ما يدل على أن الأمر قد حال دون أنشطة نقابية مشروعة. </w:t>
      </w:r>
    </w:p>
    <w:p w:rsidR="00000000" w:rsidRDefault="00443EC1">
      <w:pPr>
        <w:spacing w:line="380" w:lineRule="exact"/>
        <w:jc w:val="both"/>
        <w:rPr>
          <w:rFonts w:hint="cs"/>
          <w:rtl/>
        </w:rPr>
      </w:pPr>
      <w:r>
        <w:rPr>
          <w:rFonts w:hint="cs"/>
          <w:rtl/>
        </w:rPr>
        <w:t>435-</w:t>
      </w:r>
      <w:r>
        <w:rPr>
          <w:rFonts w:hint="cs"/>
          <w:rtl/>
        </w:rPr>
        <w:tab/>
        <w:t>ولهذه الأسباب، لا نرى، مع كامل احتراماتنا لتوصيات اللجنة، أن الأمر يقتضي تعديلا كيما يتوافق وأهداف الفقرة 37 من الملاحظات</w:t>
      </w:r>
      <w:r>
        <w:rPr>
          <w:rFonts w:hint="cs"/>
          <w:rtl/>
        </w:rPr>
        <w:t xml:space="preserve"> الختامية.</w:t>
      </w:r>
    </w:p>
    <w:p w:rsidR="00000000" w:rsidRDefault="00443EC1">
      <w:pPr>
        <w:spacing w:line="380" w:lineRule="exact"/>
        <w:jc w:val="both"/>
        <w:rPr>
          <w:rFonts w:hint="cs"/>
          <w:i/>
          <w:iCs/>
          <w:rtl/>
        </w:rPr>
      </w:pPr>
      <w:r>
        <w:rPr>
          <w:rFonts w:hint="cs"/>
          <w:i/>
          <w:iCs/>
          <w:rtl/>
        </w:rPr>
        <w:t>الإعلان التفسيري</w:t>
      </w:r>
    </w:p>
    <w:p w:rsidR="00000000" w:rsidRDefault="00443EC1">
      <w:pPr>
        <w:spacing w:line="380" w:lineRule="exact"/>
        <w:jc w:val="both"/>
        <w:rPr>
          <w:rFonts w:hint="cs"/>
          <w:rtl/>
        </w:rPr>
      </w:pPr>
      <w:r>
        <w:rPr>
          <w:rFonts w:hint="cs"/>
          <w:rtl/>
        </w:rPr>
        <w:t>436-</w:t>
      </w:r>
      <w:r>
        <w:rPr>
          <w:rFonts w:hint="cs"/>
          <w:rtl/>
        </w:rPr>
        <w:tab/>
      </w:r>
      <w:r>
        <w:rPr>
          <w:rFonts w:hint="cs"/>
          <w:spacing w:val="2"/>
          <w:rtl/>
        </w:rPr>
        <w:t>أوصت اللجنة في الفقرة 29 من ملاحظاتها الختامية "منطقة هونغ كونغ بأن تسحب تحفظها على المادة 6 والإعلان التفسيري الذي حل محل تحفظها السابق على المادة 8". ويرد ردنا على التوصية المتعلقة بالإعلان التفسيري قي الفقرة 437 أدناه. ب</w:t>
      </w:r>
      <w:r>
        <w:rPr>
          <w:rFonts w:hint="cs"/>
          <w:spacing w:val="2"/>
          <w:rtl/>
        </w:rPr>
        <w:t>ينما يرد ردنا على التوصيـة المتعلقـة بالتحفظ على المادة 6 في الفقرتين 403 و404 أعلاه.</w:t>
      </w:r>
      <w:r>
        <w:rPr>
          <w:rFonts w:hint="cs"/>
          <w:rtl/>
        </w:rPr>
        <w:t xml:space="preserve"> </w:t>
      </w:r>
    </w:p>
    <w:p w:rsidR="00000000" w:rsidRDefault="00443EC1">
      <w:pPr>
        <w:spacing w:line="380" w:lineRule="exact"/>
        <w:jc w:val="both"/>
        <w:rPr>
          <w:rFonts w:hint="cs"/>
          <w:rtl/>
        </w:rPr>
      </w:pPr>
      <w:r>
        <w:rPr>
          <w:rFonts w:hint="cs"/>
          <w:rtl/>
        </w:rPr>
        <w:t>437-</w:t>
      </w:r>
      <w:r>
        <w:rPr>
          <w:rFonts w:hint="cs"/>
          <w:rtl/>
        </w:rPr>
        <w:tab/>
        <w:t>وتنص المادة 8-1(ب) على حق النقابات في تشكيل اتحادات أو كونفدرال</w:t>
      </w:r>
      <w:r>
        <w:rPr>
          <w:rtl/>
        </w:rPr>
        <w:t>ي</w:t>
      </w:r>
      <w:r>
        <w:rPr>
          <w:rFonts w:hint="cs"/>
          <w:rtl/>
        </w:rPr>
        <w:t>ات وطنية وحق هذه الكونفدراليات في تشكيل رابطات نقابية دولية أو الانضمام إليها. ويبين الإعلان بوضوح أ</w:t>
      </w:r>
      <w:r>
        <w:rPr>
          <w:rFonts w:hint="cs"/>
          <w:rtl/>
        </w:rPr>
        <w:t>ن المقصود بعبارة "اتحادات أو كونفدرال</w:t>
      </w:r>
      <w:r>
        <w:rPr>
          <w:rtl/>
        </w:rPr>
        <w:t>ي</w:t>
      </w:r>
      <w:r>
        <w:rPr>
          <w:rFonts w:hint="cs"/>
          <w:rtl/>
        </w:rPr>
        <w:t>ات وطنية" اتحادات أو كونفدرال</w:t>
      </w:r>
      <w:r>
        <w:rPr>
          <w:rtl/>
        </w:rPr>
        <w:t>ي</w:t>
      </w:r>
      <w:r>
        <w:rPr>
          <w:rFonts w:hint="cs"/>
          <w:rtl/>
        </w:rPr>
        <w:t>ات منطقة هونغ كونغ الإدارية الخاصة. ولا نفسر هذه المادة على أنها تخول الاتحادات أو الكونفدرال</w:t>
      </w:r>
      <w:r>
        <w:rPr>
          <w:rtl/>
        </w:rPr>
        <w:t>ي</w:t>
      </w:r>
      <w:r>
        <w:rPr>
          <w:rFonts w:hint="cs"/>
          <w:rtl/>
        </w:rPr>
        <w:t xml:space="preserve">ات النقابية حق تشكيل منظمات أو هيئات سياسية (عكس النقابات) خارج منطقة هونغ كونغ. وهذا الإعلان </w:t>
      </w:r>
      <w:r>
        <w:rPr>
          <w:rFonts w:hint="cs"/>
          <w:rtl/>
        </w:rPr>
        <w:t xml:space="preserve">لازم لضمان التوافق مع المادة 148 من القانون الأساسي، الذي يعكس موقفنا التشريعي إزاء الصين القارية. ولهذا السبب، لا نزمع سحب الإعلان. </w:t>
      </w:r>
    </w:p>
    <w:p w:rsidR="00000000" w:rsidRDefault="00443EC1">
      <w:pPr>
        <w:spacing w:line="380" w:lineRule="exact"/>
        <w:jc w:val="both"/>
        <w:rPr>
          <w:rFonts w:hint="cs"/>
          <w:i/>
          <w:iCs/>
          <w:rtl/>
        </w:rPr>
      </w:pPr>
      <w:r>
        <w:rPr>
          <w:rFonts w:hint="cs"/>
          <w:i/>
          <w:iCs/>
          <w:rtl/>
        </w:rPr>
        <w:t>دعم الاتصال الفعال والتشاور والتفاوض الطوعي بين أرباب العمل والعمال</w:t>
      </w:r>
    </w:p>
    <w:p w:rsidR="00000000" w:rsidRDefault="00443EC1">
      <w:pPr>
        <w:spacing w:line="380" w:lineRule="exact"/>
        <w:jc w:val="both"/>
        <w:rPr>
          <w:rFonts w:hint="cs"/>
          <w:rtl/>
        </w:rPr>
      </w:pPr>
      <w:r>
        <w:rPr>
          <w:rFonts w:hint="cs"/>
          <w:rtl/>
        </w:rPr>
        <w:t>438-</w:t>
      </w:r>
      <w:r>
        <w:rPr>
          <w:rFonts w:hint="cs"/>
          <w:rtl/>
        </w:rPr>
        <w:tab/>
        <w:t xml:space="preserve">أنشأت وزارة العمل منذ تقديم التقرير الأولي "وحدة </w:t>
      </w:r>
      <w:r>
        <w:rPr>
          <w:rFonts w:hint="cs"/>
          <w:rtl/>
        </w:rPr>
        <w:t>تعزيز التشاور في مكان العمل". وتهدف الوحدة إلى دعم التفاوض الطوعي والمباشر بين أرباب العمل والعمال على مستوى المنشأة والقطاع على حد سواء. وقامت الوحدة على صعيد المنشأة بما يلي:</w:t>
      </w:r>
    </w:p>
    <w:p w:rsidR="00000000" w:rsidRDefault="00443EC1">
      <w:pPr>
        <w:spacing w:line="380" w:lineRule="exact"/>
        <w:jc w:val="both"/>
        <w:rPr>
          <w:rFonts w:hint="cs"/>
          <w:rtl/>
        </w:rPr>
      </w:pPr>
      <w:r>
        <w:rPr>
          <w:rFonts w:hint="cs"/>
          <w:rtl/>
        </w:rPr>
        <w:tab/>
        <w:t>(أ)</w:t>
      </w:r>
      <w:r>
        <w:rPr>
          <w:rFonts w:hint="cs"/>
          <w:rtl/>
        </w:rPr>
        <w:tab/>
        <w:t>تشكيل 18 ناديا لمديري الموارد البشرية لفائدة ما يزيد عن 800 1 موظف في مجال</w:t>
      </w:r>
      <w:r>
        <w:rPr>
          <w:rFonts w:hint="cs"/>
          <w:rtl/>
        </w:rPr>
        <w:t xml:space="preserve"> الموارد البشرية بغرض تقاسم التجارب وترويج الممارسات الحسنة في مجال الإدارة البشرية؛</w:t>
      </w:r>
    </w:p>
    <w:p w:rsidR="00000000" w:rsidRDefault="00443EC1">
      <w:pPr>
        <w:spacing w:line="380" w:lineRule="exact"/>
        <w:jc w:val="both"/>
        <w:rPr>
          <w:rFonts w:hint="cs"/>
          <w:rtl/>
        </w:rPr>
      </w:pPr>
      <w:r>
        <w:rPr>
          <w:rFonts w:hint="cs"/>
          <w:rtl/>
        </w:rPr>
        <w:tab/>
        <w:t>(ب)</w:t>
      </w:r>
      <w:r>
        <w:rPr>
          <w:rFonts w:hint="cs"/>
          <w:rtl/>
        </w:rPr>
        <w:tab/>
        <w:t>تنظيم حلقات دراسية ودورات تدريبية وحلقات عمل ومعارض ونقاشات لترويج الاتصال الفعال والممارسات الحسنة في مجال إدارة الموارد البشرية؛</w:t>
      </w:r>
    </w:p>
    <w:p w:rsidR="00000000" w:rsidRDefault="00443EC1">
      <w:pPr>
        <w:spacing w:line="380" w:lineRule="exact"/>
        <w:jc w:val="both"/>
        <w:rPr>
          <w:rFonts w:hint="cs"/>
          <w:rtl/>
        </w:rPr>
      </w:pPr>
      <w:r>
        <w:rPr>
          <w:rFonts w:hint="cs"/>
          <w:rtl/>
        </w:rPr>
        <w:tab/>
        <w:t>(ج)</w:t>
      </w:r>
      <w:r>
        <w:rPr>
          <w:rFonts w:hint="cs"/>
          <w:rtl/>
        </w:rPr>
        <w:tab/>
        <w:t>اعتماد خطة منح خاصة للتشجيع عل</w:t>
      </w:r>
      <w:r>
        <w:rPr>
          <w:rFonts w:hint="cs"/>
          <w:rtl/>
        </w:rPr>
        <w:t>ى تنفيذ هذه الممارسات.</w:t>
      </w:r>
    </w:p>
    <w:p w:rsidR="00000000" w:rsidRDefault="00443EC1">
      <w:pPr>
        <w:spacing w:line="380" w:lineRule="exact"/>
        <w:jc w:val="both"/>
        <w:rPr>
          <w:rFonts w:hint="cs"/>
          <w:rtl/>
        </w:rPr>
      </w:pPr>
      <w:r>
        <w:rPr>
          <w:rFonts w:hint="cs"/>
          <w:rtl/>
        </w:rPr>
        <w:t>439-</w:t>
      </w:r>
      <w:r>
        <w:rPr>
          <w:rFonts w:hint="cs"/>
          <w:rtl/>
        </w:rPr>
        <w:tab/>
        <w:t>وعلاوة على ذلك، تدعم الوحدة الحوار المباشر بين ممثلي أرباب العمل والموظفين من خلال اللجان الثلاثية على مستوى القطاع. وقد أنشئت حتى الآن تسع لجان من هذا القبيل. ومن بين ما قامت به هذه اللجان:</w:t>
      </w:r>
    </w:p>
    <w:p w:rsidR="00000000" w:rsidRDefault="00443EC1">
      <w:pPr>
        <w:spacing w:line="380" w:lineRule="exact"/>
        <w:jc w:val="both"/>
        <w:rPr>
          <w:rFonts w:hint="cs"/>
          <w:rtl/>
        </w:rPr>
      </w:pPr>
      <w:r>
        <w:rPr>
          <w:rFonts w:hint="cs"/>
          <w:rtl/>
        </w:rPr>
        <w:tab/>
        <w:t>(أ)</w:t>
      </w:r>
      <w:r>
        <w:rPr>
          <w:rFonts w:hint="cs"/>
          <w:rtl/>
        </w:rPr>
        <w:tab/>
        <w:t>مناقشة مسائل تثير انشغال أرباب ا</w:t>
      </w:r>
      <w:r>
        <w:rPr>
          <w:rFonts w:hint="cs"/>
          <w:rtl/>
        </w:rPr>
        <w:t>لعمل والعمال؛</w:t>
      </w:r>
    </w:p>
    <w:p w:rsidR="00000000" w:rsidRDefault="00443EC1">
      <w:pPr>
        <w:spacing w:line="380" w:lineRule="exact"/>
        <w:jc w:val="both"/>
        <w:rPr>
          <w:rFonts w:hint="cs"/>
          <w:rtl/>
        </w:rPr>
      </w:pPr>
      <w:r>
        <w:rPr>
          <w:rFonts w:hint="cs"/>
          <w:rtl/>
        </w:rPr>
        <w:tab/>
        <w:t>(ب)</w:t>
      </w:r>
      <w:r>
        <w:rPr>
          <w:rFonts w:hint="cs"/>
          <w:rtl/>
        </w:rPr>
        <w:tab/>
        <w:t>وضع عقود عمل نموذجية لقطاعات خدمات المطاعم ونقل البضائع وصناعات البناء؛</w:t>
      </w:r>
    </w:p>
    <w:p w:rsidR="00000000" w:rsidRDefault="00443EC1">
      <w:pPr>
        <w:spacing w:line="380" w:lineRule="exact"/>
        <w:jc w:val="both"/>
        <w:rPr>
          <w:rFonts w:hint="cs"/>
          <w:rtl/>
        </w:rPr>
      </w:pPr>
      <w:r>
        <w:rPr>
          <w:rFonts w:hint="cs"/>
          <w:rtl/>
        </w:rPr>
        <w:tab/>
        <w:t>(ج)</w:t>
      </w:r>
      <w:r>
        <w:rPr>
          <w:rFonts w:hint="cs"/>
          <w:rtl/>
        </w:rPr>
        <w:tab/>
        <w:t>إعداد دليل بشأن مسائل العمالة في قطاعي الفنادق والأسفار؛</w:t>
      </w:r>
    </w:p>
    <w:p w:rsidR="00000000" w:rsidRDefault="00443EC1">
      <w:pPr>
        <w:spacing w:line="380" w:lineRule="exact"/>
        <w:jc w:val="both"/>
        <w:rPr>
          <w:rFonts w:hint="cs"/>
          <w:rtl/>
        </w:rPr>
      </w:pPr>
      <w:r>
        <w:rPr>
          <w:rFonts w:hint="cs"/>
          <w:rtl/>
        </w:rPr>
        <w:tab/>
        <w:t>(د)</w:t>
      </w:r>
      <w:r>
        <w:rPr>
          <w:rFonts w:hint="cs"/>
          <w:rtl/>
        </w:rPr>
        <w:tab/>
        <w:t>وضع دليل بشأن فرص التدريب المتاحة لعمال المطابع.</w:t>
      </w:r>
    </w:p>
    <w:p w:rsidR="00000000" w:rsidRDefault="00443EC1">
      <w:pPr>
        <w:spacing w:line="380" w:lineRule="exact"/>
        <w:jc w:val="both"/>
        <w:rPr>
          <w:rFonts w:hint="cs"/>
          <w:rtl/>
        </w:rPr>
      </w:pPr>
      <w:r>
        <w:rPr>
          <w:rFonts w:hint="cs"/>
          <w:rtl/>
        </w:rPr>
        <w:t>440-</w:t>
      </w:r>
      <w:r>
        <w:rPr>
          <w:rFonts w:hint="cs"/>
          <w:rtl/>
        </w:rPr>
        <w:tab/>
        <w:t>ورغم هذه المبادرات، ما انفك المعلقون يطالبون</w:t>
      </w:r>
      <w:r>
        <w:rPr>
          <w:rFonts w:hint="cs"/>
          <w:rtl/>
        </w:rPr>
        <w:t xml:space="preserve"> بإعادة إقرار الأمر الخاص بحق العمال في التمثيل والتشاور والمفاوضة الجماعية، الذي ألغي في شهر تشرين الأول/أكتوبر 1997 للأسباب المشار إليها في الفقرة 123(ج) من التقرير الأولي. وقد أفضنا شرح موقفنا بشأن المفاوضة الجماعية في ردنا المؤرخ كانون الثاني/يناير 200</w:t>
      </w:r>
      <w:r>
        <w:rPr>
          <w:rFonts w:hint="cs"/>
          <w:rtl/>
        </w:rPr>
        <w:t>1 على النقطة 15 من قائمة المسائل التي وضعتها اللجنة</w:t>
      </w:r>
      <w:r>
        <w:rPr>
          <w:rFonts w:hint="cs"/>
          <w:vertAlign w:val="superscript"/>
          <w:rtl/>
        </w:rPr>
        <w:t>(23)</w:t>
      </w:r>
      <w:r>
        <w:rPr>
          <w:rFonts w:hint="cs"/>
          <w:rtl/>
        </w:rPr>
        <w:t>.</w:t>
      </w:r>
    </w:p>
    <w:p w:rsidR="00000000" w:rsidRDefault="00443EC1">
      <w:pPr>
        <w:spacing w:line="380" w:lineRule="exact"/>
        <w:jc w:val="both"/>
        <w:rPr>
          <w:rFonts w:hint="cs"/>
          <w:rtl/>
        </w:rPr>
      </w:pPr>
      <w:r>
        <w:rPr>
          <w:rFonts w:hint="cs"/>
          <w:rtl/>
        </w:rPr>
        <w:t>441-</w:t>
      </w:r>
      <w:r>
        <w:rPr>
          <w:rFonts w:hint="cs"/>
          <w:rtl/>
        </w:rPr>
        <w:tab/>
        <w:t xml:space="preserve">ونحن، كما أشرنا في ذلك الرد، ملتزمون بدعم المفاوضة الجماعية على أساس طوعي كما نعمل بنشاط على ترويج المفاوضة الجماعية الطوعية بالأساليب المبينة في ردنا على النقطة 15 وفي الفقرتين 438 و439 أعلاه. </w:t>
      </w:r>
      <w:r>
        <w:rPr>
          <w:rFonts w:hint="cs"/>
          <w:rtl/>
        </w:rPr>
        <w:t xml:space="preserve">لكننا نبقى على اقتناع بأن النظام القائم يسير على ما يرام. ويتجلى ذلك في أن متوسط عدد أيام العمل المهدرة جراء نزاعات العمل لكل 000 1 عامل بمرتب يعد من أدنى ما يوجد في العالم. وصحيح أن سن تشريع في هذا الصدد سيجبر الأطراف على توخي مسار المفاوضة الجماعية. لكن </w:t>
      </w:r>
      <w:r>
        <w:rPr>
          <w:rFonts w:hint="cs"/>
          <w:rtl/>
        </w:rPr>
        <w:t>ليس ثمة ما يضمن أن هذا المسار سيفضي إلى اتفاق. ونحن نرى أن المفاوضة الجماعية الإجبارية:</w:t>
      </w:r>
    </w:p>
    <w:p w:rsidR="00000000" w:rsidRDefault="00443EC1">
      <w:pPr>
        <w:spacing w:line="380" w:lineRule="exact"/>
        <w:jc w:val="both"/>
        <w:rPr>
          <w:rFonts w:hint="cs"/>
          <w:rtl/>
        </w:rPr>
      </w:pPr>
      <w:r>
        <w:rPr>
          <w:rFonts w:hint="cs"/>
          <w:rtl/>
        </w:rPr>
        <w:tab/>
        <w:t>(أ)</w:t>
      </w:r>
      <w:r>
        <w:rPr>
          <w:rFonts w:hint="cs"/>
          <w:rtl/>
        </w:rPr>
        <w:tab/>
        <w:t>يمكن أن تؤول إلى إرساء نظام علاقات عمل يشتد فيه التصلب وتحمى فيه المواجهة. ومن شأن أوجه التصلب هذه التي تشوب سوق العمل أن تقلّل من جاذبية هونغ كونغ بالنسبة إلى الم</w:t>
      </w:r>
      <w:r>
        <w:rPr>
          <w:rFonts w:hint="cs"/>
          <w:rtl/>
        </w:rPr>
        <w:t>ستثمرين الأجانب، وهو ما يقلل فرص العمالة على المدى الطويل على نحو يتعارض ومصلحة العمال؛</w:t>
      </w:r>
    </w:p>
    <w:p w:rsidR="00000000" w:rsidRDefault="00443EC1">
      <w:pPr>
        <w:spacing w:line="380" w:lineRule="exact"/>
        <w:jc w:val="both"/>
        <w:rPr>
          <w:rFonts w:hint="cs"/>
          <w:rtl/>
        </w:rPr>
      </w:pPr>
      <w:r>
        <w:rPr>
          <w:rFonts w:hint="cs"/>
          <w:rtl/>
        </w:rPr>
        <w:tab/>
        <w:t>(ب)</w:t>
      </w:r>
      <w:r>
        <w:rPr>
          <w:rFonts w:hint="cs"/>
          <w:rtl/>
        </w:rPr>
        <w:tab/>
        <w:t>من شأنها أن تقلص دور قوى السوق في عمليات تكييف الأجور، وهو ما يضر بسوق العمل ويحد من قابلية الاقتصاد للاستجابة إلى تغيرات السوق.</w:t>
      </w:r>
    </w:p>
    <w:p w:rsidR="00000000" w:rsidRDefault="00443EC1">
      <w:pPr>
        <w:spacing w:line="380" w:lineRule="exact"/>
        <w:jc w:val="both"/>
        <w:rPr>
          <w:rFonts w:hint="cs"/>
          <w:rtl/>
        </w:rPr>
      </w:pPr>
      <w:r>
        <w:rPr>
          <w:rFonts w:hint="cs"/>
          <w:rtl/>
        </w:rPr>
        <w:t>ولهذه الأسباب، لا ننوي إعادة إقرار</w:t>
      </w:r>
      <w:r>
        <w:rPr>
          <w:rFonts w:hint="cs"/>
          <w:rtl/>
        </w:rPr>
        <w:t xml:space="preserve"> الأمر الخاص بحق العمال في التمثيل والتشاور والمفاوضة الجماعية. </w:t>
      </w:r>
    </w:p>
    <w:p w:rsidR="00000000" w:rsidRDefault="00443EC1">
      <w:pPr>
        <w:spacing w:line="380" w:lineRule="exact"/>
        <w:jc w:val="center"/>
        <w:rPr>
          <w:rFonts w:hint="cs"/>
          <w:b/>
          <w:bCs/>
          <w:rtl/>
        </w:rPr>
      </w:pPr>
      <w:r>
        <w:rPr>
          <w:rFonts w:hint="cs"/>
          <w:b/>
          <w:bCs/>
          <w:rtl/>
        </w:rPr>
        <w:t>طاء - المادة 9</w:t>
      </w:r>
    </w:p>
    <w:p w:rsidR="00000000" w:rsidRDefault="00443EC1">
      <w:pPr>
        <w:spacing w:line="380" w:lineRule="exact"/>
        <w:jc w:val="center"/>
        <w:rPr>
          <w:rFonts w:hint="cs"/>
          <w:b/>
          <w:bCs/>
          <w:rtl/>
        </w:rPr>
      </w:pPr>
      <w:r>
        <w:rPr>
          <w:rFonts w:hint="cs"/>
          <w:b/>
          <w:bCs/>
          <w:rtl/>
        </w:rPr>
        <w:t>الحق في الضمان الاجتماعي</w:t>
      </w:r>
    </w:p>
    <w:p w:rsidR="00000000" w:rsidRDefault="00443EC1">
      <w:pPr>
        <w:spacing w:line="380" w:lineRule="exact"/>
        <w:jc w:val="both"/>
        <w:rPr>
          <w:rFonts w:hint="cs"/>
          <w:i/>
          <w:iCs/>
          <w:rtl/>
        </w:rPr>
      </w:pPr>
      <w:r>
        <w:rPr>
          <w:rFonts w:hint="cs"/>
          <w:i/>
          <w:iCs/>
          <w:rtl/>
        </w:rPr>
        <w:t>اتفاقيات العمل الدولية</w:t>
      </w:r>
    </w:p>
    <w:p w:rsidR="00000000" w:rsidRDefault="00443EC1">
      <w:pPr>
        <w:spacing w:line="380" w:lineRule="exact"/>
        <w:jc w:val="both"/>
        <w:rPr>
          <w:rtl/>
        </w:rPr>
      </w:pPr>
      <w:r>
        <w:rPr>
          <w:rFonts w:hint="cs"/>
          <w:rtl/>
        </w:rPr>
        <w:t>442-</w:t>
      </w:r>
      <w:r>
        <w:rPr>
          <w:rFonts w:hint="cs"/>
          <w:rtl/>
        </w:rPr>
        <w:tab/>
      </w:r>
      <w:r>
        <w:rPr>
          <w:rtl/>
        </w:rPr>
        <w:t>قُدِّمت معلومات عن مستحقات الأمومة في التقرير</w:t>
      </w:r>
      <w:r>
        <w:rPr>
          <w:rFonts w:hint="cs"/>
          <w:rtl/>
        </w:rPr>
        <w:t xml:space="preserve"> </w:t>
      </w:r>
      <w:r>
        <w:rPr>
          <w:rtl/>
        </w:rPr>
        <w:t xml:space="preserve">المقدم عملاً بالمادة 22 </w:t>
      </w:r>
      <w:r>
        <w:rPr>
          <w:rFonts w:hint="cs"/>
          <w:rtl/>
        </w:rPr>
        <w:t>والمتعلق</w:t>
      </w:r>
      <w:r>
        <w:rPr>
          <w:rtl/>
        </w:rPr>
        <w:t xml:space="preserve"> </w:t>
      </w:r>
      <w:r>
        <w:rPr>
          <w:rFonts w:hint="cs"/>
          <w:rtl/>
        </w:rPr>
        <w:t>ب</w:t>
      </w:r>
      <w:r>
        <w:rPr>
          <w:rtl/>
        </w:rPr>
        <w:t xml:space="preserve">اتفاقية </w:t>
      </w:r>
      <w:r>
        <w:rPr>
          <w:rFonts w:hint="cs"/>
          <w:rtl/>
        </w:rPr>
        <w:t xml:space="preserve">حماية الأمومة </w:t>
      </w:r>
      <w:r>
        <w:rPr>
          <w:rtl/>
        </w:rPr>
        <w:t xml:space="preserve">(الاتفاقية رقم 3) عن </w:t>
      </w:r>
      <w:r>
        <w:rPr>
          <w:rtl/>
        </w:rPr>
        <w:t xml:space="preserve">الفترة من </w:t>
      </w:r>
      <w:r>
        <w:rPr>
          <w:rFonts w:hint="cs"/>
          <w:rtl/>
        </w:rPr>
        <w:t xml:space="preserve">1 كانون الثاني/يناير 1997 إلى 31 أيار/مايو 2002. </w:t>
      </w:r>
    </w:p>
    <w:p w:rsidR="00000000" w:rsidRDefault="00443EC1">
      <w:pPr>
        <w:spacing w:line="380" w:lineRule="exact"/>
        <w:jc w:val="both"/>
        <w:rPr>
          <w:rtl/>
        </w:rPr>
      </w:pPr>
      <w:r>
        <w:rPr>
          <w:rFonts w:hint="cs"/>
          <w:rtl/>
        </w:rPr>
        <w:t>443</w:t>
      </w:r>
      <w:r>
        <w:rPr>
          <w:rtl/>
        </w:rPr>
        <w:t>-</w:t>
      </w:r>
      <w:r>
        <w:rPr>
          <w:rtl/>
        </w:rPr>
        <w:tab/>
        <w:t xml:space="preserve">وقُدمت معلومات عن أنظمة تعويض العمال المتضررين في العمل أو المصابين بأمراض مهنية في التقارير التالية المقدمة </w:t>
      </w:r>
      <w:r>
        <w:rPr>
          <w:rFonts w:hint="cs"/>
          <w:rtl/>
        </w:rPr>
        <w:t>إلى</w:t>
      </w:r>
      <w:r>
        <w:rPr>
          <w:rtl/>
        </w:rPr>
        <w:t xml:space="preserve"> </w:t>
      </w:r>
      <w:r>
        <w:rPr>
          <w:rFonts w:hint="cs"/>
          <w:rtl/>
        </w:rPr>
        <w:t xml:space="preserve">منظمة </w:t>
      </w:r>
      <w:r>
        <w:rPr>
          <w:rtl/>
        </w:rPr>
        <w:t>العمل الدولية:</w:t>
      </w:r>
    </w:p>
    <w:p w:rsidR="00000000" w:rsidRDefault="00443EC1">
      <w:pPr>
        <w:spacing w:line="380" w:lineRule="exact"/>
        <w:jc w:val="both"/>
        <w:rPr>
          <w:rFonts w:hint="cs"/>
          <w:rtl/>
        </w:rPr>
      </w:pPr>
      <w:r>
        <w:rPr>
          <w:rtl/>
        </w:rPr>
        <w:tab/>
        <w:t>(أ)</w:t>
      </w:r>
      <w:r>
        <w:rPr>
          <w:rtl/>
        </w:rPr>
        <w:tab/>
        <w:t>التقرير</w:t>
      </w:r>
      <w:r>
        <w:rPr>
          <w:rFonts w:hint="cs"/>
          <w:rtl/>
        </w:rPr>
        <w:t>ان</w:t>
      </w:r>
      <w:r>
        <w:rPr>
          <w:rtl/>
        </w:rPr>
        <w:t xml:space="preserve"> المقدم</w:t>
      </w:r>
      <w:r>
        <w:rPr>
          <w:rFonts w:hint="cs"/>
          <w:rtl/>
        </w:rPr>
        <w:t>ان</w:t>
      </w:r>
      <w:r>
        <w:rPr>
          <w:rtl/>
        </w:rPr>
        <w:t xml:space="preserve"> عملاً بالمادة 22 عن اتفاقية التعو</w:t>
      </w:r>
      <w:r>
        <w:rPr>
          <w:rtl/>
        </w:rPr>
        <w:t>يض عن حوادث العمل (الزراعة) (الاتفاقية رقم 12) عن الفترة من 1 تموز/يوليه 19</w:t>
      </w:r>
      <w:r>
        <w:rPr>
          <w:rFonts w:hint="cs"/>
          <w:rtl/>
        </w:rPr>
        <w:t>93</w:t>
      </w:r>
      <w:r>
        <w:rPr>
          <w:rtl/>
        </w:rPr>
        <w:t xml:space="preserve"> إلى</w:t>
      </w:r>
      <w:r>
        <w:rPr>
          <w:rFonts w:hint="cs"/>
          <w:rtl/>
        </w:rPr>
        <w:t xml:space="preserve"> 31 أيار/مايو 1999 والفترة من 1</w:t>
      </w:r>
      <w:r>
        <w:rPr>
          <w:rtl/>
        </w:rPr>
        <w:t xml:space="preserve"> حزيران/يونيه 199</w:t>
      </w:r>
      <w:r>
        <w:rPr>
          <w:rFonts w:hint="cs"/>
          <w:rtl/>
        </w:rPr>
        <w:t>9 إلى 31 أيار/مايو 2001؛</w:t>
      </w:r>
    </w:p>
    <w:p w:rsidR="00000000" w:rsidRDefault="00443EC1">
      <w:pPr>
        <w:spacing w:line="380" w:lineRule="exact"/>
        <w:jc w:val="both"/>
        <w:rPr>
          <w:rtl/>
        </w:rPr>
      </w:pPr>
      <w:r>
        <w:rPr>
          <w:rtl/>
        </w:rPr>
        <w:tab/>
        <w:t>(ب)</w:t>
      </w:r>
      <w:r>
        <w:rPr>
          <w:rtl/>
        </w:rPr>
        <w:tab/>
      </w:r>
      <w:r>
        <w:rPr>
          <w:spacing w:val="0"/>
          <w:rtl/>
        </w:rPr>
        <w:t>التقرير</w:t>
      </w:r>
      <w:r>
        <w:rPr>
          <w:rFonts w:hint="cs"/>
          <w:spacing w:val="0"/>
          <w:rtl/>
        </w:rPr>
        <w:t>ان</w:t>
      </w:r>
      <w:r>
        <w:rPr>
          <w:spacing w:val="0"/>
          <w:rtl/>
        </w:rPr>
        <w:t xml:space="preserve"> المقدم</w:t>
      </w:r>
      <w:r>
        <w:rPr>
          <w:rFonts w:hint="cs"/>
          <w:spacing w:val="0"/>
          <w:rtl/>
        </w:rPr>
        <w:t>ان</w:t>
      </w:r>
      <w:r>
        <w:rPr>
          <w:spacing w:val="0"/>
          <w:rtl/>
        </w:rPr>
        <w:t xml:space="preserve"> عملاً بالمادة 22 عن اتفاقية التعويض عن حوادث العمل (الاتفاقية رقم 17) عن الفتر</w:t>
      </w:r>
      <w:r>
        <w:rPr>
          <w:spacing w:val="0"/>
          <w:rtl/>
        </w:rPr>
        <w:t>ة من 1 تموز/يوليه 19</w:t>
      </w:r>
      <w:r>
        <w:rPr>
          <w:rFonts w:hint="cs"/>
          <w:spacing w:val="0"/>
          <w:rtl/>
        </w:rPr>
        <w:t>93</w:t>
      </w:r>
      <w:r>
        <w:rPr>
          <w:spacing w:val="0"/>
          <w:rtl/>
        </w:rPr>
        <w:t xml:space="preserve"> إلى</w:t>
      </w:r>
      <w:r>
        <w:rPr>
          <w:rFonts w:hint="cs"/>
          <w:spacing w:val="0"/>
          <w:rtl/>
        </w:rPr>
        <w:t xml:space="preserve"> 31 أيار/مايو 1999 والفترة من 1</w:t>
      </w:r>
      <w:r>
        <w:rPr>
          <w:spacing w:val="0"/>
          <w:rtl/>
        </w:rPr>
        <w:t xml:space="preserve"> حزيران/يونيه 199</w:t>
      </w:r>
      <w:r>
        <w:rPr>
          <w:rFonts w:hint="cs"/>
          <w:spacing w:val="0"/>
          <w:rtl/>
        </w:rPr>
        <w:t>9 إلى 31 أيار/مايو 2001</w:t>
      </w:r>
      <w:r>
        <w:rPr>
          <w:rFonts w:hint="cs"/>
          <w:rtl/>
        </w:rPr>
        <w:t>؛</w:t>
      </w:r>
    </w:p>
    <w:p w:rsidR="00000000" w:rsidRDefault="00443EC1">
      <w:pPr>
        <w:spacing w:line="380" w:lineRule="exact"/>
        <w:jc w:val="both"/>
        <w:rPr>
          <w:rFonts w:hint="cs"/>
          <w:rtl/>
        </w:rPr>
      </w:pPr>
      <w:r>
        <w:rPr>
          <w:rtl/>
        </w:rPr>
        <w:tab/>
        <w:t>(ج)</w:t>
      </w:r>
      <w:r>
        <w:rPr>
          <w:rtl/>
        </w:rPr>
        <w:tab/>
        <w:t>التقرير</w:t>
      </w:r>
      <w:r>
        <w:rPr>
          <w:rFonts w:hint="cs"/>
          <w:rtl/>
        </w:rPr>
        <w:t>ان</w:t>
      </w:r>
      <w:r>
        <w:rPr>
          <w:rtl/>
        </w:rPr>
        <w:t xml:space="preserve"> المقدم</w:t>
      </w:r>
      <w:r>
        <w:rPr>
          <w:rFonts w:hint="cs"/>
          <w:rtl/>
        </w:rPr>
        <w:t>ان</w:t>
      </w:r>
      <w:r>
        <w:rPr>
          <w:rtl/>
        </w:rPr>
        <w:t xml:space="preserve"> عملاً بالمادة 22 عن اتفاقية تعويض العمال عن الأمراض المهنية (المعدلة) (الاتفاقية رقم 42) عن الفترة من 1 تموز/يوليه 19</w:t>
      </w:r>
      <w:r>
        <w:rPr>
          <w:rFonts w:hint="cs"/>
          <w:rtl/>
        </w:rPr>
        <w:t>93</w:t>
      </w:r>
      <w:r>
        <w:rPr>
          <w:rtl/>
        </w:rPr>
        <w:t xml:space="preserve"> إلى</w:t>
      </w:r>
      <w:r>
        <w:rPr>
          <w:rFonts w:hint="cs"/>
          <w:rtl/>
        </w:rPr>
        <w:t xml:space="preserve"> 31 أيار/م</w:t>
      </w:r>
      <w:r>
        <w:rPr>
          <w:rFonts w:hint="cs"/>
          <w:rtl/>
        </w:rPr>
        <w:t>ايو 1999 والفترة من 1</w:t>
      </w:r>
      <w:r>
        <w:rPr>
          <w:rtl/>
        </w:rPr>
        <w:t xml:space="preserve"> حزيران/يونيه 199</w:t>
      </w:r>
      <w:r>
        <w:rPr>
          <w:rFonts w:hint="cs"/>
          <w:rtl/>
        </w:rPr>
        <w:t>9 إلى 31 أيار/مايو 2001</w:t>
      </w:r>
      <w:r>
        <w:rPr>
          <w:rtl/>
        </w:rPr>
        <w:t>.</w:t>
      </w:r>
    </w:p>
    <w:p w:rsidR="00000000" w:rsidRDefault="00443EC1">
      <w:pPr>
        <w:spacing w:line="380" w:lineRule="exact"/>
        <w:jc w:val="both"/>
        <w:rPr>
          <w:rFonts w:hint="cs"/>
          <w:b/>
          <w:bCs/>
          <w:rtl/>
        </w:rPr>
      </w:pPr>
      <w:r>
        <w:rPr>
          <w:rFonts w:hint="cs"/>
          <w:b/>
          <w:bCs/>
          <w:rtl/>
        </w:rPr>
        <w:t>الهدف العام</w:t>
      </w:r>
    </w:p>
    <w:p w:rsidR="00000000" w:rsidRDefault="00443EC1">
      <w:pPr>
        <w:spacing w:line="380" w:lineRule="exact"/>
        <w:jc w:val="both"/>
        <w:rPr>
          <w:rFonts w:hint="cs"/>
          <w:rtl/>
          <w:lang w:bidi="ar-MA"/>
        </w:rPr>
      </w:pPr>
      <w:r>
        <w:rPr>
          <w:rFonts w:hint="cs"/>
          <w:rtl/>
        </w:rPr>
        <w:t>444-</w:t>
      </w:r>
      <w:r>
        <w:rPr>
          <w:rFonts w:hint="cs"/>
          <w:rtl/>
        </w:rPr>
        <w:tab/>
      </w:r>
      <w:r>
        <w:rPr>
          <w:rFonts w:hint="cs"/>
          <w:rtl/>
          <w:lang w:bidi="ar-MA"/>
        </w:rPr>
        <w:t>يبقى الوضع عموما كما تقدم شرحه في الفقرة 134 من التقرير السابق.</w:t>
      </w:r>
    </w:p>
    <w:p w:rsidR="00000000" w:rsidRDefault="00443EC1">
      <w:pPr>
        <w:spacing w:line="380" w:lineRule="exact"/>
        <w:jc w:val="both"/>
        <w:rPr>
          <w:rFonts w:hint="cs"/>
          <w:b/>
          <w:bCs/>
          <w:rtl/>
        </w:rPr>
      </w:pPr>
      <w:r>
        <w:rPr>
          <w:rFonts w:hint="cs"/>
          <w:b/>
          <w:bCs/>
          <w:rtl/>
        </w:rPr>
        <w:t>إنفاق الحكومة على الضمان الاجتماعي</w:t>
      </w:r>
    </w:p>
    <w:p w:rsidR="00000000" w:rsidRDefault="00443EC1">
      <w:pPr>
        <w:spacing w:line="380" w:lineRule="exact"/>
        <w:jc w:val="both"/>
        <w:rPr>
          <w:rFonts w:hint="cs"/>
          <w:rtl/>
        </w:rPr>
      </w:pPr>
      <w:r>
        <w:rPr>
          <w:rFonts w:hint="cs"/>
          <w:rtl/>
        </w:rPr>
        <w:t>445-</w:t>
      </w:r>
      <w:r>
        <w:rPr>
          <w:rFonts w:hint="cs"/>
          <w:rtl/>
        </w:rPr>
        <w:tab/>
        <w:t>أنفقت الحكومة خلال السنة المالية 2001-2002 مقدار 19.8 مليار دولار من دول</w:t>
      </w:r>
      <w:r>
        <w:rPr>
          <w:rFonts w:hint="cs"/>
          <w:rtl/>
        </w:rPr>
        <w:t xml:space="preserve">ارات هونغ كونغ </w:t>
      </w:r>
      <w:r>
        <w:rPr>
          <w:rFonts w:hint="cs"/>
          <w:spacing w:val="2"/>
          <w:rtl/>
        </w:rPr>
        <w:t>على الضمان الاجتماعي، أي ما يعادل 10 في المائة من مجموع إنفاق الحكومة العادي و1.6 في المائة من الناتج</w:t>
      </w:r>
      <w:r>
        <w:rPr>
          <w:rFonts w:hint="cs"/>
          <w:rtl/>
        </w:rPr>
        <w:t xml:space="preserve"> </w:t>
      </w:r>
      <w:r>
        <w:rPr>
          <w:rFonts w:hint="cs"/>
          <w:spacing w:val="2"/>
          <w:rtl/>
        </w:rPr>
        <w:t>المحلي الإجمالي في ذلك العام. وعلى سبيل المقارنة، بلغ الإنفاق على الضمان الاجتماعي خلال السنة المالية 1991</w:t>
      </w:r>
      <w:r>
        <w:rPr>
          <w:rFonts w:hint="cs"/>
          <w:rtl/>
        </w:rPr>
        <w:t>-1992 مقدار 746 3 من مليارات دولا</w:t>
      </w:r>
      <w:r>
        <w:rPr>
          <w:rFonts w:hint="cs"/>
          <w:rtl/>
        </w:rPr>
        <w:t>رات هونغ كونغ، أي ما يعادل 5.3 في المائة من مجموع إنفاق الحكومة العادي و0.5 في المائة من الناتج المحلي الإجمالي.</w:t>
      </w:r>
    </w:p>
    <w:p w:rsidR="00000000" w:rsidRDefault="00443EC1">
      <w:pPr>
        <w:spacing w:line="380" w:lineRule="exact"/>
        <w:jc w:val="both"/>
        <w:rPr>
          <w:rFonts w:hint="cs"/>
          <w:rtl/>
        </w:rPr>
      </w:pPr>
      <w:r>
        <w:rPr>
          <w:rFonts w:hint="cs"/>
          <w:rtl/>
        </w:rPr>
        <w:t>446-</w:t>
      </w:r>
      <w:r>
        <w:rPr>
          <w:rFonts w:hint="cs"/>
          <w:rtl/>
        </w:rPr>
        <w:tab/>
        <w:t xml:space="preserve">وستنفق الحكومة على الضمان الاجتماعي خلال السنة المالية 2002-2003 مبلغاً إجمالياً يقدر بما يعادل 21.8 مليار دولار، أي قرابة 10.6 في المائة </w:t>
      </w:r>
      <w:r>
        <w:rPr>
          <w:rFonts w:hint="cs"/>
          <w:rtl/>
        </w:rPr>
        <w:t>من مجموع إنفاق الحكومة العادي المقدر و1.7 في المائة من الناتج المحلي الإجمالي المتوقع لتلك السنة المالية. وبلغ الإنفاق على الضمان الاجتماعي خلال السنة المالية 1992-1993 مقدار 463 4 من مليارات الدولارات - أي ما يعادل 5.5 في المائة من مجموع إنفاق الحكومة الع</w:t>
      </w:r>
      <w:r>
        <w:rPr>
          <w:rFonts w:hint="cs"/>
          <w:rtl/>
        </w:rPr>
        <w:t>ادي و0.5 في المائة من الناتج المحلي الإجمالي.</w:t>
      </w:r>
    </w:p>
    <w:p w:rsidR="00000000" w:rsidRDefault="00443EC1">
      <w:pPr>
        <w:spacing w:line="380" w:lineRule="exact"/>
        <w:jc w:val="both"/>
        <w:rPr>
          <w:rFonts w:hint="cs"/>
          <w:b/>
          <w:bCs/>
          <w:rtl/>
        </w:rPr>
      </w:pPr>
      <w:r>
        <w:rPr>
          <w:rFonts w:hint="cs"/>
          <w:b/>
          <w:bCs/>
          <w:rtl/>
        </w:rPr>
        <w:t>نظام المساعدة الشامل في إطار الضمان الاجتماعي</w:t>
      </w:r>
    </w:p>
    <w:p w:rsidR="00000000" w:rsidRDefault="00443EC1">
      <w:pPr>
        <w:spacing w:line="380" w:lineRule="exact"/>
        <w:jc w:val="both"/>
        <w:rPr>
          <w:rFonts w:hint="cs"/>
          <w:rtl/>
        </w:rPr>
      </w:pPr>
      <w:r>
        <w:rPr>
          <w:rFonts w:hint="cs"/>
          <w:rtl/>
        </w:rPr>
        <w:t>447-</w:t>
      </w:r>
      <w:r>
        <w:rPr>
          <w:rFonts w:hint="cs"/>
          <w:rtl/>
        </w:rPr>
        <w:tab/>
      </w:r>
      <w:r>
        <w:rPr>
          <w:rFonts w:hint="cs"/>
          <w:rtl/>
          <w:lang w:bidi="ar-MA"/>
        </w:rPr>
        <w:t>يبقى الوضع عموما كما تقدم شرحه في الفقرات من 134 إلى 155 من التقرير الأولي، في ما عدا نظم ما بعد الاستعراض الوارد وصفها في الفقرات من 448 إلى 451. ويبقى نظام ا</w:t>
      </w:r>
      <w:r>
        <w:rPr>
          <w:rFonts w:hint="cs"/>
          <w:rtl/>
          <w:lang w:bidi="ar-MA"/>
        </w:rPr>
        <w:t>لمساعدة الشامل شبكة الأمان التي نوفرها لفئات الأفراد والأسر العاجزة عن إعالة نفسها لأسباب ككبر السن والإعاقة والوالدية الوحيدة والبطالة وضآلة الدخل. وفي نهاية شهر كانون الأول/ديسمبر 2002، كانت نحو 000 267 أسرة (000 467 فرد) تتلقى المساعدة في إطار هذا النظا</w:t>
      </w:r>
      <w:r>
        <w:rPr>
          <w:rFonts w:hint="cs"/>
          <w:rtl/>
          <w:lang w:bidi="ar-MA"/>
        </w:rPr>
        <w:t>م. وخلال السنة المالية 2001-2002، بلغت مدفوعات نظام المساعدة الشامل متوسط 778 3 دولارا في الشهر للعزّب و015 10 دولارا</w:t>
      </w:r>
      <w:r>
        <w:rPr>
          <w:rFonts w:hint="cs"/>
          <w:rtl/>
        </w:rPr>
        <w:t xml:space="preserve"> للأسر المؤلفة من 4 أفراد، أي ما يعادل على التوالي 36.4 في المائة و96.6 في المائة من الأجر المتوسط. </w:t>
      </w:r>
    </w:p>
    <w:p w:rsidR="00000000" w:rsidRDefault="00443EC1">
      <w:pPr>
        <w:spacing w:line="380" w:lineRule="exact"/>
        <w:jc w:val="both"/>
        <w:rPr>
          <w:rFonts w:hint="cs"/>
          <w:i/>
          <w:iCs/>
          <w:rtl/>
        </w:rPr>
      </w:pPr>
      <w:r>
        <w:rPr>
          <w:rFonts w:hint="cs"/>
          <w:i/>
          <w:iCs/>
          <w:rtl/>
        </w:rPr>
        <w:t>استعراض السياسات</w:t>
      </w:r>
    </w:p>
    <w:p w:rsidR="00000000" w:rsidRDefault="00443EC1">
      <w:pPr>
        <w:spacing w:line="380" w:lineRule="exact"/>
        <w:jc w:val="both"/>
        <w:rPr>
          <w:rFonts w:hint="cs"/>
          <w:rtl/>
        </w:rPr>
      </w:pPr>
      <w:r>
        <w:rPr>
          <w:rFonts w:hint="cs"/>
          <w:rtl/>
        </w:rPr>
        <w:t>448-</w:t>
      </w:r>
      <w:r>
        <w:rPr>
          <w:rFonts w:hint="cs"/>
          <w:rtl/>
        </w:rPr>
        <w:tab/>
        <w:t>عقب مشاورات عامة</w:t>
      </w:r>
      <w:r>
        <w:rPr>
          <w:rFonts w:hint="cs"/>
          <w:rtl/>
        </w:rPr>
        <w:t xml:space="preserve"> مكثفة، اعتمدنا في شهر حزيران/يونيه 1999 مجموعة من التدابير السياسية. وشملت هذه المجموعة نظام دعم الاعتماد على الذات، الرامي إلى تشجيع ومساعدة المتلقين العاطلين السليمين بدنيا </w:t>
      </w:r>
      <w:r>
        <w:rPr>
          <w:rFonts w:hint="cs"/>
          <w:spacing w:val="2"/>
          <w:rtl/>
        </w:rPr>
        <w:t>على العودة إلى العمل. وتشمل تدابير جديدة أخرى تشديد المراقبة لمنع الغش والتجاوزا</w:t>
      </w:r>
      <w:r>
        <w:rPr>
          <w:rFonts w:hint="cs"/>
          <w:spacing w:val="2"/>
          <w:rtl/>
        </w:rPr>
        <w:t xml:space="preserve">ت، وترشيد مستويات الاستحقاقات للأسر الكبيرة لمراعاة وفورات الحجم. واعتُمدت هذه التدابير استجابة إلى القلق العام إزاء النمو السريع في الإنفاق وفي عدد الحالات المتصلة بنظام المساعدة الشامل، وضرورة الاحتراس من ظهور ثقافة </w:t>
      </w:r>
      <w:r>
        <w:rPr>
          <w:rFonts w:hint="cs"/>
          <w:spacing w:val="2"/>
          <w:rtl/>
        </w:rPr>
        <w:t>الاتكال</w:t>
      </w:r>
      <w:r>
        <w:rPr>
          <w:rFonts w:hint="cs"/>
          <w:rtl/>
        </w:rPr>
        <w:t xml:space="preserve"> على الغير.</w:t>
      </w:r>
    </w:p>
    <w:p w:rsidR="00000000" w:rsidRDefault="00443EC1">
      <w:pPr>
        <w:spacing w:line="380" w:lineRule="exact"/>
        <w:jc w:val="both"/>
        <w:rPr>
          <w:rFonts w:hint="cs"/>
          <w:i/>
          <w:iCs/>
          <w:rtl/>
        </w:rPr>
      </w:pPr>
      <w:r>
        <w:rPr>
          <w:rFonts w:hint="cs"/>
          <w:i/>
          <w:iCs/>
          <w:rtl/>
        </w:rPr>
        <w:t>نظام دعم الاعتماد ع</w:t>
      </w:r>
      <w:r>
        <w:rPr>
          <w:rFonts w:hint="cs"/>
          <w:i/>
          <w:iCs/>
          <w:rtl/>
        </w:rPr>
        <w:t xml:space="preserve">لى الذات وأهلية الاستفادة من نظام المساعدة الشامل </w:t>
      </w:r>
    </w:p>
    <w:p w:rsidR="00000000" w:rsidRDefault="00443EC1">
      <w:pPr>
        <w:spacing w:line="380" w:lineRule="exact"/>
        <w:jc w:val="both"/>
        <w:rPr>
          <w:rFonts w:hint="cs"/>
          <w:rtl/>
        </w:rPr>
      </w:pPr>
      <w:r>
        <w:rPr>
          <w:rFonts w:hint="cs"/>
          <w:rtl/>
        </w:rPr>
        <w:t>449-</w:t>
      </w:r>
      <w:r>
        <w:rPr>
          <w:rFonts w:hint="cs"/>
          <w:rtl/>
        </w:rPr>
        <w:tab/>
        <w:t>تنطبق في هذا الصدد الشروط الواردة في الفقرة 141 من التقرير الأولي. إلا أنه إضافة إلى ذلك يتعين على البالغين السليمين بدنيا والعاطلين، أو الذين يعملون بعض الوقت وباستطاعتهم التفرغ للعمل، أن يسعوا بنشاط</w:t>
      </w:r>
      <w:r>
        <w:rPr>
          <w:rFonts w:hint="cs"/>
          <w:rtl/>
        </w:rPr>
        <w:t xml:space="preserve"> في طلب عمل مدفوع الأجر وأن يشاركوا في نظام دعم الاعتماد على الذات كشرط لتلقي المساعدة. </w:t>
      </w:r>
    </w:p>
    <w:p w:rsidR="00000000" w:rsidRDefault="00443EC1">
      <w:pPr>
        <w:spacing w:line="380" w:lineRule="exact"/>
        <w:jc w:val="both"/>
        <w:rPr>
          <w:rFonts w:hint="cs"/>
          <w:rtl/>
        </w:rPr>
      </w:pPr>
      <w:r>
        <w:rPr>
          <w:rFonts w:hint="cs"/>
          <w:rtl/>
        </w:rPr>
        <w:t>450-</w:t>
      </w:r>
      <w:r>
        <w:rPr>
          <w:rFonts w:hint="cs"/>
          <w:rtl/>
        </w:rPr>
        <w:tab/>
        <w:t>ويتألف نظام دعم الاعتماد على الذات من برنامجين:</w:t>
      </w:r>
    </w:p>
    <w:p w:rsidR="00000000" w:rsidRDefault="00443EC1">
      <w:pPr>
        <w:spacing w:line="380" w:lineRule="exact"/>
        <w:jc w:val="both"/>
        <w:rPr>
          <w:rFonts w:hint="cs"/>
          <w:rtl/>
        </w:rPr>
      </w:pPr>
      <w:r>
        <w:rPr>
          <w:rFonts w:hint="cs"/>
          <w:rtl/>
        </w:rPr>
        <w:tab/>
        <w:t>(أ)</w:t>
      </w:r>
      <w:r>
        <w:rPr>
          <w:rFonts w:hint="cs"/>
          <w:rtl/>
        </w:rPr>
        <w:tab/>
      </w:r>
      <w:r>
        <w:rPr>
          <w:rFonts w:hint="cs"/>
          <w:b/>
          <w:bCs/>
          <w:rtl/>
        </w:rPr>
        <w:t>برنامج مساعدة العمالة النشطة</w:t>
      </w:r>
      <w:r>
        <w:rPr>
          <w:rFonts w:hint="cs"/>
          <w:rtl/>
        </w:rPr>
        <w:t>: يتلقى المشاركون مساعدة للوصول إلى معلومات العمالة وفرص التدريب وإعادة التدريب ا</w:t>
      </w:r>
      <w:r>
        <w:rPr>
          <w:rFonts w:hint="cs"/>
          <w:rtl/>
        </w:rPr>
        <w:t>لمتاحة وغير ذلك من خدمات الدعم أو برامج مساعدة العمالة؛</w:t>
      </w:r>
    </w:p>
    <w:p w:rsidR="00000000" w:rsidRDefault="00443EC1">
      <w:pPr>
        <w:spacing w:line="380" w:lineRule="exact"/>
        <w:jc w:val="both"/>
        <w:rPr>
          <w:rFonts w:hint="cs"/>
          <w:rtl/>
        </w:rPr>
      </w:pPr>
      <w:r>
        <w:rPr>
          <w:rFonts w:hint="cs"/>
          <w:rtl/>
        </w:rPr>
        <w:tab/>
        <w:t xml:space="preserve">(ب) </w:t>
      </w:r>
      <w:r>
        <w:rPr>
          <w:rFonts w:hint="cs"/>
          <w:b/>
          <w:bCs/>
          <w:rtl/>
        </w:rPr>
        <w:t>برنامج العمل المجتمعي</w:t>
      </w:r>
      <w:r>
        <w:rPr>
          <w:rFonts w:hint="cs"/>
          <w:rtl/>
        </w:rPr>
        <w:t>: يشارك المستفيدون من نظام دعم الاعتماد على الذات في ظل هذا البرنامج في العمل المجتمعي غير مدفوع الأجر. ويساعدهم ذلك على التعود على العمل وتحسين مهاراتهم الاجتماعية وزيادة اع</w:t>
      </w:r>
      <w:r>
        <w:rPr>
          <w:rFonts w:hint="cs"/>
          <w:rtl/>
        </w:rPr>
        <w:t>تدادهم وثقتهم بأنفسهم.</w:t>
      </w:r>
    </w:p>
    <w:p w:rsidR="00000000" w:rsidRDefault="00443EC1">
      <w:pPr>
        <w:spacing w:line="380" w:lineRule="exact"/>
        <w:jc w:val="both"/>
        <w:rPr>
          <w:rFonts w:hint="cs"/>
          <w:rtl/>
        </w:rPr>
      </w:pPr>
      <w:r>
        <w:rPr>
          <w:rFonts w:hint="cs"/>
          <w:rtl/>
        </w:rPr>
        <w:t>وعلاوة على ذلك، لا يؤخذ بجزء من إيرادات المستفيدين من هذا النظام في حساب الاستحقاقات المدفوعة في إطاره، كحافز لهم على إيجاد عمل ومواصلة العمل.</w:t>
      </w:r>
    </w:p>
    <w:p w:rsidR="00000000" w:rsidRDefault="00443EC1">
      <w:pPr>
        <w:spacing w:line="380" w:lineRule="exact"/>
        <w:jc w:val="both"/>
        <w:rPr>
          <w:rFonts w:hint="cs"/>
          <w:i/>
          <w:iCs/>
          <w:rtl/>
        </w:rPr>
      </w:pPr>
      <w:r>
        <w:rPr>
          <w:rFonts w:hint="cs"/>
          <w:i/>
          <w:iCs/>
          <w:rtl/>
        </w:rPr>
        <w:t>برنامج إسناد العمل الخاص وصندوق مساعدة العمالة المكثفة</w:t>
      </w:r>
    </w:p>
    <w:p w:rsidR="00000000" w:rsidRDefault="00443EC1">
      <w:pPr>
        <w:spacing w:line="380" w:lineRule="exact"/>
        <w:jc w:val="both"/>
        <w:rPr>
          <w:rFonts w:hint="cs"/>
          <w:rtl/>
        </w:rPr>
      </w:pPr>
      <w:r>
        <w:rPr>
          <w:rFonts w:hint="cs"/>
          <w:rtl/>
        </w:rPr>
        <w:t>451-</w:t>
      </w:r>
      <w:r>
        <w:rPr>
          <w:rFonts w:hint="cs"/>
          <w:rtl/>
        </w:rPr>
        <w:tab/>
      </w:r>
      <w:r>
        <w:rPr>
          <w:rFonts w:hint="cs"/>
          <w:spacing w:val="2"/>
          <w:rtl/>
        </w:rPr>
        <w:t>باشرت وزارة الرفاه الاجتماعي ه</w:t>
      </w:r>
      <w:r>
        <w:rPr>
          <w:rFonts w:hint="cs"/>
          <w:spacing w:val="2"/>
          <w:rtl/>
        </w:rPr>
        <w:t>ذين المخططين في بداية عام 2001. وكان الغرض توفير المزيد من الدعم للمستفيدين من نظام دعم الاعتماد على الذات الذين ظلوا بلا عمل لفترات طويلة أو الذين يواجهون صعوبات خاصة في تحقيق الاعتماد على الذات. وكلفت الوزارة منظمات غير حكومية بالإشراف على هذين البرنامجي</w:t>
      </w:r>
      <w:r>
        <w:rPr>
          <w:rFonts w:hint="cs"/>
          <w:spacing w:val="2"/>
          <w:rtl/>
        </w:rPr>
        <w:t>ن نيابة عنها.</w:t>
      </w:r>
      <w:r>
        <w:rPr>
          <w:rFonts w:hint="cs"/>
          <w:rtl/>
        </w:rPr>
        <w:t xml:space="preserve"> </w:t>
      </w:r>
    </w:p>
    <w:p w:rsidR="00000000" w:rsidRDefault="00443EC1">
      <w:pPr>
        <w:spacing w:line="380" w:lineRule="exact"/>
        <w:jc w:val="both"/>
        <w:rPr>
          <w:rFonts w:hint="cs"/>
          <w:i/>
          <w:iCs/>
          <w:rtl/>
        </w:rPr>
      </w:pPr>
      <w:r>
        <w:rPr>
          <w:rFonts w:hint="cs"/>
          <w:i/>
          <w:iCs/>
          <w:rtl/>
        </w:rPr>
        <w:t xml:space="preserve">مشروع "إنهاء الاستبعاد" </w:t>
      </w:r>
    </w:p>
    <w:p w:rsidR="00000000" w:rsidRDefault="00443EC1">
      <w:pPr>
        <w:spacing w:line="380" w:lineRule="exact"/>
        <w:jc w:val="both"/>
        <w:rPr>
          <w:rFonts w:hint="cs"/>
          <w:rtl/>
        </w:rPr>
      </w:pPr>
      <w:r>
        <w:rPr>
          <w:rFonts w:hint="cs"/>
          <w:rtl/>
        </w:rPr>
        <w:t>452-</w:t>
      </w:r>
      <w:r>
        <w:rPr>
          <w:rFonts w:hint="cs"/>
          <w:rtl/>
        </w:rPr>
        <w:tab/>
      </w:r>
      <w:r>
        <w:rPr>
          <w:rFonts w:hint="cs"/>
          <w:spacing w:val="0"/>
          <w:rtl/>
        </w:rPr>
        <w:t xml:space="preserve">بدأ تنفيذ هذا المشروع في شهر آذار/مارس 2002 لمساعدة المستفيدين من نظام المساعدة الشامل من الأمهات الوحيدات أو الآباء الوحيدين لأطفال صغار على المزيد من الاعتماد على النفس وعلى الاندماج في المجتمع. ويشمل المشروع </w:t>
      </w:r>
      <w:r>
        <w:rPr>
          <w:rFonts w:hint="cs"/>
          <w:spacing w:val="0"/>
          <w:rtl/>
        </w:rPr>
        <w:t>برنامج مساعدة طوعية للعمالة وخدمات منسقة ومركزة، بما في ذلك ترتيبات رعاية الأطفال وتعليم الأسرة وبرامج الدعم وخدمات التوعية. ويتيح المشروع للأمهات الوحيدات أو الآباء الوحيدين لأطفال صغار مستوى أعلى من الإيرادات غير المحسوبة في إطار نظام المساعدة الشامل. وي</w:t>
      </w:r>
      <w:r>
        <w:rPr>
          <w:rFonts w:hint="cs"/>
          <w:spacing w:val="0"/>
          <w:rtl/>
        </w:rPr>
        <w:t>مثل هذا، كما هو الحال في نظام دعم الاعتماد على النفس (الفقرة 450 أعلاه)، حافزا للمستفيدين من نظام المساعدة الشامل كي يسعوا بحثاً عن عمل مدفوع الأجر.</w:t>
      </w:r>
    </w:p>
    <w:p w:rsidR="00000000" w:rsidRDefault="00443EC1">
      <w:pPr>
        <w:spacing w:line="380" w:lineRule="exact"/>
        <w:jc w:val="both"/>
        <w:rPr>
          <w:rFonts w:hint="cs"/>
          <w:b/>
          <w:bCs/>
          <w:rtl/>
        </w:rPr>
      </w:pPr>
      <w:r>
        <w:rPr>
          <w:rFonts w:hint="cs"/>
          <w:b/>
          <w:bCs/>
          <w:rtl/>
        </w:rPr>
        <w:t>نظام المساعدة المتعلقة بالضمان الاجتماعي</w:t>
      </w:r>
    </w:p>
    <w:p w:rsidR="00000000" w:rsidRDefault="00443EC1">
      <w:pPr>
        <w:spacing w:line="380" w:lineRule="exact"/>
        <w:jc w:val="both"/>
        <w:rPr>
          <w:rFonts w:hint="cs"/>
          <w:rtl/>
        </w:rPr>
      </w:pPr>
      <w:r>
        <w:rPr>
          <w:rFonts w:hint="cs"/>
          <w:rtl/>
        </w:rPr>
        <w:t>453-</w:t>
      </w:r>
      <w:r>
        <w:rPr>
          <w:rFonts w:hint="cs"/>
          <w:rtl/>
        </w:rPr>
        <w:tab/>
      </w:r>
      <w:r>
        <w:rPr>
          <w:rFonts w:hint="cs"/>
          <w:spacing w:val="0"/>
          <w:rtl/>
        </w:rPr>
        <w:t>تبقى الخصائص الأساسية لنظام المساعدة المتعلقة بالضمان الاجتما</w:t>
      </w:r>
      <w:r>
        <w:rPr>
          <w:rFonts w:hint="cs"/>
          <w:spacing w:val="0"/>
          <w:rtl/>
        </w:rPr>
        <w:t xml:space="preserve">عي عموما كما تقدم شرحها في الفقرات من 156 إلى 160 من التقرير الأولي. وفي نهاية كانون الأول/ديسمبر 2002، كان قرابة 000 561 شخص يتلقون بدلات في إطار نظام المساعدة المتعلقة بالضمان الاجتماعي، من بينهم 000 456 شخص يتلقون بدل الشيخوخة </w:t>
      </w:r>
      <w:r>
        <w:rPr>
          <w:spacing w:val="0"/>
          <w:rtl/>
        </w:rPr>
        <w:br/>
      </w:r>
      <w:r>
        <w:rPr>
          <w:rFonts w:hint="cs"/>
          <w:spacing w:val="0"/>
          <w:rtl/>
        </w:rPr>
        <w:t xml:space="preserve">و000 105 شخص يُمنحون بدل </w:t>
      </w:r>
      <w:r>
        <w:rPr>
          <w:rFonts w:hint="cs"/>
          <w:spacing w:val="0"/>
          <w:rtl/>
        </w:rPr>
        <w:t>الإعاقة.</w:t>
      </w:r>
    </w:p>
    <w:p w:rsidR="00000000" w:rsidRDefault="00443EC1">
      <w:pPr>
        <w:spacing w:line="380" w:lineRule="exact"/>
        <w:jc w:val="both"/>
        <w:rPr>
          <w:rFonts w:hint="cs"/>
          <w:b/>
          <w:bCs/>
          <w:rtl/>
        </w:rPr>
      </w:pPr>
      <w:r>
        <w:rPr>
          <w:rFonts w:hint="cs"/>
          <w:b/>
          <w:bCs/>
          <w:rtl/>
        </w:rPr>
        <w:t>معدلات الضمان الاجتماعي</w:t>
      </w:r>
    </w:p>
    <w:p w:rsidR="00000000" w:rsidRDefault="00443EC1">
      <w:pPr>
        <w:spacing w:line="380" w:lineRule="exact"/>
        <w:jc w:val="both"/>
        <w:rPr>
          <w:rFonts w:hint="cs"/>
          <w:rtl/>
        </w:rPr>
      </w:pPr>
      <w:r>
        <w:rPr>
          <w:rFonts w:hint="cs"/>
          <w:rtl/>
        </w:rPr>
        <w:t>454-</w:t>
      </w:r>
      <w:r>
        <w:rPr>
          <w:rFonts w:hint="cs"/>
          <w:rtl/>
        </w:rPr>
        <w:tab/>
        <w:t>تسوى معدلات الضمان الاجتماعي الموحدة في إطار نظام المساعدة الشامل ونظام المساعدة المتعلقة بالضمان الاجتماعي وفقا لحركات مؤشر أسعار المساعدة المتصلة بالضمان الاجتماعي</w:t>
      </w:r>
      <w:r>
        <w:rPr>
          <w:rFonts w:hint="cs"/>
          <w:vertAlign w:val="superscript"/>
          <w:rtl/>
        </w:rPr>
        <w:t>(24)</w:t>
      </w:r>
      <w:r>
        <w:rPr>
          <w:rFonts w:hint="cs"/>
          <w:rtl/>
        </w:rPr>
        <w:t>. ورغم الانكماش المتواصل منذ عام 1999، جُمدت المع</w:t>
      </w:r>
      <w:r>
        <w:rPr>
          <w:rFonts w:hint="cs"/>
          <w:rtl/>
        </w:rPr>
        <w:t>دلات الموحدة في إطار نظام المساعدة الشامل ونظام المساعدة المتعلقة بالضمان الاجتماعي. ومراعاة لتراجع التضخم وما تلاه من انكماش مستمر على مدى الأعوام القليلة الماضية، ارتأينا تسوية المعدلات الموحدة بخفضها بنسبة 11.1 في المائة دون المساس بقدرة المستفيدين الشر</w:t>
      </w:r>
      <w:r>
        <w:rPr>
          <w:rFonts w:hint="cs"/>
          <w:rtl/>
        </w:rPr>
        <w:t xml:space="preserve">ائية التي تسمح بتلبية الاحتياجات الأساسية واللازمة على نحو ما كان مزمعا في البداية. </w:t>
      </w:r>
    </w:p>
    <w:p w:rsidR="00000000" w:rsidRDefault="00443EC1">
      <w:pPr>
        <w:spacing w:line="380" w:lineRule="exact"/>
        <w:jc w:val="both"/>
        <w:rPr>
          <w:rFonts w:hint="cs"/>
          <w:rtl/>
        </w:rPr>
      </w:pPr>
      <w:r>
        <w:rPr>
          <w:rFonts w:hint="cs"/>
          <w:rtl/>
        </w:rPr>
        <w:t>455-</w:t>
      </w:r>
      <w:r>
        <w:rPr>
          <w:rFonts w:hint="cs"/>
          <w:rtl/>
        </w:rPr>
        <w:tab/>
        <w:t>ولهذا السبب، قررنا خفض المعدلات الموحدة في إطار نظام المساعدة الشامل ومعدلات بدل الإعاقة في إطار نظام المساعدة المتعلقة بالضمان الاجتماعي بنسبة 11.1 في المائة، وفقا ل</w:t>
      </w:r>
      <w:r>
        <w:rPr>
          <w:rFonts w:hint="cs"/>
          <w:rtl/>
        </w:rPr>
        <w:t xml:space="preserve">لآلية المعتمدة. كما ستخفض معدلات مدفوعات موحدة أخرى في إطار نظام المساعدة الشامل. لكن معدلات بدل الشيخوخة في إطار نظام المساعدة المتعلقة بالضمان الاجتماعي ستظل مجمدة إلى حين </w:t>
      </w:r>
      <w:r>
        <w:rPr>
          <w:rFonts w:hint="cs"/>
          <w:rtl/>
        </w:rPr>
        <w:t xml:space="preserve">عودة التضخم. </w:t>
      </w:r>
    </w:p>
    <w:p w:rsidR="00000000" w:rsidRDefault="00443EC1">
      <w:pPr>
        <w:spacing w:line="380" w:lineRule="exact"/>
        <w:jc w:val="both"/>
        <w:rPr>
          <w:rFonts w:hint="cs"/>
          <w:rtl/>
        </w:rPr>
      </w:pPr>
      <w:r>
        <w:rPr>
          <w:rFonts w:hint="cs"/>
          <w:rtl/>
        </w:rPr>
        <w:t>456-</w:t>
      </w:r>
      <w:r>
        <w:rPr>
          <w:rFonts w:hint="cs"/>
          <w:rtl/>
        </w:rPr>
        <w:tab/>
        <w:t>وقد أتحنا "فترة تأقلم" بغية مساعدة المستفيدين على تكييف نمط إنف</w:t>
      </w:r>
      <w:r>
        <w:rPr>
          <w:rFonts w:hint="cs"/>
          <w:rtl/>
        </w:rPr>
        <w:t>اقهم. وسيدخل هذا التعديل حيز النفاذ بالنسبة للمستفيدين من نظام المساعدة الشامل وبدل الإعاقة في شهر حزيران/يونيه 2003. بينما ستدخل التعديلات المتصلة بالمستفيدين من نظام المساعدة الشامل غير السليمين بدنيا (كبار السن والمعوقين والعليلين) حيز النفاذ على مرحلتي</w:t>
      </w:r>
      <w:r>
        <w:rPr>
          <w:rFonts w:hint="cs"/>
          <w:rtl/>
        </w:rPr>
        <w:t xml:space="preserve">ن: الأولى في شهر تشرين الأول/أكتوبر 2003 والثانية في شهر تشرين الأول/أكتوبر 2004. </w:t>
      </w:r>
    </w:p>
    <w:p w:rsidR="00000000" w:rsidRDefault="00443EC1">
      <w:pPr>
        <w:spacing w:line="380" w:lineRule="exact"/>
        <w:jc w:val="both"/>
        <w:rPr>
          <w:rFonts w:hint="cs"/>
          <w:rtl/>
        </w:rPr>
      </w:pPr>
      <w:r>
        <w:rPr>
          <w:rFonts w:hint="cs"/>
          <w:rtl/>
        </w:rPr>
        <w:t>457-</w:t>
      </w:r>
      <w:r>
        <w:rPr>
          <w:rFonts w:hint="cs"/>
          <w:rtl/>
        </w:rPr>
        <w:tab/>
        <w:t>ولا بد من تسوية المعدلات لأن عدد الأسر والأفراد الذين يحتاجون إلى دعم مالي عام، في فترة تتسم بانكماش الاقتصاد وارتفاع البطالة، سيرتفع لا محالة. وللمحافظة على شبكة السلا</w:t>
      </w:r>
      <w:r>
        <w:rPr>
          <w:rFonts w:hint="cs"/>
          <w:rtl/>
        </w:rPr>
        <w:t>مة القائمة، علينا أن نكفل نمو مواردنا العامة المحدودة كي تلبي الطلب المتزايد على الضمان الاجتماعي. وعليه، لا يعتبر التعديل تخفيضا في مصروفات الرفاه الاجتماعي ويجب ألا يعتبر كذلك. إذ نبقى ملتزمين بتوفير شبكة سلامة متينة ومستديمة من الناحية المالية لحماية كب</w:t>
      </w:r>
      <w:r>
        <w:rPr>
          <w:rFonts w:hint="cs"/>
          <w:rtl/>
        </w:rPr>
        <w:t>ار السن والمعوقين والفئات المحرومة.</w:t>
      </w:r>
    </w:p>
    <w:p w:rsidR="00000000" w:rsidRDefault="00443EC1">
      <w:pPr>
        <w:spacing w:line="380" w:lineRule="exact"/>
        <w:jc w:val="both"/>
        <w:rPr>
          <w:rFonts w:hint="cs"/>
          <w:i/>
          <w:iCs/>
          <w:rtl/>
        </w:rPr>
      </w:pPr>
      <w:r>
        <w:rPr>
          <w:rFonts w:hint="cs"/>
          <w:i/>
          <w:iCs/>
          <w:rtl/>
        </w:rPr>
        <w:t>الحق في أيام الإجازة المرضية وفي التعويض في حالة المرض</w:t>
      </w:r>
    </w:p>
    <w:p w:rsidR="00000000" w:rsidRDefault="00443EC1">
      <w:pPr>
        <w:spacing w:line="380" w:lineRule="exact"/>
        <w:jc w:val="both"/>
        <w:rPr>
          <w:rFonts w:hint="cs"/>
          <w:rtl/>
          <w:lang w:bidi="ar-MA"/>
        </w:rPr>
      </w:pPr>
      <w:r>
        <w:rPr>
          <w:rFonts w:hint="cs"/>
          <w:rtl/>
        </w:rPr>
        <w:t>458-</w:t>
      </w:r>
      <w:r>
        <w:rPr>
          <w:rFonts w:hint="cs"/>
          <w:rtl/>
        </w:rPr>
        <w:tab/>
      </w:r>
      <w:r>
        <w:rPr>
          <w:rFonts w:hint="cs"/>
          <w:rtl/>
          <w:lang w:bidi="ar-MA"/>
        </w:rPr>
        <w:t xml:space="preserve">يبقى الوضع عموما كما تقدم شرحه في الفقرات من 162 إلى 164 من التقرير الأولي. وقد قمنا في شهر نيسان/أبريل 2001 بتعديل المادة 33 من الأمر الخاص بالعمالة لبيان أنه </w:t>
      </w:r>
      <w:r>
        <w:rPr>
          <w:rFonts w:hint="cs"/>
          <w:rtl/>
          <w:lang w:bidi="ar-MA"/>
        </w:rPr>
        <w:t xml:space="preserve">لا يجوز لرب العمل أن يفصل عاملا خلال الإجازة المرضية مدفوعة الأجر إلا في ظروف تبرر الفصل بإجراءات موجزة وفقا للأمر الخاص بالعمالة، وأن رب العمل الذي يقدم على ذلك يعرض نفسه للملاحقة. </w:t>
      </w:r>
    </w:p>
    <w:p w:rsidR="00000000" w:rsidRDefault="00443EC1">
      <w:pPr>
        <w:spacing w:line="380" w:lineRule="exact"/>
        <w:jc w:val="both"/>
        <w:rPr>
          <w:rFonts w:hint="cs"/>
          <w:i/>
          <w:iCs/>
          <w:rtl/>
          <w:lang w:bidi="ar-MA"/>
        </w:rPr>
      </w:pPr>
      <w:r>
        <w:rPr>
          <w:rFonts w:hint="cs"/>
          <w:i/>
          <w:iCs/>
          <w:rtl/>
          <w:lang w:bidi="ar-MA"/>
        </w:rPr>
        <w:t>الحق في مدفوعات الخدمة لمدة طويلة</w:t>
      </w:r>
    </w:p>
    <w:p w:rsidR="00000000" w:rsidRDefault="00443EC1">
      <w:pPr>
        <w:spacing w:line="380" w:lineRule="exact"/>
        <w:jc w:val="both"/>
        <w:rPr>
          <w:rFonts w:hint="cs"/>
          <w:rtl/>
          <w:lang w:bidi="ar-MA"/>
        </w:rPr>
      </w:pPr>
      <w:r>
        <w:rPr>
          <w:rFonts w:hint="cs"/>
          <w:rtl/>
          <w:lang w:bidi="ar-MA"/>
        </w:rPr>
        <w:t>459-</w:t>
      </w:r>
      <w:r>
        <w:rPr>
          <w:rFonts w:hint="cs"/>
          <w:rtl/>
          <w:lang w:bidi="ar-MA"/>
        </w:rPr>
        <w:tab/>
        <w:t xml:space="preserve">يبقى الوضع عموما كما تقدم شرحه في </w:t>
      </w:r>
      <w:r>
        <w:rPr>
          <w:rFonts w:hint="cs"/>
          <w:rtl/>
          <w:lang w:bidi="ar-MA"/>
        </w:rPr>
        <w:t>الفقرات من 165 إلى 167 من التقرير الأولي.</w:t>
      </w:r>
    </w:p>
    <w:p w:rsidR="00000000" w:rsidRDefault="00443EC1">
      <w:pPr>
        <w:spacing w:line="380" w:lineRule="exact"/>
        <w:jc w:val="both"/>
        <w:rPr>
          <w:rFonts w:hint="cs"/>
          <w:i/>
          <w:iCs/>
          <w:rtl/>
          <w:lang w:bidi="ar-MA"/>
        </w:rPr>
      </w:pPr>
      <w:r>
        <w:rPr>
          <w:rFonts w:hint="cs"/>
          <w:i/>
          <w:iCs/>
          <w:rtl/>
          <w:lang w:bidi="ar-MA"/>
        </w:rPr>
        <w:t>حماية دفع الأجور</w:t>
      </w:r>
    </w:p>
    <w:p w:rsidR="00000000" w:rsidRDefault="00443EC1">
      <w:pPr>
        <w:spacing w:line="380" w:lineRule="exact"/>
        <w:jc w:val="both"/>
        <w:rPr>
          <w:rFonts w:hint="cs"/>
          <w:rtl/>
          <w:lang w:bidi="ar-MA"/>
        </w:rPr>
      </w:pPr>
      <w:r>
        <w:rPr>
          <w:rFonts w:hint="cs"/>
          <w:rtl/>
          <w:lang w:bidi="ar-MA"/>
        </w:rPr>
        <w:t>460-</w:t>
      </w:r>
      <w:r>
        <w:rPr>
          <w:rFonts w:hint="cs"/>
          <w:rtl/>
          <w:lang w:bidi="ar-MA"/>
        </w:rPr>
        <w:tab/>
        <w:t>يبقى الوضع عموما كما تقدم شرحه في الفقرتين 168 و169 من التقرير الأولي.</w:t>
      </w:r>
    </w:p>
    <w:p w:rsidR="00000000" w:rsidRDefault="00443EC1">
      <w:pPr>
        <w:spacing w:line="380" w:lineRule="exact"/>
        <w:jc w:val="both"/>
        <w:rPr>
          <w:rFonts w:hint="cs"/>
          <w:i/>
          <w:iCs/>
          <w:rtl/>
          <w:lang w:bidi="ar-MA"/>
        </w:rPr>
      </w:pPr>
      <w:r>
        <w:rPr>
          <w:rFonts w:hint="cs"/>
          <w:i/>
          <w:iCs/>
          <w:rtl/>
          <w:lang w:bidi="ar-MA"/>
        </w:rPr>
        <w:t>تعويض الموظفين والتعويض في حالة الإصابة بتغبر الرئة</w:t>
      </w:r>
    </w:p>
    <w:p w:rsidR="00000000" w:rsidRDefault="00443EC1">
      <w:pPr>
        <w:spacing w:line="380" w:lineRule="exact"/>
        <w:jc w:val="both"/>
        <w:rPr>
          <w:rFonts w:hint="cs"/>
          <w:rtl/>
          <w:lang w:bidi="ar-MA"/>
        </w:rPr>
      </w:pPr>
      <w:r>
        <w:rPr>
          <w:rFonts w:hint="cs"/>
          <w:rtl/>
          <w:lang w:bidi="ar-MA"/>
        </w:rPr>
        <w:t>461-</w:t>
      </w:r>
      <w:r>
        <w:rPr>
          <w:rFonts w:hint="cs"/>
          <w:rtl/>
          <w:lang w:bidi="ar-MA"/>
        </w:rPr>
        <w:tab/>
        <w:t xml:space="preserve">يبقى الوضع العام في جوهره كما تقدم شرحه في الفقرتين 172 و173 من </w:t>
      </w:r>
      <w:r>
        <w:rPr>
          <w:rFonts w:hint="cs"/>
          <w:rtl/>
          <w:lang w:bidi="ar-MA"/>
        </w:rPr>
        <w:t>التقرير الأولي.</w:t>
      </w:r>
    </w:p>
    <w:p w:rsidR="00000000" w:rsidRDefault="00443EC1">
      <w:pPr>
        <w:spacing w:line="380" w:lineRule="exact"/>
        <w:jc w:val="both"/>
        <w:rPr>
          <w:rFonts w:hint="cs"/>
          <w:spacing w:val="0"/>
          <w:rtl/>
          <w:lang w:bidi="ar-MA"/>
        </w:rPr>
      </w:pPr>
      <w:r>
        <w:rPr>
          <w:rFonts w:hint="cs"/>
          <w:rtl/>
          <w:lang w:bidi="ar-MA"/>
        </w:rPr>
        <w:t>462-</w:t>
      </w:r>
      <w:r>
        <w:rPr>
          <w:rFonts w:hint="cs"/>
          <w:rtl/>
          <w:lang w:bidi="ar-MA"/>
        </w:rPr>
        <w:tab/>
        <w:t xml:space="preserve">وعُدلت مستويات التعويض عملاً بالأمر الخاص بتعويضات الموظفين (الفصل 282) والأمر الخاص </w:t>
      </w:r>
      <w:r>
        <w:rPr>
          <w:rFonts w:hint="cs"/>
          <w:spacing w:val="0"/>
          <w:rtl/>
          <w:lang w:bidi="ar-MA"/>
        </w:rPr>
        <w:t>بالتعويض في حالة الإصابة بتغبر الرئة (الفصل 360). وترد التفاصيل على التوالي في المرفق 9 - ألف والمرفق 9 - باء.</w:t>
      </w:r>
    </w:p>
    <w:p w:rsidR="00000000" w:rsidRDefault="00443EC1">
      <w:pPr>
        <w:spacing w:line="380" w:lineRule="exact"/>
        <w:jc w:val="both"/>
        <w:rPr>
          <w:i/>
          <w:iCs/>
          <w:rtl/>
        </w:rPr>
      </w:pPr>
      <w:r>
        <w:rPr>
          <w:i/>
          <w:iCs/>
          <w:rtl/>
        </w:rPr>
        <w:t xml:space="preserve">نظام التعويض </w:t>
      </w:r>
      <w:r>
        <w:rPr>
          <w:rFonts w:hint="cs"/>
          <w:i/>
          <w:iCs/>
          <w:rtl/>
        </w:rPr>
        <w:t>في حالة ا</w:t>
      </w:r>
      <w:r>
        <w:rPr>
          <w:i/>
          <w:iCs/>
          <w:rtl/>
        </w:rPr>
        <w:t>لإصابة بالصمم بسب</w:t>
      </w:r>
      <w:r>
        <w:rPr>
          <w:i/>
          <w:iCs/>
          <w:rtl/>
        </w:rPr>
        <w:t>ب العمل</w:t>
      </w:r>
    </w:p>
    <w:p w:rsidR="00000000" w:rsidRDefault="00443EC1">
      <w:pPr>
        <w:spacing w:line="380" w:lineRule="exact"/>
        <w:jc w:val="both"/>
        <w:rPr>
          <w:rFonts w:hint="cs"/>
          <w:rtl/>
          <w:lang w:bidi="ar-MA"/>
        </w:rPr>
      </w:pPr>
      <w:r>
        <w:rPr>
          <w:rFonts w:hint="cs"/>
          <w:rtl/>
          <w:lang w:bidi="ar-MA"/>
        </w:rPr>
        <w:t>463-</w:t>
      </w:r>
      <w:r>
        <w:rPr>
          <w:rFonts w:hint="cs"/>
          <w:rtl/>
          <w:lang w:bidi="ar-MA"/>
        </w:rPr>
        <w:tab/>
        <w:t xml:space="preserve">قدم مشروع تعديل قانون التعويض عن الإصابة بالصمم بسبب العمل إلى المجلس التشريعي في شهر نيسان/أبريل 2002. ويرمي مشروع التعديل إلى الرقي بمستوى استحقاقات العمال. ويعكف المشرعون حاليا على بحث هذا المشروع. </w:t>
      </w:r>
    </w:p>
    <w:p w:rsidR="00000000" w:rsidRDefault="00443EC1">
      <w:pPr>
        <w:spacing w:line="380" w:lineRule="exact"/>
        <w:jc w:val="both"/>
        <w:rPr>
          <w:rFonts w:hint="cs"/>
          <w:b/>
          <w:bCs/>
          <w:rtl/>
          <w:lang w:bidi="ar-MA"/>
        </w:rPr>
      </w:pPr>
      <w:r>
        <w:rPr>
          <w:rFonts w:hint="cs"/>
          <w:b/>
          <w:bCs/>
          <w:rtl/>
          <w:lang w:bidi="ar-MA"/>
        </w:rPr>
        <w:t>الاستحقاقات والحماية التقاعدية</w:t>
      </w:r>
    </w:p>
    <w:p w:rsidR="00000000" w:rsidRDefault="00443EC1">
      <w:pPr>
        <w:spacing w:line="380" w:lineRule="exact"/>
        <w:jc w:val="both"/>
        <w:rPr>
          <w:rFonts w:hint="cs"/>
          <w:rtl/>
        </w:rPr>
      </w:pPr>
      <w:r>
        <w:rPr>
          <w:rFonts w:hint="cs"/>
          <w:rtl/>
          <w:lang w:bidi="ar-MA"/>
        </w:rPr>
        <w:t>464-</w:t>
      </w:r>
      <w:r>
        <w:rPr>
          <w:rFonts w:hint="cs"/>
          <w:rtl/>
          <w:lang w:bidi="ar-MA"/>
        </w:rPr>
        <w:tab/>
        <w:t>أعربت</w:t>
      </w:r>
      <w:r>
        <w:rPr>
          <w:rFonts w:hint="cs"/>
          <w:rtl/>
          <w:lang w:bidi="ar-MA"/>
        </w:rPr>
        <w:t xml:space="preserve"> اللجنة في الفقرة 21 من ملاحظاتها الختامية عما يساورها من </w:t>
      </w:r>
      <w:r>
        <w:rPr>
          <w:rFonts w:hint="cs"/>
          <w:rtl/>
        </w:rPr>
        <w:t>قلق لأن "الكثيرين، ومن بينهم ربات بيوت ومعوقون ومسنون، مستثنون من مخطط صندوق الادخار الإلزامي". وحثت اللجنة منطقة هونغ كونغ الإدارية الخاصة في الفقرة 36 "على أن تعتمد نظاماً شاملاً للمعاشات التقاعدي</w:t>
      </w:r>
      <w:r>
        <w:rPr>
          <w:rFonts w:hint="cs"/>
          <w:rtl/>
        </w:rPr>
        <w:t xml:space="preserve">ة يوفر حماية تقاعدية وافية للسكان كافة، لا سيما لربات البيوت وأصحاب المهن الحرة العاملين لحسابهم، والمسنين والمعوقين". وعبر المعلقون المحليون عن بواعث القلق ذاتها، كما دعوا فضلا عن ذلك إلى توسيع المخطط ليشمل العاملين في الخدمة المنزلية. </w:t>
      </w:r>
    </w:p>
    <w:p w:rsidR="00000000" w:rsidRDefault="00443EC1">
      <w:pPr>
        <w:spacing w:line="380" w:lineRule="exact"/>
        <w:jc w:val="both"/>
        <w:rPr>
          <w:rFonts w:hint="cs"/>
          <w:rtl/>
        </w:rPr>
      </w:pPr>
      <w:r>
        <w:rPr>
          <w:rFonts w:hint="cs"/>
          <w:rtl/>
        </w:rPr>
        <w:t>465-</w:t>
      </w:r>
      <w:r>
        <w:rPr>
          <w:rFonts w:hint="cs"/>
          <w:rtl/>
        </w:rPr>
        <w:tab/>
      </w:r>
      <w:r>
        <w:rPr>
          <w:rFonts w:hint="cs"/>
          <w:spacing w:val="2"/>
          <w:rtl/>
        </w:rPr>
        <w:t xml:space="preserve">وقد شرحنا في </w:t>
      </w:r>
      <w:r>
        <w:rPr>
          <w:rFonts w:hint="cs"/>
          <w:spacing w:val="2"/>
          <w:rtl/>
        </w:rPr>
        <w:t>الفقرات من 183 إلى 187 من التقرير الأولي خلفية مخطط صندوق الادخار الإلزامي هذا. وبينا أن فكرة إنشاء الصندوق تستند أساسا إلى تقرير عام 1994 الصادر عن البنك الدولي للإنشاء والتعمير (البنك الدولي) والمعنون "توقي أزمة الشيخوخة: سياسات حماية المسنين ودعم النمو"</w:t>
      </w:r>
      <w:r>
        <w:rPr>
          <w:rFonts w:hint="cs"/>
          <w:spacing w:val="2"/>
          <w:vertAlign w:val="superscript"/>
          <w:rtl/>
        </w:rPr>
        <w:t>(25)</w:t>
      </w:r>
      <w:r>
        <w:rPr>
          <w:rFonts w:hint="cs"/>
          <w:spacing w:val="2"/>
          <w:rtl/>
        </w:rPr>
        <w:t>. واستشهدنا في الفقرة 187 بوجه التحديد برأي البنك الدولي، ومفاده أن النظام السليم لضمان ما بعد التقاعد يجب أن يقوم على ركائز ثلاث، هي</w:t>
      </w:r>
      <w:r>
        <w:rPr>
          <w:rFonts w:hint="cs"/>
          <w:rtl/>
        </w:rPr>
        <w:t>:</w:t>
      </w:r>
    </w:p>
    <w:p w:rsidR="00000000" w:rsidRDefault="00443EC1">
      <w:pPr>
        <w:spacing w:line="380" w:lineRule="exact"/>
        <w:jc w:val="both"/>
        <w:rPr>
          <w:rFonts w:hint="cs"/>
          <w:rtl/>
        </w:rPr>
      </w:pPr>
      <w:r>
        <w:rPr>
          <w:rFonts w:hint="cs"/>
          <w:rtl/>
        </w:rPr>
        <w:tab/>
        <w:t>(أ)</w:t>
      </w:r>
      <w:r>
        <w:rPr>
          <w:rFonts w:hint="cs"/>
          <w:rtl/>
        </w:rPr>
        <w:tab/>
        <w:t>شبكة سلامة ممولة من الضرائب تهدف تحديدا إلى الحد من فقر المسنين والتأمين من شتى مخاطر الحياة. وقد استجيب إلى هذا</w:t>
      </w:r>
      <w:r>
        <w:rPr>
          <w:rFonts w:hint="cs"/>
          <w:rtl/>
        </w:rPr>
        <w:t xml:space="preserve"> المطلب في هونغ كونغ من خلال نظام المساعدة الشامل في إطار الضمان الاجتماعي وبدل الشيخوخة؛</w:t>
      </w:r>
    </w:p>
    <w:p w:rsidR="00000000" w:rsidRDefault="00443EC1">
      <w:pPr>
        <w:spacing w:line="380" w:lineRule="exact"/>
        <w:jc w:val="both"/>
        <w:rPr>
          <w:rFonts w:hint="cs"/>
          <w:rtl/>
        </w:rPr>
      </w:pPr>
      <w:r>
        <w:rPr>
          <w:rFonts w:hint="cs"/>
          <w:rtl/>
        </w:rPr>
        <w:tab/>
        <w:t>(ب)</w:t>
      </w:r>
      <w:r>
        <w:rPr>
          <w:rFonts w:hint="cs"/>
          <w:rtl/>
        </w:rPr>
        <w:tab/>
        <w:t>خطط الادخار الشخصي أو المهني الطوعية بالنسبة للأشخاص الذين يريدون زيادة دخلهم وتأمينهم عند الشيخوخة. وهذه الخطط راسخة في هونغ كونغ؛</w:t>
      </w:r>
    </w:p>
    <w:p w:rsidR="00000000" w:rsidRDefault="00443EC1">
      <w:pPr>
        <w:spacing w:line="380" w:lineRule="exact"/>
        <w:jc w:val="both"/>
        <w:rPr>
          <w:rFonts w:hint="cs"/>
          <w:rtl/>
        </w:rPr>
      </w:pPr>
      <w:r>
        <w:rPr>
          <w:rFonts w:hint="cs"/>
          <w:rtl/>
        </w:rPr>
        <w:tab/>
        <w:t>(ج)</w:t>
      </w:r>
      <w:r>
        <w:rPr>
          <w:rFonts w:hint="cs"/>
          <w:rtl/>
        </w:rPr>
        <w:tab/>
        <w:t xml:space="preserve">نظام يديره القطاع الخاص </w:t>
      </w:r>
      <w:r>
        <w:rPr>
          <w:rFonts w:hint="cs"/>
          <w:rtl/>
        </w:rPr>
        <w:t>وتموله الاشتراكات بالكامل لفائدة العاملين (وهو ما يُنفذ حاليا في شكل مخطط صندوق الادخار الإلزامي).</w:t>
      </w:r>
    </w:p>
    <w:p w:rsidR="00000000" w:rsidRDefault="00443EC1">
      <w:pPr>
        <w:spacing w:line="380" w:lineRule="exact"/>
        <w:jc w:val="both"/>
        <w:rPr>
          <w:rFonts w:hint="cs"/>
          <w:rtl/>
        </w:rPr>
      </w:pPr>
      <w:r>
        <w:rPr>
          <w:rFonts w:hint="cs"/>
          <w:rtl/>
        </w:rPr>
        <w:t>466-</w:t>
      </w:r>
      <w:r>
        <w:rPr>
          <w:rFonts w:hint="cs"/>
          <w:rtl/>
        </w:rPr>
        <w:tab/>
        <w:t>ومخطط صندوق الادخار الإلزامي، إذن، ليس إلا دعامة من الدعائم التي حددها البنك الدولي، وباستطاعة المقيمين الذين لا يشملهم المخطط أن يستجيبوا لاحتياجاتهم ف</w:t>
      </w:r>
      <w:r>
        <w:rPr>
          <w:rFonts w:hint="cs"/>
          <w:rtl/>
        </w:rPr>
        <w:t>ي المستقبل بالاستثمار في مخططات ادخار أو ما شابه ذلك من أشكال الاستثمار المتاحة في السوق. ويوفر نظام الحماية الشامل ونظام دعم الاعتماد على الذات شبكة أمان لمن تتعذر عليهم الاستفادة من هذه الخيارات.</w:t>
      </w:r>
    </w:p>
    <w:p w:rsidR="00000000" w:rsidRDefault="00443EC1">
      <w:pPr>
        <w:spacing w:line="380" w:lineRule="exact"/>
        <w:jc w:val="both"/>
        <w:rPr>
          <w:rFonts w:hint="cs"/>
          <w:rtl/>
        </w:rPr>
      </w:pPr>
      <w:r>
        <w:rPr>
          <w:rFonts w:hint="cs"/>
          <w:rtl/>
        </w:rPr>
        <w:t>467-</w:t>
      </w:r>
      <w:r>
        <w:rPr>
          <w:rFonts w:hint="cs"/>
          <w:rtl/>
        </w:rPr>
        <w:tab/>
        <w:t>ويكمن سبب استثناء العمال في الخدمة المنزلية من نظام ص</w:t>
      </w:r>
      <w:r>
        <w:rPr>
          <w:rFonts w:hint="cs"/>
          <w:rtl/>
        </w:rPr>
        <w:t>ندوق الادخار الإلزامي في أن الامتثال والإنفاذ في غاية الصعوبة. ولا نريد إزعاج الأسر في بيوتها، وهو ما يتعين فعله للتحقيق في حالات عدم الامتثال المشتبه فيها وجمع الأدلة اللازمة للملاحقة. زد على ذلك أن العمال مطالبون بمسك سجلات بأمور كمدفوعات الاشتراكات. ومن</w:t>
      </w:r>
      <w:r>
        <w:rPr>
          <w:rFonts w:hint="cs"/>
          <w:rtl/>
        </w:rPr>
        <w:t xml:space="preserve"> الواضح أن ضمان الامتثال يستوجب اعتماد هذه التدابير. لكون هذه الأخيرة عبئا إضافيا على عاتق الأسر التي يشمل فيها المخطط العاملين في الخدمة المنزلية. ولهذه الأسباب، لا نزمع توسيع المخطط ليشمل العاملين في الخدمة المنزلية. </w:t>
      </w:r>
    </w:p>
    <w:p w:rsidR="00000000" w:rsidRDefault="00443EC1">
      <w:pPr>
        <w:spacing w:line="380" w:lineRule="exact"/>
        <w:jc w:val="both"/>
        <w:rPr>
          <w:rFonts w:hint="cs"/>
          <w:rtl/>
        </w:rPr>
      </w:pPr>
      <w:r>
        <w:rPr>
          <w:rFonts w:hint="cs"/>
          <w:rtl/>
        </w:rPr>
        <w:t>468-</w:t>
      </w:r>
      <w:r>
        <w:rPr>
          <w:rFonts w:hint="cs"/>
          <w:rtl/>
        </w:rPr>
        <w:tab/>
        <w:t>وأعرب المعلقون عما يساورهم من ق</w:t>
      </w:r>
      <w:r>
        <w:rPr>
          <w:rFonts w:hint="cs"/>
          <w:rtl/>
        </w:rPr>
        <w:t>لق لأن بعض أرباب العمل قد يسعون إلى تفادي مدفوعات صندوق الادخار الإلزامي بحمل عمالهم على العمل على أساس الاستشارة، أي على العمل للحساب الخاص. وقد عولج هذا الموضوع في الفقرة 413 أعلاه، في ما يتصل بالمادة 7.</w:t>
      </w:r>
    </w:p>
    <w:p w:rsidR="00000000" w:rsidRDefault="00443EC1">
      <w:pPr>
        <w:spacing w:line="380" w:lineRule="exact"/>
        <w:jc w:val="center"/>
        <w:rPr>
          <w:rFonts w:hint="cs"/>
          <w:b/>
          <w:bCs/>
          <w:rtl/>
        </w:rPr>
      </w:pPr>
      <w:r>
        <w:rPr>
          <w:rFonts w:hint="cs"/>
          <w:b/>
          <w:bCs/>
          <w:rtl/>
        </w:rPr>
        <w:t>ياء - المادة 10</w:t>
      </w:r>
    </w:p>
    <w:p w:rsidR="00000000" w:rsidRDefault="00443EC1">
      <w:pPr>
        <w:spacing w:line="380" w:lineRule="exact"/>
        <w:jc w:val="center"/>
        <w:rPr>
          <w:rFonts w:hint="cs"/>
          <w:b/>
          <w:bCs/>
          <w:rtl/>
        </w:rPr>
      </w:pPr>
      <w:r>
        <w:rPr>
          <w:rFonts w:hint="cs"/>
          <w:b/>
          <w:bCs/>
          <w:rtl/>
        </w:rPr>
        <w:t>حماية الأسرة</w:t>
      </w:r>
    </w:p>
    <w:p w:rsidR="00000000" w:rsidRDefault="00443EC1">
      <w:pPr>
        <w:spacing w:line="380" w:lineRule="exact"/>
        <w:jc w:val="both"/>
        <w:rPr>
          <w:rFonts w:hint="cs"/>
          <w:b/>
          <w:bCs/>
          <w:rtl/>
        </w:rPr>
      </w:pPr>
      <w:r>
        <w:rPr>
          <w:rFonts w:hint="cs"/>
          <w:b/>
          <w:bCs/>
          <w:rtl/>
        </w:rPr>
        <w:t>اتفاقيات العمل الدولي</w:t>
      </w:r>
      <w:r>
        <w:rPr>
          <w:rFonts w:hint="cs"/>
          <w:b/>
          <w:bCs/>
          <w:rtl/>
        </w:rPr>
        <w:t>ة</w:t>
      </w:r>
    </w:p>
    <w:p w:rsidR="00000000" w:rsidRDefault="00443EC1">
      <w:pPr>
        <w:spacing w:line="380" w:lineRule="exact"/>
        <w:jc w:val="both"/>
        <w:rPr>
          <w:rFonts w:hint="cs"/>
          <w:rtl/>
        </w:rPr>
      </w:pPr>
      <w:r>
        <w:rPr>
          <w:rFonts w:hint="cs"/>
          <w:rtl/>
        </w:rPr>
        <w:t>469-</w:t>
      </w:r>
      <w:r>
        <w:rPr>
          <w:rFonts w:hint="cs"/>
          <w:rtl/>
        </w:rPr>
        <w:tab/>
      </w:r>
      <w:r>
        <w:rPr>
          <w:rFonts w:hint="cs"/>
          <w:spacing w:val="0"/>
          <w:rtl/>
        </w:rPr>
        <w:t>في شهر نيسان/أبريل 1999، أخطرت الصين منظمة العمل الدولية بأن اتفاقية السن الدنيا (الاتفاقية رقم 138) ستنطبق على منطقة هونغ كونغ الإدارية الخاصة. ودخلت الاتفاقية حيز النفاذ في منطقة هونغ كونغ في 28 نيسان/أبريل 2000. وسرت اتفاقية أسوأ أشكال عمل الأطفا</w:t>
      </w:r>
      <w:r>
        <w:rPr>
          <w:rFonts w:hint="cs"/>
          <w:spacing w:val="0"/>
          <w:rtl/>
        </w:rPr>
        <w:t>ل (الاتفاقية رقم 182) على منطقة هونغ كونغ ابتداء من 8 آب/أغسطس 2002، على أن تدخل حيز النفاذ في 8 آب/أغسطس 2003. وقُدمت إلى منظمة العمل الدولية معلومات عن سن العمل الدنيا في التقريرين المقدمين بموجب المادة 22، بشأن اتفاقية السن الدنيا (الاتفاقية رقم 138) عن</w:t>
      </w:r>
      <w:r>
        <w:rPr>
          <w:rFonts w:hint="cs"/>
          <w:spacing w:val="0"/>
          <w:rtl/>
        </w:rPr>
        <w:t xml:space="preserve"> الفترة من 28 نيسان/أبريل 2000 إلى 31 أيار/مايو 2001 والفترة من 1 حزيران/يونيه 2001 إلى 31 أيار /مايو 2002.</w:t>
      </w:r>
    </w:p>
    <w:p w:rsidR="00000000" w:rsidRDefault="00443EC1">
      <w:pPr>
        <w:spacing w:line="380" w:lineRule="exact"/>
        <w:jc w:val="both"/>
        <w:rPr>
          <w:rFonts w:hint="cs"/>
          <w:b/>
          <w:bCs/>
          <w:rtl/>
        </w:rPr>
      </w:pPr>
      <w:r>
        <w:rPr>
          <w:rFonts w:hint="cs"/>
          <w:b/>
          <w:bCs/>
          <w:rtl/>
        </w:rPr>
        <w:t>الأسرة</w:t>
      </w:r>
    </w:p>
    <w:p w:rsidR="00000000" w:rsidRDefault="00443EC1">
      <w:pPr>
        <w:spacing w:line="380" w:lineRule="exact"/>
        <w:jc w:val="both"/>
        <w:rPr>
          <w:rFonts w:hint="cs"/>
          <w:rtl/>
          <w:lang w:bidi="ar-MA"/>
        </w:rPr>
      </w:pPr>
      <w:r>
        <w:rPr>
          <w:rFonts w:hint="cs"/>
          <w:rtl/>
        </w:rPr>
        <w:t>470-</w:t>
      </w:r>
      <w:r>
        <w:rPr>
          <w:rFonts w:hint="cs"/>
          <w:rtl/>
          <w:lang w:bidi="ar-MA"/>
        </w:rPr>
        <w:tab/>
        <w:t>يبقى الوضع عموما كما تقدم شرحه في الفقرة 198 من التقرير الأولي.</w:t>
      </w:r>
    </w:p>
    <w:p w:rsidR="00000000" w:rsidRDefault="00443EC1">
      <w:pPr>
        <w:spacing w:line="380" w:lineRule="exact"/>
        <w:jc w:val="both"/>
        <w:rPr>
          <w:rFonts w:hint="cs"/>
          <w:b/>
          <w:bCs/>
          <w:rtl/>
          <w:lang w:bidi="ar-MA"/>
        </w:rPr>
      </w:pPr>
      <w:r>
        <w:rPr>
          <w:rFonts w:hint="cs"/>
          <w:b/>
          <w:bCs/>
          <w:rtl/>
          <w:lang w:bidi="ar-MA"/>
        </w:rPr>
        <w:t>تعريف "الأسرة"</w:t>
      </w:r>
    </w:p>
    <w:p w:rsidR="00000000" w:rsidRDefault="00443EC1">
      <w:pPr>
        <w:spacing w:line="380" w:lineRule="exact"/>
        <w:jc w:val="both"/>
        <w:rPr>
          <w:rFonts w:hint="cs"/>
          <w:rtl/>
          <w:lang w:bidi="ar-MA"/>
        </w:rPr>
      </w:pPr>
      <w:r>
        <w:rPr>
          <w:rFonts w:hint="cs"/>
          <w:rtl/>
          <w:lang w:bidi="ar-MA"/>
        </w:rPr>
        <w:t>471-</w:t>
      </w:r>
      <w:r>
        <w:rPr>
          <w:rFonts w:hint="cs"/>
          <w:rtl/>
          <w:lang w:bidi="ar-MA"/>
        </w:rPr>
        <w:tab/>
        <w:t xml:space="preserve">ما زلنا نعرّف مصطلح "الأسرة" كما بينا في الفقرة 199 </w:t>
      </w:r>
      <w:r>
        <w:rPr>
          <w:rFonts w:hint="cs"/>
          <w:rtl/>
          <w:lang w:bidi="ar-MA"/>
        </w:rPr>
        <w:t xml:space="preserve">من التقرير الأولي. </w:t>
      </w:r>
    </w:p>
    <w:p w:rsidR="00000000" w:rsidRDefault="00443EC1">
      <w:pPr>
        <w:spacing w:line="380" w:lineRule="exact"/>
        <w:jc w:val="both"/>
        <w:rPr>
          <w:rFonts w:hint="cs"/>
          <w:b/>
          <w:bCs/>
          <w:rtl/>
          <w:lang w:bidi="ar-MA"/>
        </w:rPr>
      </w:pPr>
      <w:r>
        <w:rPr>
          <w:rFonts w:hint="cs"/>
          <w:b/>
          <w:bCs/>
          <w:rtl/>
          <w:lang w:bidi="ar-MA"/>
        </w:rPr>
        <w:t>الأسر النواة غير الموسعة</w:t>
      </w:r>
    </w:p>
    <w:p w:rsidR="00000000" w:rsidRDefault="00443EC1">
      <w:pPr>
        <w:spacing w:line="380" w:lineRule="exact"/>
        <w:jc w:val="both"/>
        <w:rPr>
          <w:rFonts w:hint="cs"/>
          <w:rtl/>
          <w:lang w:bidi="ar-MA"/>
        </w:rPr>
      </w:pPr>
      <w:r>
        <w:rPr>
          <w:rFonts w:hint="cs"/>
          <w:rtl/>
          <w:lang w:bidi="ar-MA"/>
        </w:rPr>
        <w:t>472-</w:t>
      </w:r>
      <w:r>
        <w:rPr>
          <w:rFonts w:hint="cs"/>
          <w:rtl/>
          <w:lang w:bidi="ar-MA"/>
        </w:rPr>
        <w:tab/>
        <w:t>يشير تعداد سكان هونغ كونغ الذي أجري عام 2001 إلى أن نسبة الأسر النواة غير الموسعة قد ارتفعت من معدل 63.6 في المائة المشار إليه في الفقرة 200 من التقرير الأولي إلى معدل 66.2 في المائة. غير أن متوسط عدد أفراد</w:t>
      </w:r>
      <w:r>
        <w:rPr>
          <w:rFonts w:hint="cs"/>
          <w:rtl/>
          <w:lang w:bidi="ar-MA"/>
        </w:rPr>
        <w:t xml:space="preserve"> هذه الأسر قد انخفض من 3.5 إلى 3.4. </w:t>
      </w:r>
    </w:p>
    <w:p w:rsidR="00000000" w:rsidRDefault="00443EC1">
      <w:pPr>
        <w:spacing w:line="380" w:lineRule="exact"/>
        <w:jc w:val="both"/>
        <w:rPr>
          <w:rFonts w:hint="cs"/>
          <w:b/>
          <w:bCs/>
          <w:rtl/>
          <w:lang w:bidi="ar-MA"/>
        </w:rPr>
      </w:pPr>
      <w:r>
        <w:rPr>
          <w:rFonts w:hint="cs"/>
          <w:b/>
          <w:bCs/>
          <w:rtl/>
          <w:lang w:bidi="ar-MA"/>
        </w:rPr>
        <w:t>الأسرة الوحيدة الوالد والأسر المفككة</w:t>
      </w:r>
    </w:p>
    <w:p w:rsidR="00000000" w:rsidRDefault="00443EC1">
      <w:pPr>
        <w:spacing w:line="380" w:lineRule="exact"/>
        <w:jc w:val="both"/>
        <w:rPr>
          <w:rFonts w:hint="cs"/>
          <w:rtl/>
          <w:lang w:bidi="ar-MA"/>
        </w:rPr>
      </w:pPr>
      <w:r>
        <w:rPr>
          <w:rFonts w:hint="cs"/>
          <w:rtl/>
          <w:lang w:bidi="ar-MA"/>
        </w:rPr>
        <w:t>473-</w:t>
      </w:r>
      <w:r>
        <w:rPr>
          <w:rFonts w:hint="cs"/>
          <w:rtl/>
          <w:lang w:bidi="ar-MA"/>
        </w:rPr>
        <w:tab/>
        <w:t>يتجلى الوضع في ما يلي:</w:t>
      </w:r>
    </w:p>
    <w:tbl>
      <w:tblPr>
        <w:bidiVisual/>
        <w:tblW w:w="0" w:type="auto"/>
        <w:jc w:val="center"/>
        <w:tblLayout w:type="fixed"/>
        <w:tblLook w:val="0000" w:firstRow="0" w:lastRow="0" w:firstColumn="0" w:lastColumn="0" w:noHBand="0" w:noVBand="0"/>
      </w:tblPr>
      <w:tblGrid>
        <w:gridCol w:w="1620"/>
        <w:gridCol w:w="2520"/>
        <w:gridCol w:w="2357"/>
        <w:gridCol w:w="2863"/>
      </w:tblGrid>
      <w:tr w:rsidR="00443EC1" w:rsidTr="00443EC1">
        <w:tblPrEx>
          <w:tblCellMar>
            <w:top w:w="0" w:type="dxa"/>
            <w:bottom w:w="0" w:type="dxa"/>
          </w:tblCellMar>
        </w:tblPrEx>
        <w:trPr>
          <w:jc w:val="center"/>
        </w:trPr>
        <w:tc>
          <w:tcPr>
            <w:tcW w:w="1620" w:type="dxa"/>
            <w:tcBorders>
              <w:top w:val="single" w:sz="4" w:space="0" w:color="auto"/>
              <w:left w:val="single" w:sz="4" w:space="0" w:color="auto"/>
              <w:bottom w:val="single" w:sz="4" w:space="0" w:color="auto"/>
              <w:right w:val="single" w:sz="4" w:space="0" w:color="auto"/>
            </w:tcBorders>
          </w:tcPr>
          <w:p w:rsidR="00443EC1" w:rsidRDefault="00443EC1">
            <w:pPr>
              <w:spacing w:before="0" w:after="0" w:line="320" w:lineRule="exact"/>
              <w:jc w:val="center"/>
              <w:rPr>
                <w:rtl/>
              </w:rPr>
            </w:pPr>
            <w:r>
              <w:rPr>
                <w:rtl/>
              </w:rPr>
              <w:t>السنة</w:t>
            </w:r>
          </w:p>
        </w:tc>
        <w:tc>
          <w:tcPr>
            <w:tcW w:w="2520" w:type="dxa"/>
            <w:tcBorders>
              <w:top w:val="single" w:sz="4" w:space="0" w:color="auto"/>
              <w:left w:val="single" w:sz="4" w:space="0" w:color="auto"/>
              <w:bottom w:val="single" w:sz="4" w:space="0" w:color="auto"/>
              <w:right w:val="single" w:sz="4" w:space="0" w:color="auto"/>
            </w:tcBorders>
          </w:tcPr>
          <w:p w:rsidR="00443EC1" w:rsidRDefault="00443EC1">
            <w:pPr>
              <w:spacing w:before="0" w:after="0" w:line="320" w:lineRule="exact"/>
              <w:jc w:val="center"/>
              <w:rPr>
                <w:rtl/>
              </w:rPr>
            </w:pPr>
            <w:r>
              <w:rPr>
                <w:rtl/>
              </w:rPr>
              <w:t>أم وحيدة</w:t>
            </w:r>
          </w:p>
        </w:tc>
        <w:tc>
          <w:tcPr>
            <w:tcW w:w="2357" w:type="dxa"/>
            <w:tcBorders>
              <w:top w:val="single" w:sz="4" w:space="0" w:color="auto"/>
              <w:left w:val="single" w:sz="4" w:space="0" w:color="auto"/>
              <w:bottom w:val="single" w:sz="4" w:space="0" w:color="auto"/>
              <w:right w:val="single" w:sz="4" w:space="0" w:color="auto"/>
            </w:tcBorders>
          </w:tcPr>
          <w:p w:rsidR="00443EC1" w:rsidRDefault="00443EC1">
            <w:pPr>
              <w:spacing w:before="0" w:after="0" w:line="320" w:lineRule="exact"/>
              <w:jc w:val="center"/>
              <w:rPr>
                <w:rtl/>
              </w:rPr>
            </w:pPr>
            <w:r>
              <w:rPr>
                <w:rtl/>
              </w:rPr>
              <w:t>أب وحيد</w:t>
            </w:r>
          </w:p>
        </w:tc>
        <w:tc>
          <w:tcPr>
            <w:tcW w:w="2863" w:type="dxa"/>
            <w:tcBorders>
              <w:top w:val="single" w:sz="4" w:space="0" w:color="auto"/>
              <w:left w:val="single" w:sz="4" w:space="0" w:color="auto"/>
              <w:bottom w:val="single" w:sz="4" w:space="0" w:color="auto"/>
              <w:right w:val="single" w:sz="4" w:space="0" w:color="auto"/>
            </w:tcBorders>
          </w:tcPr>
          <w:p w:rsidR="00443EC1" w:rsidRDefault="00443EC1">
            <w:pPr>
              <w:spacing w:before="0" w:after="0" w:line="320" w:lineRule="exact"/>
              <w:jc w:val="center"/>
              <w:rPr>
                <w:rtl/>
              </w:rPr>
            </w:pPr>
            <w:r>
              <w:rPr>
                <w:rtl/>
              </w:rPr>
              <w:t>المجموع</w:t>
            </w:r>
          </w:p>
        </w:tc>
      </w:tr>
      <w:tr w:rsidR="00443EC1" w:rsidTr="00443EC1">
        <w:tblPrEx>
          <w:tblCellMar>
            <w:top w:w="0" w:type="dxa"/>
            <w:bottom w:w="0" w:type="dxa"/>
          </w:tblCellMar>
        </w:tblPrEx>
        <w:trPr>
          <w:jc w:val="center"/>
        </w:trPr>
        <w:tc>
          <w:tcPr>
            <w:tcW w:w="1620" w:type="dxa"/>
            <w:tcBorders>
              <w:top w:val="single" w:sz="4" w:space="0" w:color="auto"/>
              <w:left w:val="single" w:sz="4" w:space="0" w:color="auto"/>
              <w:right w:val="single" w:sz="4" w:space="0" w:color="auto"/>
            </w:tcBorders>
          </w:tcPr>
          <w:p w:rsidR="00443EC1" w:rsidRDefault="00443EC1">
            <w:pPr>
              <w:spacing w:before="0" w:after="0" w:line="320" w:lineRule="exact"/>
              <w:jc w:val="center"/>
              <w:rPr>
                <w:rFonts w:hint="cs"/>
                <w:rtl/>
              </w:rPr>
            </w:pPr>
            <w:r>
              <w:rPr>
                <w:rFonts w:hint="cs"/>
                <w:rtl/>
              </w:rPr>
              <w:t>2001</w:t>
            </w:r>
          </w:p>
        </w:tc>
        <w:tc>
          <w:tcPr>
            <w:tcW w:w="2520" w:type="dxa"/>
            <w:tcBorders>
              <w:top w:val="single" w:sz="4" w:space="0" w:color="auto"/>
              <w:left w:val="single" w:sz="4" w:space="0" w:color="auto"/>
              <w:right w:val="single" w:sz="4" w:space="0" w:color="auto"/>
            </w:tcBorders>
          </w:tcPr>
          <w:p w:rsidR="00443EC1" w:rsidRDefault="00443EC1">
            <w:pPr>
              <w:spacing w:before="0" w:after="0" w:line="320" w:lineRule="exact"/>
              <w:jc w:val="center"/>
              <w:rPr>
                <w:rFonts w:hint="cs"/>
                <w:rtl/>
              </w:rPr>
            </w:pPr>
            <w:r>
              <w:rPr>
                <w:rFonts w:hint="cs"/>
                <w:rtl/>
              </w:rPr>
              <w:t>072 45 (77.1</w:t>
            </w:r>
            <w:r>
              <w:rPr>
                <w:rFonts w:cs="Mudir MT" w:hint="cs"/>
                <w:sz w:val="24"/>
                <w:szCs w:val="24"/>
                <w:rtl/>
                <w:lang w:eastAsia="en-US"/>
              </w:rPr>
              <w:t>%</w:t>
            </w:r>
            <w:r>
              <w:rPr>
                <w:rFonts w:hint="cs"/>
                <w:rtl/>
              </w:rPr>
              <w:t>)</w:t>
            </w:r>
          </w:p>
        </w:tc>
        <w:tc>
          <w:tcPr>
            <w:tcW w:w="2357" w:type="dxa"/>
            <w:tcBorders>
              <w:top w:val="single" w:sz="4" w:space="0" w:color="auto"/>
              <w:left w:val="single" w:sz="4" w:space="0" w:color="auto"/>
              <w:right w:val="single" w:sz="4" w:space="0" w:color="auto"/>
            </w:tcBorders>
          </w:tcPr>
          <w:p w:rsidR="00443EC1" w:rsidRDefault="00443EC1">
            <w:pPr>
              <w:spacing w:before="0" w:after="0" w:line="320" w:lineRule="exact"/>
              <w:jc w:val="center"/>
              <w:rPr>
                <w:rFonts w:hint="cs"/>
                <w:rtl/>
              </w:rPr>
            </w:pPr>
            <w:r>
              <w:rPr>
                <w:rFonts w:hint="cs"/>
                <w:rtl/>
              </w:rPr>
              <w:t>388 13 (22.99</w:t>
            </w:r>
            <w:r>
              <w:rPr>
                <w:rFonts w:cs="Mudir MT" w:hint="cs"/>
                <w:sz w:val="24"/>
                <w:szCs w:val="24"/>
                <w:rtl/>
                <w:lang w:eastAsia="en-US"/>
              </w:rPr>
              <w:t>%</w:t>
            </w:r>
            <w:r>
              <w:rPr>
                <w:rFonts w:hint="cs"/>
                <w:rtl/>
              </w:rPr>
              <w:t>)</w:t>
            </w:r>
          </w:p>
        </w:tc>
        <w:tc>
          <w:tcPr>
            <w:tcW w:w="2863" w:type="dxa"/>
            <w:tcBorders>
              <w:top w:val="single" w:sz="4" w:space="0" w:color="auto"/>
              <w:left w:val="single" w:sz="4" w:space="0" w:color="auto"/>
              <w:right w:val="single" w:sz="4" w:space="0" w:color="auto"/>
            </w:tcBorders>
          </w:tcPr>
          <w:p w:rsidR="00443EC1" w:rsidRDefault="00443EC1">
            <w:pPr>
              <w:spacing w:before="0" w:after="0" w:line="320" w:lineRule="exact"/>
              <w:jc w:val="center"/>
              <w:rPr>
                <w:rFonts w:hint="cs"/>
                <w:rtl/>
              </w:rPr>
            </w:pPr>
            <w:r>
              <w:rPr>
                <w:rFonts w:hint="cs"/>
                <w:rtl/>
              </w:rPr>
              <w:t>460 58 (100</w:t>
            </w:r>
            <w:r>
              <w:rPr>
                <w:rFonts w:cs="Mudir MT" w:hint="cs"/>
                <w:sz w:val="24"/>
                <w:szCs w:val="24"/>
                <w:rtl/>
                <w:lang w:eastAsia="en-US"/>
              </w:rPr>
              <w:t>%</w:t>
            </w:r>
            <w:r>
              <w:rPr>
                <w:rFonts w:hint="cs"/>
                <w:rtl/>
              </w:rPr>
              <w:t>)</w:t>
            </w:r>
          </w:p>
        </w:tc>
      </w:tr>
      <w:tr w:rsidR="00443EC1" w:rsidTr="00443EC1">
        <w:tblPrEx>
          <w:tblCellMar>
            <w:top w:w="0" w:type="dxa"/>
            <w:bottom w:w="0" w:type="dxa"/>
          </w:tblCellMar>
        </w:tblPrEx>
        <w:trPr>
          <w:jc w:val="center"/>
        </w:trPr>
        <w:tc>
          <w:tcPr>
            <w:tcW w:w="1620" w:type="dxa"/>
            <w:tcBorders>
              <w:left w:val="single" w:sz="4" w:space="0" w:color="auto"/>
              <w:right w:val="single" w:sz="4" w:space="0" w:color="auto"/>
            </w:tcBorders>
          </w:tcPr>
          <w:p w:rsidR="00443EC1" w:rsidRDefault="00443EC1">
            <w:pPr>
              <w:spacing w:before="0" w:after="0" w:line="320" w:lineRule="exact"/>
              <w:jc w:val="center"/>
              <w:rPr>
                <w:rFonts w:hint="cs"/>
                <w:rtl/>
              </w:rPr>
            </w:pPr>
            <w:r>
              <w:rPr>
                <w:rFonts w:hint="cs"/>
                <w:rtl/>
              </w:rPr>
              <w:t>1996</w:t>
            </w:r>
          </w:p>
        </w:tc>
        <w:tc>
          <w:tcPr>
            <w:tcW w:w="2520" w:type="dxa"/>
            <w:tcBorders>
              <w:left w:val="single" w:sz="4" w:space="0" w:color="auto"/>
              <w:right w:val="single" w:sz="4" w:space="0" w:color="auto"/>
            </w:tcBorders>
          </w:tcPr>
          <w:p w:rsidR="00443EC1" w:rsidRDefault="00443EC1">
            <w:pPr>
              <w:spacing w:before="0" w:after="0" w:line="320" w:lineRule="exact"/>
              <w:jc w:val="center"/>
              <w:rPr>
                <w:rFonts w:hint="cs"/>
                <w:rtl/>
              </w:rPr>
            </w:pPr>
            <w:r>
              <w:rPr>
                <w:rFonts w:hint="cs"/>
                <w:rtl/>
              </w:rPr>
              <w:t>402 30 (71.9</w:t>
            </w:r>
            <w:r>
              <w:rPr>
                <w:rFonts w:cs="Mudir MT" w:hint="cs"/>
                <w:sz w:val="24"/>
                <w:szCs w:val="24"/>
                <w:rtl/>
                <w:lang w:eastAsia="en-US"/>
              </w:rPr>
              <w:t>%</w:t>
            </w:r>
            <w:r>
              <w:rPr>
                <w:rFonts w:hint="cs"/>
                <w:rtl/>
              </w:rPr>
              <w:t>)</w:t>
            </w:r>
          </w:p>
        </w:tc>
        <w:tc>
          <w:tcPr>
            <w:tcW w:w="2357" w:type="dxa"/>
            <w:tcBorders>
              <w:left w:val="single" w:sz="4" w:space="0" w:color="auto"/>
              <w:right w:val="single" w:sz="4" w:space="0" w:color="auto"/>
            </w:tcBorders>
          </w:tcPr>
          <w:p w:rsidR="00443EC1" w:rsidRDefault="00443EC1">
            <w:pPr>
              <w:spacing w:before="0" w:after="0" w:line="320" w:lineRule="exact"/>
              <w:jc w:val="center"/>
              <w:rPr>
                <w:rFonts w:hint="cs"/>
                <w:rtl/>
              </w:rPr>
            </w:pPr>
            <w:r>
              <w:rPr>
                <w:rFonts w:hint="cs"/>
                <w:rtl/>
              </w:rPr>
              <w:t>907 11 (28.1</w:t>
            </w:r>
            <w:r>
              <w:rPr>
                <w:rFonts w:cs="Mudir MT" w:hint="cs"/>
                <w:sz w:val="24"/>
                <w:szCs w:val="24"/>
                <w:rtl/>
                <w:lang w:eastAsia="en-US"/>
              </w:rPr>
              <w:t>%</w:t>
            </w:r>
            <w:r>
              <w:rPr>
                <w:rFonts w:hint="cs"/>
                <w:rtl/>
              </w:rPr>
              <w:t>)</w:t>
            </w:r>
          </w:p>
        </w:tc>
        <w:tc>
          <w:tcPr>
            <w:tcW w:w="2863" w:type="dxa"/>
            <w:tcBorders>
              <w:left w:val="single" w:sz="4" w:space="0" w:color="auto"/>
              <w:right w:val="single" w:sz="4" w:space="0" w:color="auto"/>
            </w:tcBorders>
          </w:tcPr>
          <w:p w:rsidR="00443EC1" w:rsidRDefault="00443EC1">
            <w:pPr>
              <w:spacing w:before="0" w:after="0" w:line="320" w:lineRule="exact"/>
              <w:jc w:val="center"/>
              <w:rPr>
                <w:rFonts w:hint="cs"/>
                <w:rtl/>
              </w:rPr>
            </w:pPr>
            <w:r>
              <w:rPr>
                <w:rFonts w:hint="cs"/>
                <w:rtl/>
              </w:rPr>
              <w:t>309 42 (100</w:t>
            </w:r>
            <w:r>
              <w:rPr>
                <w:rFonts w:cs="Mudir MT" w:hint="cs"/>
                <w:sz w:val="24"/>
                <w:szCs w:val="24"/>
                <w:rtl/>
                <w:lang w:eastAsia="en-US"/>
              </w:rPr>
              <w:t>%</w:t>
            </w:r>
            <w:r>
              <w:rPr>
                <w:rFonts w:hint="cs"/>
                <w:rtl/>
              </w:rPr>
              <w:t>)</w:t>
            </w:r>
          </w:p>
        </w:tc>
      </w:tr>
      <w:tr w:rsidR="00443EC1" w:rsidTr="00443EC1">
        <w:tblPrEx>
          <w:tblCellMar>
            <w:top w:w="0" w:type="dxa"/>
            <w:bottom w:w="0" w:type="dxa"/>
          </w:tblCellMar>
        </w:tblPrEx>
        <w:trPr>
          <w:jc w:val="center"/>
        </w:trPr>
        <w:tc>
          <w:tcPr>
            <w:tcW w:w="1620" w:type="dxa"/>
            <w:tcBorders>
              <w:left w:val="single" w:sz="4" w:space="0" w:color="auto"/>
              <w:bottom w:val="single" w:sz="4" w:space="0" w:color="auto"/>
              <w:right w:val="single" w:sz="4" w:space="0" w:color="auto"/>
            </w:tcBorders>
          </w:tcPr>
          <w:p w:rsidR="00443EC1" w:rsidRDefault="00443EC1">
            <w:pPr>
              <w:spacing w:before="0" w:after="0" w:line="320" w:lineRule="exact"/>
              <w:jc w:val="center"/>
              <w:rPr>
                <w:rFonts w:hint="cs"/>
                <w:rtl/>
              </w:rPr>
            </w:pPr>
            <w:r>
              <w:rPr>
                <w:rFonts w:hint="cs"/>
                <w:rtl/>
              </w:rPr>
              <w:t>1991</w:t>
            </w:r>
          </w:p>
        </w:tc>
        <w:tc>
          <w:tcPr>
            <w:tcW w:w="2520" w:type="dxa"/>
            <w:tcBorders>
              <w:left w:val="single" w:sz="4" w:space="0" w:color="auto"/>
              <w:bottom w:val="single" w:sz="4" w:space="0" w:color="auto"/>
              <w:right w:val="single" w:sz="4" w:space="0" w:color="auto"/>
            </w:tcBorders>
          </w:tcPr>
          <w:p w:rsidR="00443EC1" w:rsidRDefault="00443EC1">
            <w:pPr>
              <w:spacing w:before="0" w:after="0" w:line="320" w:lineRule="exact"/>
              <w:jc w:val="center"/>
              <w:rPr>
                <w:rFonts w:hint="cs"/>
                <w:rtl/>
              </w:rPr>
            </w:pPr>
            <w:r>
              <w:rPr>
                <w:rFonts w:hint="cs"/>
                <w:rtl/>
              </w:rPr>
              <w:t>059 23 (66.8</w:t>
            </w:r>
            <w:r>
              <w:rPr>
                <w:rFonts w:cs="Mudir MT" w:hint="cs"/>
                <w:sz w:val="24"/>
                <w:szCs w:val="24"/>
                <w:rtl/>
                <w:lang w:eastAsia="en-US"/>
              </w:rPr>
              <w:t>%</w:t>
            </w:r>
            <w:r>
              <w:rPr>
                <w:rFonts w:hint="cs"/>
                <w:rtl/>
              </w:rPr>
              <w:t>)</w:t>
            </w:r>
          </w:p>
        </w:tc>
        <w:tc>
          <w:tcPr>
            <w:tcW w:w="2357" w:type="dxa"/>
            <w:tcBorders>
              <w:left w:val="single" w:sz="4" w:space="0" w:color="auto"/>
              <w:bottom w:val="single" w:sz="4" w:space="0" w:color="auto"/>
              <w:right w:val="single" w:sz="4" w:space="0" w:color="auto"/>
            </w:tcBorders>
          </w:tcPr>
          <w:p w:rsidR="00443EC1" w:rsidRDefault="00443EC1">
            <w:pPr>
              <w:spacing w:before="0" w:after="0" w:line="320" w:lineRule="exact"/>
              <w:jc w:val="center"/>
              <w:rPr>
                <w:rFonts w:hint="cs"/>
                <w:rtl/>
              </w:rPr>
            </w:pPr>
            <w:r>
              <w:rPr>
                <w:rFonts w:hint="cs"/>
                <w:rtl/>
              </w:rPr>
              <w:t>479 11 (33.2</w:t>
            </w:r>
            <w:r>
              <w:rPr>
                <w:rFonts w:cs="Mudir MT" w:hint="cs"/>
                <w:sz w:val="24"/>
                <w:szCs w:val="24"/>
                <w:rtl/>
                <w:lang w:eastAsia="en-US"/>
              </w:rPr>
              <w:t>%</w:t>
            </w:r>
            <w:r>
              <w:rPr>
                <w:rFonts w:hint="cs"/>
                <w:rtl/>
              </w:rPr>
              <w:t>)</w:t>
            </w:r>
          </w:p>
        </w:tc>
        <w:tc>
          <w:tcPr>
            <w:tcW w:w="2863" w:type="dxa"/>
            <w:tcBorders>
              <w:left w:val="single" w:sz="4" w:space="0" w:color="auto"/>
              <w:bottom w:val="single" w:sz="4" w:space="0" w:color="auto"/>
              <w:right w:val="single" w:sz="4" w:space="0" w:color="auto"/>
            </w:tcBorders>
          </w:tcPr>
          <w:p w:rsidR="00443EC1" w:rsidRDefault="00443EC1">
            <w:pPr>
              <w:spacing w:before="0" w:after="0" w:line="320" w:lineRule="exact"/>
              <w:jc w:val="center"/>
              <w:rPr>
                <w:rFonts w:hint="cs"/>
                <w:rtl/>
              </w:rPr>
            </w:pPr>
            <w:r>
              <w:rPr>
                <w:rFonts w:hint="cs"/>
                <w:rtl/>
              </w:rPr>
              <w:t>538 34 (100</w:t>
            </w:r>
            <w:r>
              <w:rPr>
                <w:rFonts w:cs="Mudir MT" w:hint="cs"/>
                <w:sz w:val="24"/>
                <w:szCs w:val="24"/>
                <w:rtl/>
                <w:lang w:eastAsia="en-US"/>
              </w:rPr>
              <w:t>%</w:t>
            </w:r>
            <w:r>
              <w:rPr>
                <w:rFonts w:hint="cs"/>
                <w:rtl/>
              </w:rPr>
              <w:t>)</w:t>
            </w:r>
          </w:p>
        </w:tc>
      </w:tr>
    </w:tbl>
    <w:p w:rsidR="00000000" w:rsidRDefault="00443EC1">
      <w:pPr>
        <w:spacing w:line="380" w:lineRule="exact"/>
        <w:jc w:val="both"/>
        <w:rPr>
          <w:rFonts w:hint="cs"/>
          <w:rtl/>
          <w:lang w:bidi="ar-MA"/>
        </w:rPr>
      </w:pPr>
      <w:r>
        <w:rPr>
          <w:rFonts w:hint="cs"/>
          <w:rtl/>
          <w:lang w:bidi="ar-MA"/>
        </w:rPr>
        <w:t>474-</w:t>
      </w:r>
      <w:r>
        <w:rPr>
          <w:rFonts w:hint="cs"/>
          <w:rtl/>
          <w:lang w:bidi="ar-MA"/>
        </w:rPr>
        <w:tab/>
        <w:t>وانخفضت نسبة الوالدين الوحيدين في العمالة مدفوعة الأجر من معدل 66.3 في المائة المشار إليه في الفقرة 202 من التقرير الأولي إلى معدل 57 في المائة. ويقترن ذلك مع ارتفاع نسبة الطلاق، إذ ازداد عدد طلبات الطلاق من 482 14 طلبا كم</w:t>
      </w:r>
      <w:r>
        <w:rPr>
          <w:rFonts w:hint="cs"/>
          <w:rtl/>
          <w:lang w:bidi="ar-MA"/>
        </w:rPr>
        <w:t>ا أشير إليه في الفقرة 203 من التقرير الأولي إلى 380 15 طلبا في عام 2001. وتبقى أسباب استمرار هذا الاتجاه كما تقدم شرحها في تلك الفقرة.</w:t>
      </w:r>
    </w:p>
    <w:p w:rsidR="00000000" w:rsidRDefault="00443EC1">
      <w:pPr>
        <w:spacing w:line="380" w:lineRule="exact"/>
        <w:jc w:val="both"/>
        <w:rPr>
          <w:rFonts w:hint="cs"/>
          <w:rtl/>
          <w:lang w:bidi="ar-MA"/>
        </w:rPr>
      </w:pPr>
      <w:r>
        <w:rPr>
          <w:rFonts w:hint="cs"/>
          <w:rtl/>
          <w:lang w:bidi="ar-MA"/>
        </w:rPr>
        <w:t>475-</w:t>
      </w:r>
      <w:r>
        <w:rPr>
          <w:rFonts w:hint="cs"/>
          <w:rtl/>
          <w:lang w:bidi="ar-MA"/>
        </w:rPr>
        <w:tab/>
        <w:t xml:space="preserve">وتقدم الخدمات إلى الأسر الوحيدة الوالد والأسر المفككة من خلال شبكة تضم 66 مركزا/مركزاً متكاملاً لخدمات الأسرة، تشرف </w:t>
      </w:r>
      <w:r>
        <w:rPr>
          <w:rFonts w:hint="cs"/>
          <w:rtl/>
          <w:lang w:bidi="ar-MA"/>
        </w:rPr>
        <w:t>عليها وزارة الرفاه الاجتماعي ومنظمات غير حكومية. وإلى غاية 31 كانون الأول/ديسمبر 2002، كان 976 3 والدا وحيدا يتلقى هذه الخدمات وكذا 375 أسرة مفككة. وتصل الأسر الوحيدة الوالد إلى مرافق رعاية الأطفال المستعينة بالحكومة وغير ذلك من أشكال المساعدة، كتوفير المس</w:t>
      </w:r>
      <w:r>
        <w:rPr>
          <w:rFonts w:hint="cs"/>
          <w:rtl/>
          <w:lang w:bidi="ar-MA"/>
        </w:rPr>
        <w:t xml:space="preserve">كن والدعم المالي. ويمكن للوالدين الوحيدين المطلقين أن يعاد إسكانهم لدواعي الرأفة كما يمكن للذين هم بصدد الطلاق أن يحصلوا على </w:t>
      </w:r>
      <w:r>
        <w:rPr>
          <w:rFonts w:hint="cs"/>
          <w:rtl/>
          <w:lang w:bidi="ar-MA"/>
        </w:rPr>
        <w:t xml:space="preserve">مسكن مشروط إذا كانوا يواجهون مشاكل سكن محضة ومشاكل اجتماعية/صحية. </w:t>
      </w:r>
    </w:p>
    <w:p w:rsidR="00000000" w:rsidRDefault="00443EC1">
      <w:pPr>
        <w:spacing w:line="380" w:lineRule="exact"/>
        <w:jc w:val="both"/>
        <w:rPr>
          <w:rFonts w:hint="cs"/>
          <w:rtl/>
        </w:rPr>
      </w:pPr>
      <w:r>
        <w:rPr>
          <w:rFonts w:hint="cs"/>
          <w:rtl/>
          <w:lang w:bidi="ar-MA"/>
        </w:rPr>
        <w:t>476-</w:t>
      </w:r>
      <w:r>
        <w:rPr>
          <w:rFonts w:hint="cs"/>
          <w:rtl/>
          <w:lang w:bidi="ar-MA"/>
        </w:rPr>
        <w:tab/>
        <w:t xml:space="preserve">وفي شهر شباط/فبراير 2001، أنشأنا خمسة مراكز خاصة بالوالدين </w:t>
      </w:r>
      <w:r>
        <w:rPr>
          <w:rFonts w:hint="cs"/>
          <w:rtl/>
          <w:lang w:bidi="ar-MA"/>
        </w:rPr>
        <w:t xml:space="preserve">الوحيدين لتقديم خدمات الدعم المخصصة ومساعدة الأسر الوحيدة الوالد على </w:t>
      </w:r>
      <w:r>
        <w:rPr>
          <w:rFonts w:hint="cs"/>
          <w:rtl/>
          <w:lang w:bidi="ar-MA"/>
        </w:rPr>
        <w:t xml:space="preserve">التكيف والاعتماد على ذاتها. وتشمل هذه الخدمات تقديم المشورة وبرامج تعليم الأسرة/الوالدين وبرامج العمل الجماعي وإقامة الشبكات والتدريب المتصل بالعمل وخدمات الإحالة، وما إلى ذلك. وفي بداية </w:t>
      </w:r>
      <w:r>
        <w:rPr>
          <w:rFonts w:hint="cs"/>
          <w:rtl/>
          <w:lang w:bidi="ar-MA"/>
        </w:rPr>
        <w:t>عام 2002، شكلنا بالإضافة إلى ذلك 14 فريقا معنيا بشبكات الدعم الأسري تولت تحديد الأسر الضعيفة بما في ذلك الأسر الوحيدة الوالد التي تحتاج إلى تدخل سريع. حتى كانون الأول/ديسمبر 2002، انتفعت من خدمات المراكز الخمسة المعنية بالوالدين الوحيدين 325 6 أسرة من الأس</w:t>
      </w:r>
      <w:r>
        <w:rPr>
          <w:rFonts w:hint="cs"/>
          <w:rtl/>
          <w:lang w:bidi="ar-MA"/>
        </w:rPr>
        <w:t xml:space="preserve">ر وحيدة الوالد. </w:t>
      </w:r>
    </w:p>
    <w:p w:rsidR="00000000" w:rsidRDefault="00443EC1">
      <w:pPr>
        <w:spacing w:line="380" w:lineRule="exact"/>
        <w:jc w:val="both"/>
        <w:rPr>
          <w:rFonts w:hint="cs"/>
          <w:rtl/>
        </w:rPr>
      </w:pPr>
      <w:r>
        <w:rPr>
          <w:rFonts w:hint="cs"/>
          <w:rtl/>
        </w:rPr>
        <w:t>477-</w:t>
      </w:r>
      <w:r>
        <w:rPr>
          <w:rFonts w:hint="cs"/>
          <w:rtl/>
        </w:rPr>
        <w:tab/>
        <w:t>وأشارت اللجنة في الفقرة 12 من ملاحظاتها الختامية إلى أن "المسائل المتعلقة بالحق في السكن فيما يتصل بالإقامة الدائمة والأسر المشتتة هي مسائل تعوق تمتع الأسر المتأثرة بما أجرته اللجنة الدائمة التابعة لمؤتمر الشعب الوطني في 26 حزيران/يون</w:t>
      </w:r>
      <w:r>
        <w:rPr>
          <w:rFonts w:hint="cs"/>
          <w:rtl/>
        </w:rPr>
        <w:t>يه 1999 من إعادة تفسير لأحكام المادة 24 من القانون الأساسي بالحقوق الاقتصادية والاجتماعية والثقافية". وأعربت اللجنة في الفقرة 22 عن بالغ القلق لما ينجم عن السياسات التي تنتهجها منطقة هونغ كونغ بشأن الإقامة الدائمة والأسر المشتتة من شدائد. وفي الفقرة 40، حث</w:t>
      </w:r>
      <w:r>
        <w:rPr>
          <w:rFonts w:hint="cs"/>
          <w:rtl/>
        </w:rPr>
        <w:t>ت اللجنة منطقة هونغ كونغ على القيام، لدى وضع وتنفيذ سياسـاتها بشأن الإقامة الدائمة والأسر المشتتة، بإيلاء كامل العناية والاهتمام لكل ما لهذه المسألة من أبعاد من حيث حقوق الإنسان، بما في ذلك المواد 2(2) و3 و10 من العهد. وذكّرت اللجنة منطقة هونغ كونغ بأن فرض</w:t>
      </w:r>
      <w:r>
        <w:rPr>
          <w:rFonts w:hint="cs"/>
          <w:rtl/>
        </w:rPr>
        <w:t xml:space="preserve"> أية قيود بصدد المادة 10 يجب تبريره فيما يتعلق بكل عنصر من العناصر المحددة في المادة 4. وحثت اللجنة منطقة هونغ كونغ على إعادة النظر في توسيع نطاق "التنازل" الذي قامت به منطقة هونغ كونغ عقب عملية إعادة التفسير التي جرت في 26 حزيران/يونيه 1999. وفي الفقرة 41</w:t>
      </w:r>
      <w:r>
        <w:rPr>
          <w:rFonts w:hint="cs"/>
          <w:rtl/>
        </w:rPr>
        <w:t>، حثت اللجنة منطقة هونغ كونغ على "زيادة شفافية جميع العمليات ذات الصلة بالإقامة الدائمة والأسر المشتتة. فعلى سبيل المثال، توصي اللجنة بجعل جميع البيانات، التي تم تفصيلها على النحو المناسب (حسب أصل مقدم الطلب، مثلاً) متاحة للعامة، وبعرض هذه البيانات في المج</w:t>
      </w:r>
      <w:r>
        <w:rPr>
          <w:rFonts w:hint="cs"/>
          <w:rtl/>
        </w:rPr>
        <w:t>لس التشريعي كل ستة أشهر".</w:t>
      </w:r>
    </w:p>
    <w:p w:rsidR="00000000" w:rsidRDefault="00443EC1">
      <w:pPr>
        <w:spacing w:line="380" w:lineRule="exact"/>
        <w:jc w:val="both"/>
        <w:rPr>
          <w:rFonts w:hint="cs"/>
          <w:rtl/>
        </w:rPr>
      </w:pPr>
      <w:r>
        <w:rPr>
          <w:rFonts w:hint="cs"/>
          <w:rtl/>
        </w:rPr>
        <w:t>478-</w:t>
      </w:r>
      <w:r>
        <w:rPr>
          <w:rFonts w:hint="cs"/>
          <w:rtl/>
        </w:rPr>
        <w:tab/>
        <w:t>وليست ظاهرة الانفصال الأسري حكرا على هونغ كونغ. فقلة هي الحكومات، إن وجدت، التي تقبل مسلّمة بدخول كل من يدعي أنه من أفراد أسر مقيميها دون أي شكل من أشكال التنظيم والمراقبة. ونظرا لكثرة عدد المقيمين في الصين القارية الذين يودو</w:t>
      </w:r>
      <w:r>
        <w:rPr>
          <w:rFonts w:hint="cs"/>
          <w:rtl/>
        </w:rPr>
        <w:t>ن الاستقرار في هونغ كونغ، تقر سياساتنا بأن عليهم انتظار دورهم حرصا على العدل بين مختلف الملتمسين. وعلاوة على ذلك، يتعين على هونغ كونغ، التي تضم قرابة 7 ملايين من المقيمين في رقعة لا تتجاوز 100 1 كيلومتر مربع، أن تيسر جمع شمل الأسر بصورة منظمة في حدود ما تس</w:t>
      </w:r>
      <w:r>
        <w:rPr>
          <w:rFonts w:hint="cs"/>
          <w:rtl/>
        </w:rPr>
        <w:t>مح به بنيتنا الأساسية الاجتماعية الاقتصادية. وفي ذلك مصلحة جميع المقيمين في هونغ كونغ، بمن فيهم القادمون للاستقرار فيها. ومنذ شهر تموز/يوليه 1997، استقر في هونغ كونغ ما يزيد عن 000 296 شخص من الصين القارية في إطار نظام تصاريح الإقامة الدائمة.</w:t>
      </w:r>
    </w:p>
    <w:p w:rsidR="00000000" w:rsidRDefault="00443EC1">
      <w:pPr>
        <w:spacing w:line="380" w:lineRule="exact"/>
        <w:jc w:val="both"/>
        <w:rPr>
          <w:rFonts w:hint="cs"/>
          <w:rtl/>
        </w:rPr>
      </w:pPr>
      <w:r>
        <w:rPr>
          <w:rFonts w:hint="cs"/>
          <w:rtl/>
        </w:rPr>
        <w:t>479-</w:t>
      </w:r>
      <w:r>
        <w:rPr>
          <w:rFonts w:hint="cs"/>
          <w:rtl/>
        </w:rPr>
        <w:tab/>
        <w:t>وتتعدد ا</w:t>
      </w:r>
      <w:r>
        <w:rPr>
          <w:rFonts w:hint="cs"/>
          <w:rtl/>
        </w:rPr>
        <w:t>لقنوات التي تتيح لسكان الصين القارية زيارة هونغ كونغ في انتظار الحصول على تصريح دخول لغرض الاستقرار. ويمكن لسكان الصين القارية، بواسطة هذه القنوات، زيارة هونغ كونغ لأغراض شتى كالسياحة وتصريف الأعمال والاهتمام بشؤون شخصية وزيارة الأقارب. وبخصوص القادمين لزي</w:t>
      </w:r>
      <w:r>
        <w:rPr>
          <w:rFonts w:hint="cs"/>
          <w:rtl/>
        </w:rPr>
        <w:t xml:space="preserve">ارة الأقارب تحديدا، باستطاعة البعض منهم أن يمكثوا في هونغ كونغ بوصفهم زواراً لمدة تتجاوز ستة أشهر في السنة. </w:t>
      </w:r>
    </w:p>
    <w:p w:rsidR="00000000" w:rsidRDefault="00443EC1">
      <w:pPr>
        <w:spacing w:line="380" w:lineRule="exact"/>
        <w:jc w:val="both"/>
        <w:rPr>
          <w:rFonts w:hint="cs"/>
          <w:rtl/>
        </w:rPr>
      </w:pPr>
      <w:r>
        <w:rPr>
          <w:rFonts w:hint="cs"/>
          <w:rtl/>
        </w:rPr>
        <w:t>480-</w:t>
      </w:r>
      <w:r>
        <w:rPr>
          <w:rFonts w:hint="cs"/>
          <w:rtl/>
        </w:rPr>
        <w:tab/>
        <w:t>ولدى صياغة وتنفيذ السياسات والتدابير التي تؤثر على الحق في السكن، نولي كامل العناية والاهتمام لجميع أبعاد حقوق الإنسان، بما في ذلك المواد 2(2)</w:t>
      </w:r>
      <w:r>
        <w:rPr>
          <w:rFonts w:hint="cs"/>
          <w:rtl/>
        </w:rPr>
        <w:t xml:space="preserve"> و3 و10 من العهد. وعند فرض قيود على دخول هونغ كونغ والمكوث بها، وبخصوص الحق في السكن، نحرص كل الحرص على ضمان أن تكون كل القيود التي قد تؤثر على تنفيذ المادة 10 مبررة في ما يتعلق بكل عنصر من عناصر المادة 4. ولا يُفرض أي قيد إلا إذا كان قائما بشكل سليم على ق</w:t>
      </w:r>
      <w:r>
        <w:rPr>
          <w:rFonts w:hint="cs"/>
          <w:rtl/>
        </w:rPr>
        <w:t>وانيننا، ومتوافقا مع طبيعة الحقوق ذات الصلة، ولم يكن الغرض منه إلا تعزيز الرفاه العام لمجتمع هونغ كونغ كما تنص عليه تلك المادة.</w:t>
      </w:r>
    </w:p>
    <w:p w:rsidR="00000000" w:rsidRDefault="00443EC1">
      <w:pPr>
        <w:spacing w:line="380" w:lineRule="exact"/>
        <w:jc w:val="both"/>
        <w:rPr>
          <w:rFonts w:hint="cs"/>
          <w:rtl/>
        </w:rPr>
      </w:pPr>
      <w:r>
        <w:rPr>
          <w:rFonts w:hint="cs"/>
          <w:rtl/>
        </w:rPr>
        <w:t>481-</w:t>
      </w:r>
      <w:r>
        <w:rPr>
          <w:rFonts w:hint="cs"/>
          <w:rtl/>
        </w:rPr>
        <w:tab/>
        <w:t>وبخصوص التوصية الواردة في الفقرة 41 من الملاحظات الختامية، تشرف على نظام تصاريح الإقامة الدائمة سلطات الصين القارية، التي ا</w:t>
      </w:r>
      <w:r>
        <w:rPr>
          <w:rFonts w:hint="cs"/>
          <w:rtl/>
        </w:rPr>
        <w:t>تخذت خطوات لزيادة شفافية النظام. وتشمل هذه الخطوات، وضع نظام نقاط في عام 1997، يرمي إلى ترتيب الملتمسين على القائمة، واعتماد خط اتصالات مباشر لتلقي الشكاوى في عام 2001، ونشر قوائم الملتمسين الذين قبلت طلباتهم بصفة منتظمة. وتتضمن القوائم الاسم ومكان تقديم ا</w:t>
      </w:r>
      <w:r>
        <w:rPr>
          <w:rFonts w:hint="cs"/>
          <w:rtl/>
        </w:rPr>
        <w:t>لطلب في الصين القارية ونوع الجنس وتاريخ الميلاد وعدد النقاط الحاصلة، وحيثما هو مناسب، تاريخ الزواج ومدة الانفصال واسم الوالدين. وهذه المعلومات متاحة للعموم ويمكن لكل من يهمه الأمر الاطلاع عليها.</w:t>
      </w:r>
    </w:p>
    <w:p w:rsidR="00000000" w:rsidRDefault="00443EC1">
      <w:pPr>
        <w:spacing w:line="380" w:lineRule="exact"/>
        <w:jc w:val="both"/>
        <w:rPr>
          <w:rFonts w:hint="cs"/>
          <w:i/>
          <w:iCs/>
          <w:rtl/>
        </w:rPr>
      </w:pPr>
      <w:r>
        <w:rPr>
          <w:rFonts w:hint="cs"/>
          <w:i/>
          <w:iCs/>
          <w:rtl/>
        </w:rPr>
        <w:t>نظام شهادات الاستحقاق</w:t>
      </w:r>
    </w:p>
    <w:p w:rsidR="00000000" w:rsidRDefault="00443EC1">
      <w:pPr>
        <w:spacing w:line="380" w:lineRule="exact"/>
        <w:jc w:val="both"/>
        <w:rPr>
          <w:rFonts w:hint="cs"/>
          <w:rtl/>
        </w:rPr>
      </w:pPr>
      <w:r>
        <w:rPr>
          <w:rFonts w:hint="cs"/>
          <w:rtl/>
        </w:rPr>
        <w:t>482-</w:t>
      </w:r>
      <w:r>
        <w:rPr>
          <w:rFonts w:hint="cs"/>
          <w:rtl/>
        </w:rPr>
        <w:tab/>
        <w:t>لقد شرحنا الغرض من هذا النظام وكيف</w:t>
      </w:r>
      <w:r>
        <w:rPr>
          <w:rFonts w:hint="cs"/>
          <w:rtl/>
        </w:rPr>
        <w:t>ية إعماله في الفقرة 216 من التقرير الأولي. وفي إطار هذا النظام يبقى صاحب المطالبة خارج هونغ كونغ ريثما يجري التحقق من المطالبة المتعلقة بالحق في السكن. وإلى غاية 31 كانون الأول/ديسمبر 2002، أمّن النظام الدخول السريع والمنظم بغرض الاستقرار لنحو 000 133 طفل،</w:t>
      </w:r>
      <w:r>
        <w:rPr>
          <w:rFonts w:hint="cs"/>
          <w:rtl/>
        </w:rPr>
        <w:t xml:space="preserve"> جرى التحقق من حقهم في السكن في هونغ كونغ. </w:t>
      </w:r>
    </w:p>
    <w:p w:rsidR="00000000" w:rsidRDefault="00443EC1">
      <w:pPr>
        <w:spacing w:line="380" w:lineRule="exact"/>
        <w:jc w:val="both"/>
        <w:rPr>
          <w:rFonts w:hint="cs"/>
          <w:rtl/>
        </w:rPr>
      </w:pPr>
    </w:p>
    <w:p w:rsidR="00000000" w:rsidRDefault="00443EC1">
      <w:pPr>
        <w:spacing w:line="380" w:lineRule="exact"/>
        <w:jc w:val="both"/>
        <w:rPr>
          <w:rFonts w:hint="cs"/>
          <w:rtl/>
        </w:rPr>
      </w:pPr>
    </w:p>
    <w:p w:rsidR="00000000" w:rsidRDefault="00443EC1">
      <w:pPr>
        <w:spacing w:line="380" w:lineRule="exact"/>
        <w:jc w:val="both"/>
        <w:rPr>
          <w:rFonts w:hint="cs"/>
          <w:b/>
          <w:bCs/>
          <w:rtl/>
        </w:rPr>
      </w:pPr>
      <w:r>
        <w:rPr>
          <w:rFonts w:hint="cs"/>
          <w:b/>
          <w:bCs/>
          <w:rtl/>
        </w:rPr>
        <w:t>سياسة حماية الأطفال الشاملة</w:t>
      </w:r>
    </w:p>
    <w:p w:rsidR="00000000" w:rsidRDefault="00443EC1">
      <w:pPr>
        <w:spacing w:line="380" w:lineRule="exact"/>
        <w:jc w:val="both"/>
        <w:rPr>
          <w:rFonts w:hint="cs"/>
          <w:rtl/>
        </w:rPr>
      </w:pPr>
      <w:r>
        <w:rPr>
          <w:rFonts w:hint="cs"/>
          <w:rtl/>
        </w:rPr>
        <w:t>483-</w:t>
      </w:r>
      <w:r>
        <w:rPr>
          <w:rFonts w:hint="cs"/>
          <w:rtl/>
        </w:rPr>
        <w:tab/>
        <w:t>أعربت اللجنة في الفقرة 15(ز) من ملاحظاتها الختامية عما ينتابها من قلق خاص إزاء غياب سياسة شاملة لحماية الأطفال من جميع أشكال الإساءة. وفي الفقرة 42، ناشدت اللجنة منطقة هونغ كونغ</w:t>
      </w:r>
      <w:r>
        <w:rPr>
          <w:rFonts w:hint="cs"/>
          <w:rtl/>
        </w:rPr>
        <w:t xml:space="preserve"> أن "تتخذ تدابير عاجلة للتصدي للمشاكل المفضية إلى انتحار اليافعين وجميع أشكال الإساءة إلى الأطفال</w:t>
      </w:r>
      <w:r>
        <w:rPr>
          <w:rtl/>
        </w:rPr>
        <w:t>"</w:t>
      </w:r>
      <w:r>
        <w:rPr>
          <w:rFonts w:hint="cs"/>
          <w:rtl/>
        </w:rPr>
        <w:t>.</w:t>
      </w:r>
    </w:p>
    <w:p w:rsidR="00000000" w:rsidRDefault="00443EC1">
      <w:pPr>
        <w:spacing w:line="380" w:lineRule="exact"/>
        <w:jc w:val="both"/>
        <w:rPr>
          <w:rFonts w:hint="cs"/>
          <w:rtl/>
        </w:rPr>
      </w:pPr>
      <w:r>
        <w:rPr>
          <w:rFonts w:hint="cs"/>
          <w:rtl/>
        </w:rPr>
        <w:t>484-</w:t>
      </w:r>
      <w:r>
        <w:rPr>
          <w:rFonts w:hint="cs"/>
          <w:rtl/>
        </w:rPr>
        <w:tab/>
        <w:t>ونحن ملتزمون بتنفيذ سياسة شاملة لحماية الأطفال من جميع أشكال الإساءة. ويكمن الهدف الرئيسي من برنامج رفاه الطفل، كما أشير إليه في الورقة الصادرة عام 199</w:t>
      </w:r>
      <w:r>
        <w:rPr>
          <w:rFonts w:hint="cs"/>
          <w:rtl/>
        </w:rPr>
        <w:t>1 بعنوان "الرعاية الاجتماعية في التسعينات وبعدها"، في "حماية الأطفال من جميع أشكال سوء المعاملة وتوفير الخدمات اللازمة لمنع ومعالجة الإساءة</w:t>
      </w:r>
      <w:r>
        <w:rPr>
          <w:rtl/>
        </w:rPr>
        <w:t>"</w:t>
      </w:r>
      <w:r>
        <w:rPr>
          <w:rFonts w:hint="cs"/>
          <w:rtl/>
        </w:rPr>
        <w:t>. وبناء عليه، تتولى اللجنة المعنية بالإساءة إلى الأطفال، المؤلفة من ممثلين عن الإدارات/الوزارات المعنية ومهنيين ومنظ</w:t>
      </w:r>
      <w:r>
        <w:rPr>
          <w:rFonts w:hint="cs"/>
          <w:rtl/>
        </w:rPr>
        <w:t>مات غير حكومية، صياغة استراتيجيات وتنسيق الإجراءات المتخذة في هذا الصدد. وتتوخى هذه اللجنة نهجا جامعا ومتعدد التخصصات.</w:t>
      </w:r>
    </w:p>
    <w:p w:rsidR="00000000" w:rsidRDefault="00443EC1">
      <w:pPr>
        <w:spacing w:line="380" w:lineRule="exact"/>
        <w:jc w:val="both"/>
        <w:rPr>
          <w:rFonts w:hint="cs"/>
          <w:rtl/>
        </w:rPr>
      </w:pPr>
      <w:r>
        <w:rPr>
          <w:rFonts w:hint="cs"/>
          <w:rtl/>
        </w:rPr>
        <w:t>485-</w:t>
      </w:r>
      <w:r>
        <w:rPr>
          <w:rFonts w:hint="cs"/>
          <w:rtl/>
        </w:rPr>
        <w:tab/>
        <w:t>ونقدم مجموعة مسترسلة من خدمات الوقاية والدعم والخدمات المتخصصة في المراحل الابتدائية والثانوية والثالثة لتوقي المشاكل العائلية من قب</w:t>
      </w:r>
      <w:r>
        <w:rPr>
          <w:rFonts w:hint="cs"/>
          <w:rtl/>
        </w:rPr>
        <w:t>يل الإساءة إلى الأطفال ومعالجتها عند ظهورها. ويرد المزيد من المعلومات عن هذا النهج في الفقرات من 508 إلى 514 أدناه.</w:t>
      </w:r>
    </w:p>
    <w:p w:rsidR="00000000" w:rsidRDefault="00443EC1">
      <w:pPr>
        <w:spacing w:line="380" w:lineRule="exact"/>
        <w:jc w:val="both"/>
        <w:rPr>
          <w:rFonts w:hint="cs"/>
          <w:b/>
          <w:bCs/>
          <w:rtl/>
        </w:rPr>
      </w:pPr>
      <w:r>
        <w:rPr>
          <w:rFonts w:hint="cs"/>
          <w:b/>
          <w:bCs/>
          <w:rtl/>
        </w:rPr>
        <w:t>انتحار اليافعين</w:t>
      </w:r>
    </w:p>
    <w:p w:rsidR="00000000" w:rsidRDefault="00443EC1">
      <w:pPr>
        <w:spacing w:line="380" w:lineRule="exact"/>
        <w:jc w:val="both"/>
        <w:rPr>
          <w:rFonts w:hint="cs"/>
          <w:rtl/>
        </w:rPr>
      </w:pPr>
      <w:r>
        <w:rPr>
          <w:rFonts w:hint="cs"/>
          <w:rtl/>
        </w:rPr>
        <w:t>486-</w:t>
      </w:r>
      <w:r>
        <w:rPr>
          <w:rFonts w:hint="cs"/>
          <w:rtl/>
        </w:rPr>
        <w:tab/>
        <w:t>نشاطر اللجنة، شأننا في ذلك شأن المعلقين المحليين، انشغالها بانتحار اليافعين وكلنا عزم على معالجة المسألة من جذورها. ونس</w:t>
      </w:r>
      <w:r>
        <w:rPr>
          <w:rFonts w:hint="cs"/>
          <w:rtl/>
        </w:rPr>
        <w:t xml:space="preserve">عى إلى فعل ذلك من خلال مجموعة من التدابير متعددة التخصصات والقطاعات، بما فيها التدابير الموصوفة في الفقرات من 487 إلى 495 أدناه. </w:t>
      </w:r>
    </w:p>
    <w:p w:rsidR="00000000" w:rsidRDefault="00443EC1">
      <w:pPr>
        <w:spacing w:line="380" w:lineRule="exact"/>
        <w:jc w:val="both"/>
        <w:rPr>
          <w:rFonts w:hint="cs"/>
          <w:i/>
          <w:iCs/>
          <w:rtl/>
        </w:rPr>
      </w:pPr>
      <w:r>
        <w:rPr>
          <w:rFonts w:hint="cs"/>
          <w:i/>
          <w:iCs/>
          <w:rtl/>
        </w:rPr>
        <w:t>خدمات رفاه اليافعين</w:t>
      </w:r>
    </w:p>
    <w:p w:rsidR="00000000" w:rsidRDefault="00443EC1">
      <w:pPr>
        <w:spacing w:line="380" w:lineRule="exact"/>
        <w:jc w:val="both"/>
        <w:rPr>
          <w:rFonts w:hint="cs"/>
          <w:rtl/>
        </w:rPr>
      </w:pPr>
      <w:r>
        <w:rPr>
          <w:rFonts w:hint="cs"/>
          <w:rtl/>
        </w:rPr>
        <w:t>487-</w:t>
      </w:r>
      <w:r>
        <w:rPr>
          <w:rFonts w:hint="cs"/>
          <w:rtl/>
        </w:rPr>
        <w:tab/>
        <w:t>تقدم وحدات خدمات الرفاه، بغية الاستجابة لاحتياجات الشباب المتغيرة والمعقدة، خدمات النماء والدعم والتع</w:t>
      </w:r>
      <w:r>
        <w:rPr>
          <w:rFonts w:hint="cs"/>
          <w:rtl/>
        </w:rPr>
        <w:t>ويض بواسطة قنوات عدة. وتشمل هذه القنوات مراكز الأطفال والشباب، وقسم العمل الاجتماعي داخل المدارس، وتدابير التوعية، والمراكز المتكاملة لخدمات الأطفال والشباب. ويتمثل أحد محاور التركيز الأساسية في تنمية مهارات الحياة والقدرة على التأقلم لدى اليافعين، بما يعز</w:t>
      </w:r>
      <w:r>
        <w:rPr>
          <w:rFonts w:hint="cs"/>
          <w:rtl/>
        </w:rPr>
        <w:t>ز قدرتهم على التعامل مع المشاكل ومواجهة الأزمات.</w:t>
      </w:r>
    </w:p>
    <w:p w:rsidR="00000000" w:rsidRDefault="00443EC1">
      <w:pPr>
        <w:spacing w:line="380" w:lineRule="exact"/>
        <w:jc w:val="both"/>
        <w:rPr>
          <w:rFonts w:hint="cs"/>
          <w:i/>
          <w:iCs/>
          <w:rtl/>
        </w:rPr>
      </w:pPr>
      <w:r>
        <w:rPr>
          <w:rFonts w:hint="cs"/>
          <w:i/>
          <w:iCs/>
          <w:rtl/>
        </w:rPr>
        <w:t>مشروع فهم المراهق</w:t>
      </w:r>
    </w:p>
    <w:p w:rsidR="00000000" w:rsidRDefault="00443EC1">
      <w:pPr>
        <w:spacing w:line="380" w:lineRule="exact"/>
        <w:jc w:val="both"/>
        <w:rPr>
          <w:rFonts w:hint="cs"/>
          <w:rtl/>
        </w:rPr>
      </w:pPr>
      <w:r>
        <w:rPr>
          <w:rFonts w:hint="cs"/>
          <w:rtl/>
        </w:rPr>
        <w:t>488-</w:t>
      </w:r>
      <w:r>
        <w:rPr>
          <w:rFonts w:hint="cs"/>
          <w:rtl/>
        </w:rPr>
        <w:tab/>
        <w:t>أمرنا بتنفيذ هذا المشروع، الذي يحمل في الواقع عنوانا جامعا لسلسلة من الدراسات النموذجية، استجابة إلى تزايد عدد حالات الانتحار في صفوف اليافعين. وقد أتاحت لنا الدراسات استحداث وسيلة كشف</w:t>
      </w:r>
      <w:r>
        <w:rPr>
          <w:rFonts w:hint="cs"/>
          <w:rtl/>
        </w:rPr>
        <w:t xml:space="preserve"> تمكن من تحديد احتياجات الشباب في مراحل نمائهم الأولى ووضع برامج وقائية أولية من أجل التدخل المبكر. ويكمن هدفنا، كما هو الحال في خدمات رفاه الشباب (الفقرة 487 أعلاه)، في تنمية كفاءة اليافعين وتفاؤلهم وشعورهم بالانتماء. ونأمل أن </w:t>
      </w:r>
      <w:r>
        <w:rPr>
          <w:rFonts w:hint="cs"/>
          <w:rtl/>
        </w:rPr>
        <w:t>نعزز بهذه الطريقة قدرتهم على</w:t>
      </w:r>
      <w:r>
        <w:rPr>
          <w:rFonts w:hint="cs"/>
          <w:rtl/>
        </w:rPr>
        <w:t xml:space="preserve"> التأقلم مع متغيرات الحياة.</w:t>
      </w:r>
    </w:p>
    <w:p w:rsidR="00000000" w:rsidRDefault="00443EC1">
      <w:pPr>
        <w:spacing w:line="380" w:lineRule="exact"/>
        <w:jc w:val="both"/>
        <w:rPr>
          <w:rFonts w:hint="cs"/>
          <w:rtl/>
        </w:rPr>
      </w:pPr>
      <w:r>
        <w:rPr>
          <w:rFonts w:hint="cs"/>
          <w:rtl/>
        </w:rPr>
        <w:t>489-</w:t>
      </w:r>
      <w:r>
        <w:rPr>
          <w:rFonts w:hint="cs"/>
          <w:rtl/>
        </w:rPr>
        <w:tab/>
        <w:t>وخلال السنة الدراسية 2001-2002، بدأنا في تنفيذ المشروع على مراحل تدوم ثلاث سنوات داخل جميع المدارس الثانوية، وعلى أساس نموذجي، داخل مدارس ابتدائية</w:t>
      </w:r>
      <w:r>
        <w:rPr>
          <w:rFonts w:hint="cs"/>
          <w:vertAlign w:val="superscript"/>
          <w:rtl/>
        </w:rPr>
        <w:t>(26)</w:t>
      </w:r>
      <w:r>
        <w:rPr>
          <w:rFonts w:hint="cs"/>
          <w:rtl/>
        </w:rPr>
        <w:t>. ولدى الانتهاء من إعداد هذا التقرير (السنة الدراسية 2002-2003)، كانت قرا</w:t>
      </w:r>
      <w:r>
        <w:rPr>
          <w:rFonts w:hint="cs"/>
          <w:rtl/>
        </w:rPr>
        <w:t>بة 255 مدرسة ثانوية تشارك في المشروع. وجربت ثماني عشرة مدرسة نموذجية سلسلة من البرامج الوقائية وشاركت في عملية الإقرار التتبعي لأداة كشف تمكن من تحديد احتياجات تلاميذ المدارس الابتدائية في مراحل نمائهم الأولي</w:t>
      </w:r>
      <w:r>
        <w:rPr>
          <w:rFonts w:hint="cs"/>
          <w:vertAlign w:val="superscript"/>
          <w:rtl/>
        </w:rPr>
        <w:t>(27)</w:t>
      </w:r>
      <w:r>
        <w:rPr>
          <w:rFonts w:hint="cs"/>
          <w:rtl/>
        </w:rPr>
        <w:t xml:space="preserve">. ومنذ ذلك الوقت، </w:t>
      </w:r>
      <w:r>
        <w:rPr>
          <w:rFonts w:hint="cs"/>
          <w:rtl/>
        </w:rPr>
        <w:t>شاركت أربع وخمسون مدرسة اب</w:t>
      </w:r>
      <w:r>
        <w:rPr>
          <w:rFonts w:hint="cs"/>
          <w:rtl/>
        </w:rPr>
        <w:t>تدائية أخرى في هونغ كونغ في عملية التثبت من فعالية "الأداة". ونتوقع أن يتسنى تشغيل البرنامج بالكامل في 300 مدرسة ابتدائية خلال السنة الدراسية 2004-2005 وفي 400 منها خلال السنة الدراسية 2005-2006.</w:t>
      </w:r>
    </w:p>
    <w:p w:rsidR="00000000" w:rsidRDefault="00443EC1">
      <w:pPr>
        <w:spacing w:line="380" w:lineRule="exact"/>
        <w:jc w:val="both"/>
        <w:rPr>
          <w:rFonts w:hint="cs"/>
          <w:i/>
          <w:iCs/>
          <w:rtl/>
        </w:rPr>
      </w:pPr>
      <w:r>
        <w:rPr>
          <w:rFonts w:hint="cs"/>
          <w:i/>
          <w:iCs/>
          <w:rtl/>
        </w:rPr>
        <w:t>التعاون بين القطاعات</w:t>
      </w:r>
    </w:p>
    <w:p w:rsidR="00000000" w:rsidRDefault="00443EC1">
      <w:pPr>
        <w:spacing w:line="380" w:lineRule="exact"/>
        <w:jc w:val="both"/>
        <w:rPr>
          <w:rFonts w:hint="cs"/>
          <w:rtl/>
        </w:rPr>
      </w:pPr>
      <w:r>
        <w:rPr>
          <w:rFonts w:hint="cs"/>
          <w:rtl/>
        </w:rPr>
        <w:t>490-</w:t>
      </w:r>
      <w:r>
        <w:rPr>
          <w:rFonts w:hint="cs"/>
          <w:rtl/>
        </w:rPr>
        <w:tab/>
        <w:t>يتقاسم المجتمع مسؤولية معالجة مشكل</w:t>
      </w:r>
      <w:r>
        <w:rPr>
          <w:rFonts w:hint="cs"/>
          <w:rtl/>
        </w:rPr>
        <w:t>ة الانتحار، ويتطلب الاضطلاع بها مشاركة الأفراد والمجموعات المهنية ووسائط الإعلام والمجتمع والحكومة مشاركة نشطة. وتعمل الحكومة على تخفيض حالات الانتحار ومنعها من خلال مجموعة من التدابير متعددة التخصصات والقطاعات وعن طريق شبكة دعم مجتمعية. وعلى صعيد التطبيق،</w:t>
      </w:r>
      <w:r>
        <w:rPr>
          <w:rFonts w:hint="cs"/>
          <w:rtl/>
        </w:rPr>
        <w:t xml:space="preserve"> يتولى فريق عامل مشترك بين الوزارات ومعني بمسألة الانتحار وضع استراتيجيات وتنسيق الإجراءات الحكومية. ويتألف الفريق العامل من ممثلين لأهم الوزارات. وتدعى المنظمات غير الحكومية والجامعات إلى حضور اجتماعات الفريق لتقديم إسهامات وتيسير التعاون. </w:t>
      </w:r>
    </w:p>
    <w:p w:rsidR="00000000" w:rsidRDefault="00443EC1">
      <w:pPr>
        <w:spacing w:line="380" w:lineRule="exact"/>
        <w:jc w:val="both"/>
        <w:rPr>
          <w:rFonts w:hint="cs"/>
          <w:rtl/>
        </w:rPr>
      </w:pPr>
      <w:r>
        <w:rPr>
          <w:rFonts w:hint="cs"/>
          <w:rtl/>
        </w:rPr>
        <w:t>491-</w:t>
      </w:r>
      <w:r>
        <w:rPr>
          <w:rFonts w:hint="cs"/>
          <w:rtl/>
        </w:rPr>
        <w:tab/>
        <w:t xml:space="preserve">ونعمل مع </w:t>
      </w:r>
      <w:r>
        <w:rPr>
          <w:rFonts w:hint="cs"/>
          <w:rtl/>
        </w:rPr>
        <w:t>منظمات غير حكومية ومهنيين من أجل ما يلي:</w:t>
      </w:r>
    </w:p>
    <w:p w:rsidR="00000000" w:rsidRDefault="00443EC1">
      <w:pPr>
        <w:spacing w:line="380" w:lineRule="exact"/>
        <w:jc w:val="both"/>
        <w:rPr>
          <w:rFonts w:hint="cs"/>
          <w:rtl/>
        </w:rPr>
      </w:pPr>
      <w:r>
        <w:rPr>
          <w:rFonts w:hint="cs"/>
          <w:rtl/>
        </w:rPr>
        <w:tab/>
        <w:t>(أ)</w:t>
      </w:r>
      <w:r>
        <w:rPr>
          <w:rFonts w:hint="cs"/>
          <w:rtl/>
        </w:rPr>
        <w:tab/>
        <w:t>تحسين فهمنا للانتحار من خلال تحسين جمع البيانات وإجراء البحوث، على الصعيدين المحلي والخارجي؛</w:t>
      </w:r>
    </w:p>
    <w:p w:rsidR="00000000" w:rsidRDefault="00443EC1">
      <w:pPr>
        <w:spacing w:line="380" w:lineRule="exact"/>
        <w:jc w:val="both"/>
        <w:rPr>
          <w:rFonts w:hint="cs"/>
          <w:rtl/>
        </w:rPr>
      </w:pPr>
      <w:r>
        <w:rPr>
          <w:rFonts w:hint="cs"/>
          <w:rtl/>
        </w:rPr>
        <w:tab/>
        <w:t>(ب)</w:t>
      </w:r>
      <w:r>
        <w:rPr>
          <w:rFonts w:hint="cs"/>
          <w:rtl/>
        </w:rPr>
        <w:tab/>
        <w:t>تقديم خدمات الوقاية والدعم والتعويض، بغية التخفيف من تأثير عوامل الخطر، وتدعيم عوامل الحماية، وضمان التدخل وتوفي</w:t>
      </w:r>
      <w:r>
        <w:rPr>
          <w:rFonts w:hint="cs"/>
          <w:rtl/>
        </w:rPr>
        <w:t>ر المساعدة في الوقت المناسب؛</w:t>
      </w:r>
    </w:p>
    <w:p w:rsidR="00000000" w:rsidRDefault="00443EC1">
      <w:pPr>
        <w:spacing w:line="380" w:lineRule="exact"/>
        <w:jc w:val="both"/>
        <w:rPr>
          <w:rFonts w:hint="cs"/>
          <w:rtl/>
        </w:rPr>
      </w:pPr>
      <w:r>
        <w:rPr>
          <w:rFonts w:hint="cs"/>
          <w:rtl/>
        </w:rPr>
        <w:tab/>
        <w:t>(ج)</w:t>
      </w:r>
      <w:r>
        <w:rPr>
          <w:rFonts w:hint="cs"/>
          <w:rtl/>
        </w:rPr>
        <w:tab/>
        <w:t>النهوض بالوعي العام بظاهرة الانتحار عن طريق تكثيف أنشطة التثقيف العام؛</w:t>
      </w:r>
    </w:p>
    <w:p w:rsidR="00000000" w:rsidRDefault="00443EC1">
      <w:pPr>
        <w:spacing w:line="380" w:lineRule="exact"/>
        <w:jc w:val="both"/>
        <w:rPr>
          <w:rFonts w:hint="cs"/>
          <w:rtl/>
        </w:rPr>
      </w:pPr>
      <w:r>
        <w:rPr>
          <w:rFonts w:hint="cs"/>
          <w:rtl/>
        </w:rPr>
        <w:tab/>
        <w:t>(د)</w:t>
      </w:r>
      <w:r>
        <w:rPr>
          <w:rFonts w:hint="cs"/>
          <w:rtl/>
        </w:rPr>
        <w:tab/>
        <w:t>تطوير معارف ومهارات المهنيين المعنيين مباشرة من خلال التدريب.</w:t>
      </w:r>
    </w:p>
    <w:p w:rsidR="00000000" w:rsidRDefault="00443EC1">
      <w:pPr>
        <w:spacing w:line="380" w:lineRule="exact"/>
        <w:jc w:val="both"/>
        <w:rPr>
          <w:rFonts w:hint="cs"/>
          <w:rtl/>
        </w:rPr>
      </w:pPr>
      <w:r>
        <w:rPr>
          <w:rFonts w:hint="cs"/>
          <w:rtl/>
        </w:rPr>
        <w:t>492-</w:t>
      </w:r>
      <w:r>
        <w:rPr>
          <w:rFonts w:hint="cs"/>
          <w:rtl/>
        </w:rPr>
        <w:tab/>
      </w:r>
      <w:r>
        <w:rPr>
          <w:rFonts w:hint="cs"/>
          <w:spacing w:val="4"/>
          <w:rtl/>
        </w:rPr>
        <w:t>وقد دعم الفريق العامل إنشاء مركز للبحث في مسائل الانتحار والوقاية منه داخل جامع</w:t>
      </w:r>
      <w:r>
        <w:rPr>
          <w:rFonts w:hint="cs"/>
          <w:spacing w:val="4"/>
          <w:rtl/>
        </w:rPr>
        <w:t>ة هونغ كونغ</w:t>
      </w:r>
      <w:r>
        <w:rPr>
          <w:rFonts w:hint="cs"/>
          <w:spacing w:val="4"/>
          <w:vertAlign w:val="superscript"/>
          <w:rtl/>
        </w:rPr>
        <w:t>(</w:t>
      </w:r>
      <w:r>
        <w:rPr>
          <w:rFonts w:hint="cs"/>
          <w:vertAlign w:val="superscript"/>
          <w:rtl/>
        </w:rPr>
        <w:t>28)</w:t>
      </w:r>
      <w:r>
        <w:rPr>
          <w:rFonts w:hint="cs"/>
          <w:rtl/>
        </w:rPr>
        <w:t xml:space="preserve">. ويهدف المركز إلى المساهمة في الوقاية من الانتحار عن طريق التدريب والتثقيف والبحث. كما يقوم باستحداث نظام رصد ومراقبة لدراسة ظاهرة الانتحار في هونغ كونغ، وتدريب المهنيين في مجال التصدي لمخاطر الانتحار. ويزمع المركز تقييم استراتيجيات التدخل </w:t>
      </w:r>
      <w:r>
        <w:rPr>
          <w:rFonts w:hint="cs"/>
          <w:rtl/>
        </w:rPr>
        <w:t>القائمة.</w:t>
      </w:r>
    </w:p>
    <w:p w:rsidR="00000000" w:rsidRDefault="00443EC1">
      <w:pPr>
        <w:spacing w:line="380" w:lineRule="exact"/>
        <w:jc w:val="both"/>
        <w:rPr>
          <w:rFonts w:hint="cs"/>
          <w:rtl/>
        </w:rPr>
      </w:pPr>
      <w:r>
        <w:rPr>
          <w:rFonts w:hint="cs"/>
          <w:rtl/>
        </w:rPr>
        <w:t>493-</w:t>
      </w:r>
      <w:r>
        <w:rPr>
          <w:rFonts w:hint="cs"/>
          <w:rtl/>
        </w:rPr>
        <w:tab/>
        <w:t>وأقر الفريق العامل في عام 2002 نظاما مركزيا للمعلومات المتعلقة بالانتحار، يشمل عمليات ومحاولات الانتحار التي تبلغ عنها الوزارات والمدارس والمستشفيات وغير ذلك من الوكالات. ويقوم الفريق العامل بإعداد بروتوكول بشأن التعاون متعدد التخصصات في مجال</w:t>
      </w:r>
      <w:r>
        <w:rPr>
          <w:rFonts w:hint="cs"/>
          <w:rtl/>
        </w:rPr>
        <w:t xml:space="preserve"> الوقاية من الانتحار وما يتصل بذلك من إجراءات التدخل، كي يعتمده المهنيون المعنيون مباشرة. </w:t>
      </w:r>
    </w:p>
    <w:p w:rsidR="00000000" w:rsidRDefault="00443EC1">
      <w:pPr>
        <w:spacing w:line="380" w:lineRule="exact"/>
        <w:jc w:val="both"/>
        <w:rPr>
          <w:rFonts w:hint="cs"/>
          <w:rtl/>
        </w:rPr>
      </w:pPr>
      <w:r>
        <w:rPr>
          <w:rFonts w:hint="cs"/>
          <w:rtl/>
        </w:rPr>
        <w:t>494-</w:t>
      </w:r>
      <w:r>
        <w:rPr>
          <w:rFonts w:hint="cs"/>
          <w:rtl/>
        </w:rPr>
        <w:tab/>
        <w:t>وعلى مستوى السياسات المركزية، تبحث اللجنة المعنية بالخدمات المقدمة إلى الشباب المعرضين للمخاطر مسائل الشباب، بما في ذلك انتحار اليافعين، وتوصي باعتماد استراتيجي</w:t>
      </w:r>
      <w:r>
        <w:rPr>
          <w:rFonts w:hint="cs"/>
          <w:rtl/>
        </w:rPr>
        <w:t>ات وتدابير ترمي إلى التصدي لاحتياجات الشباب المتغيرة. ويرأس هذه اللجنة وزير الرعاية الاجتماعية. وتتسم اللجنة بعضوية متعددة التخصصات، تضم ممثلين من أهم إدارات الحكومة ووزاراتها، ومهنيين من قطاعات الرعاية الاجتماعية والتعليم والصحة.</w:t>
      </w:r>
    </w:p>
    <w:p w:rsidR="00000000" w:rsidRDefault="00443EC1">
      <w:pPr>
        <w:spacing w:line="380" w:lineRule="exact"/>
        <w:jc w:val="both"/>
        <w:rPr>
          <w:rFonts w:hint="cs"/>
          <w:rtl/>
        </w:rPr>
      </w:pPr>
      <w:r>
        <w:rPr>
          <w:rFonts w:hint="cs"/>
          <w:rtl/>
        </w:rPr>
        <w:t>495-</w:t>
      </w:r>
      <w:r>
        <w:rPr>
          <w:rFonts w:hint="cs"/>
          <w:rtl/>
        </w:rPr>
        <w:tab/>
        <w:t>وعلى صعيد المقاطعات،</w:t>
      </w:r>
      <w:r>
        <w:rPr>
          <w:rFonts w:hint="cs"/>
          <w:rtl/>
        </w:rPr>
        <w:t xml:space="preserve"> تتولى اللجان المحلية متعددة التخصصات المعنية بالخدمات المقدمة إلى الشباب تنسيق الجهود المبذولة على صعيد المقاطعات من أجل تلبية احتياجات الشبيبة المحلية. وتمثل مسألة انتحار الشباب أحد محاور اهتمامها الأساسية. </w:t>
      </w:r>
    </w:p>
    <w:p w:rsidR="00000000" w:rsidRDefault="00443EC1">
      <w:pPr>
        <w:spacing w:line="380" w:lineRule="exact"/>
        <w:jc w:val="both"/>
        <w:rPr>
          <w:rFonts w:hint="cs"/>
          <w:i/>
          <w:iCs/>
          <w:rtl/>
        </w:rPr>
      </w:pPr>
      <w:r>
        <w:rPr>
          <w:rFonts w:hint="cs"/>
          <w:i/>
          <w:iCs/>
          <w:rtl/>
        </w:rPr>
        <w:t>تدابير أخرى</w:t>
      </w:r>
    </w:p>
    <w:p w:rsidR="00000000" w:rsidRDefault="00443EC1">
      <w:pPr>
        <w:spacing w:line="380" w:lineRule="exact"/>
        <w:jc w:val="both"/>
        <w:rPr>
          <w:rFonts w:hint="cs"/>
          <w:rtl/>
        </w:rPr>
      </w:pPr>
      <w:r>
        <w:rPr>
          <w:rFonts w:hint="cs"/>
          <w:rtl/>
        </w:rPr>
        <w:t>496-</w:t>
      </w:r>
      <w:r>
        <w:rPr>
          <w:rFonts w:hint="cs"/>
          <w:rtl/>
        </w:rPr>
        <w:tab/>
        <w:t>وفرنا أموالا لرابطة الصداقة ا</w:t>
      </w:r>
      <w:r>
        <w:rPr>
          <w:rFonts w:hint="cs"/>
          <w:rtl/>
        </w:rPr>
        <w:t>لسامرية في هونغ كونغ كي تشرف على تشغيل مركز تدخل في حالات الأزمات المتصلة بالانتحار، لفترة نموذجية تدوم ثلاث سنوات. وبدأ المشروع في آذار/مارس 2002. ويقدم المركز خدمات الاتصال والتدخل في حالات الأزمات على مدار الساعة فضلا عن إسداء المشورة إلى الذين يمرون بأ</w:t>
      </w:r>
      <w:r>
        <w:rPr>
          <w:rFonts w:hint="cs"/>
          <w:rtl/>
        </w:rPr>
        <w:t>زمات ويتعرضون بشدة لخطر الانتحار. وإلى حدود 31 كانون الأول/ديسمبر 2002، عالج المركز 205 حالات تنطوي على خطر انتحار جد محتمل/متوسط وقامت بما يعادل 253 عملية اتصال مباشر أو زيارة ميدانية. كما أنشأت رابطة الصداقة في شهر أيار/مايو 2002 مركزا لتعليم الحياة لفتر</w:t>
      </w:r>
      <w:r>
        <w:rPr>
          <w:rFonts w:hint="cs"/>
          <w:rtl/>
        </w:rPr>
        <w:t xml:space="preserve">ة نموذجية تدوم ثلاث سنوات. ويروج المركز تعليم الحياة للجميع لكنه يركز تركيزا خاصا على شباب المدارس. كما يتولى تدريب المشرفين المجتمعيين على مراقبة حالات الانتحار على نحو فعال داخل الجماعات المحلية. </w:t>
      </w:r>
    </w:p>
    <w:p w:rsidR="00000000" w:rsidRDefault="00443EC1">
      <w:pPr>
        <w:spacing w:line="380" w:lineRule="exact"/>
        <w:jc w:val="both"/>
        <w:rPr>
          <w:rFonts w:hint="cs"/>
          <w:b/>
          <w:bCs/>
          <w:rtl/>
        </w:rPr>
      </w:pPr>
      <w:r>
        <w:rPr>
          <w:rFonts w:hint="cs"/>
          <w:b/>
          <w:bCs/>
          <w:rtl/>
        </w:rPr>
        <w:t>الوافدون الجدد من الصين القارية</w:t>
      </w:r>
    </w:p>
    <w:p w:rsidR="00000000" w:rsidRDefault="00443EC1">
      <w:pPr>
        <w:spacing w:line="380" w:lineRule="exact"/>
        <w:jc w:val="both"/>
        <w:rPr>
          <w:rFonts w:hint="cs"/>
          <w:rtl/>
        </w:rPr>
      </w:pPr>
      <w:r>
        <w:rPr>
          <w:rFonts w:hint="cs"/>
          <w:rtl/>
        </w:rPr>
        <w:t>497-</w:t>
      </w:r>
      <w:r>
        <w:rPr>
          <w:rFonts w:hint="cs"/>
          <w:rtl/>
        </w:rPr>
        <w:tab/>
        <w:t>بين 1 تموز/يوليه 199</w:t>
      </w:r>
      <w:r>
        <w:rPr>
          <w:rFonts w:hint="cs"/>
          <w:rtl/>
        </w:rPr>
        <w:t xml:space="preserve">8 (التاريخ الذي توقف عنده التقرير الأولي) و30 حزيران/يونيه 2002، استقر قرابة 000 226 شخص من الصين القارية في هونغ كونغ. </w:t>
      </w:r>
    </w:p>
    <w:p w:rsidR="00000000" w:rsidRDefault="00443EC1">
      <w:pPr>
        <w:spacing w:line="380" w:lineRule="exact"/>
        <w:jc w:val="both"/>
        <w:rPr>
          <w:rFonts w:hint="cs"/>
          <w:rtl/>
        </w:rPr>
      </w:pPr>
      <w:r>
        <w:rPr>
          <w:rFonts w:hint="cs"/>
          <w:rtl/>
        </w:rPr>
        <w:t>498-</w:t>
      </w:r>
      <w:r>
        <w:rPr>
          <w:rFonts w:hint="cs"/>
          <w:rtl/>
        </w:rPr>
        <w:tab/>
        <w:t>وتواصل الحكومة إيلاء أهمية كبرى لإدماج الوافدين الجدد إدماجا مبكرا في المجتمع المحلي. ويحق للوافدين الجدد، على غرار المقيمين المحل</w:t>
      </w:r>
      <w:r>
        <w:rPr>
          <w:rFonts w:hint="cs"/>
          <w:rtl/>
        </w:rPr>
        <w:t xml:space="preserve">يين الآخرين، التمتع بخدمات الرعاية الاجتماعية كرعاية الأطفال، والدعم المجتمعي، والمساعدة المالية وما إلى ذلك. كما يستفيدون من ثمانية مراكز تعنى بشؤون ما بعد الهجرة وتقدم برامج وقاية ودعم للوافدين الجدد، بالتركيز على التدخل المبكر وتعزيز شبكات الدعم. وتشمل </w:t>
      </w:r>
      <w:r>
        <w:rPr>
          <w:rFonts w:hint="cs"/>
          <w:rtl/>
        </w:rPr>
        <w:t>خدمات المركز التوجيه، ودروس اللغة، وتعليم الأسرة والوالدين، وإسداء المشورة والإحالة، والإرشاد المهني، ودورات التدريب المتعلقة بالعمل، وما إلى ذلك. وتكمن الغاية من ذلك في الحد من مشاكل التكيف وتشجيع الاعتماد على الذات. وإضافة إلى البرامج المدعومة، تشرف المن</w:t>
      </w:r>
      <w:r>
        <w:rPr>
          <w:rFonts w:hint="cs"/>
          <w:rtl/>
        </w:rPr>
        <w:t>ظمات غير الحكومية على تشغيل مشاريع تكميلية، تمولها مصادر من قبيل الجمعية الخيرية لنادي الفروسية في هونغ كونغ والصندوق المجتمعي. وتشمل هذه المبادرات، في جملة أمور، التعليم المجتمعي وبرامج العمالة وخدمات التطوع.</w:t>
      </w:r>
    </w:p>
    <w:p w:rsidR="00000000" w:rsidRDefault="00443EC1">
      <w:pPr>
        <w:spacing w:line="380" w:lineRule="exact"/>
        <w:jc w:val="both"/>
        <w:rPr>
          <w:rFonts w:hint="cs"/>
          <w:b/>
          <w:bCs/>
          <w:rtl/>
        </w:rPr>
      </w:pPr>
      <w:r>
        <w:rPr>
          <w:rFonts w:hint="cs"/>
          <w:b/>
          <w:bCs/>
          <w:rtl/>
        </w:rPr>
        <w:t>خدمات الرعاية الاجتماعية المقدمة إلى الأسر</w:t>
      </w:r>
    </w:p>
    <w:p w:rsidR="00000000" w:rsidRDefault="00443EC1">
      <w:pPr>
        <w:spacing w:line="380" w:lineRule="exact"/>
        <w:jc w:val="both"/>
        <w:rPr>
          <w:rFonts w:hint="cs"/>
          <w:rtl/>
        </w:rPr>
      </w:pPr>
      <w:r>
        <w:rPr>
          <w:rFonts w:hint="cs"/>
          <w:rtl/>
        </w:rPr>
        <w:t>499</w:t>
      </w:r>
      <w:r>
        <w:rPr>
          <w:rFonts w:hint="cs"/>
          <w:rtl/>
        </w:rPr>
        <w:t>-</w:t>
      </w:r>
      <w:r>
        <w:rPr>
          <w:rFonts w:hint="cs"/>
          <w:rtl/>
        </w:rPr>
        <w:tab/>
        <w:t>تدعم وزارة الرعاية الاجتماعية منظمات عديدة، من بينها وكالات معنية بالرعاية الاجتماعية وهيئات كنسية وجمعيات نسائية وغيرها، كي تتولى إدارة مراكز التعاضد لرعاية الأطفال بتمويل ذاتي ودون السعي إلى الربح. ويوفر كل من هذه المراكز الرعاية والإشراف بصورة غير منت</w:t>
      </w:r>
      <w:r>
        <w:rPr>
          <w:rFonts w:hint="cs"/>
          <w:rtl/>
        </w:rPr>
        <w:t xml:space="preserve">ظمة لما لا يزيد على 14 طفلا دون سن السادسة في نفس الوقت. ويقدم الآباء والأمهات والمتطوعون هذه الخدمات. وإلى غاية شهر كانون الأول/ديسمبر 2002، كان زهاء 24 مركزا في وضع تشغيل (9 منها تشغلها منظمات غير حكومية و15 تشغلها الوزارة). وسينضم إليها أربعة عشر مركزا </w:t>
      </w:r>
      <w:r>
        <w:rPr>
          <w:rFonts w:hint="cs"/>
          <w:rtl/>
        </w:rPr>
        <w:t>إضافيا.</w:t>
      </w:r>
    </w:p>
    <w:p w:rsidR="00000000" w:rsidRDefault="00443EC1">
      <w:pPr>
        <w:spacing w:line="380" w:lineRule="exact"/>
        <w:jc w:val="both"/>
        <w:rPr>
          <w:rFonts w:hint="cs"/>
          <w:rtl/>
        </w:rPr>
      </w:pPr>
      <w:r>
        <w:rPr>
          <w:rFonts w:hint="cs"/>
          <w:rtl/>
        </w:rPr>
        <w:t>500-</w:t>
      </w:r>
      <w:r>
        <w:rPr>
          <w:rFonts w:hint="cs"/>
          <w:rtl/>
        </w:rPr>
        <w:tab/>
        <w:t>ويرد في الجدول أدناه عرض لمختلف خدمات الدعم المقدمة المشار إليها في الفقرة 224 من التقرير السابق، إضافة إلى وحدات رعاية الأطفال لساعات مطولة:</w:t>
      </w:r>
    </w:p>
    <w:tbl>
      <w:tblPr>
        <w:bidiVisual/>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0"/>
        <w:gridCol w:w="2340"/>
        <w:gridCol w:w="3060"/>
      </w:tblGrid>
      <w:tr w:rsidR="00443EC1" w:rsidTr="00443EC1">
        <w:tblPrEx>
          <w:tblCellMar>
            <w:top w:w="0" w:type="dxa"/>
            <w:bottom w:w="0" w:type="dxa"/>
          </w:tblCellMar>
        </w:tblPrEx>
        <w:trPr>
          <w:jc w:val="center"/>
        </w:trPr>
        <w:tc>
          <w:tcPr>
            <w:tcW w:w="3960" w:type="dxa"/>
          </w:tcPr>
          <w:p w:rsidR="00443EC1" w:rsidRDefault="00443EC1">
            <w:pPr>
              <w:spacing w:before="0" w:after="0" w:line="320" w:lineRule="exact"/>
              <w:jc w:val="both"/>
              <w:rPr>
                <w:spacing w:val="0"/>
                <w:sz w:val="28"/>
                <w:szCs w:val="28"/>
                <w:rtl/>
              </w:rPr>
            </w:pPr>
          </w:p>
        </w:tc>
        <w:tc>
          <w:tcPr>
            <w:tcW w:w="2340" w:type="dxa"/>
          </w:tcPr>
          <w:p w:rsidR="00443EC1" w:rsidRDefault="00443EC1">
            <w:pPr>
              <w:spacing w:before="0" w:after="0" w:line="320" w:lineRule="exact"/>
              <w:jc w:val="center"/>
              <w:rPr>
                <w:rFonts w:hint="cs"/>
                <w:spacing w:val="0"/>
                <w:sz w:val="28"/>
                <w:szCs w:val="28"/>
                <w:rtl/>
              </w:rPr>
            </w:pPr>
            <w:r>
              <w:rPr>
                <w:spacing w:val="0"/>
                <w:sz w:val="28"/>
                <w:szCs w:val="28"/>
                <w:rtl/>
              </w:rPr>
              <w:t xml:space="preserve">المساعدة المقدمة في الفترة </w:t>
            </w:r>
            <w:r>
              <w:rPr>
                <w:rFonts w:hint="cs"/>
                <w:spacing w:val="0"/>
                <w:sz w:val="28"/>
                <w:szCs w:val="28"/>
                <w:rtl/>
              </w:rPr>
              <w:t>1997-1998</w:t>
            </w:r>
          </w:p>
        </w:tc>
        <w:tc>
          <w:tcPr>
            <w:tcW w:w="3060" w:type="dxa"/>
          </w:tcPr>
          <w:p w:rsidR="00443EC1" w:rsidRDefault="00443EC1">
            <w:pPr>
              <w:spacing w:before="0" w:after="0" w:line="320" w:lineRule="exact"/>
              <w:jc w:val="center"/>
              <w:rPr>
                <w:rFonts w:hint="cs"/>
                <w:spacing w:val="0"/>
                <w:sz w:val="28"/>
                <w:szCs w:val="28"/>
                <w:rtl/>
              </w:rPr>
            </w:pPr>
            <w:r>
              <w:rPr>
                <w:spacing w:val="0"/>
                <w:sz w:val="28"/>
                <w:szCs w:val="28"/>
                <w:rtl/>
              </w:rPr>
              <w:t>المساعدة المقدمة في الفترة</w:t>
            </w:r>
            <w:r>
              <w:rPr>
                <w:rFonts w:hint="cs"/>
                <w:spacing w:val="0"/>
                <w:sz w:val="28"/>
                <w:szCs w:val="28"/>
                <w:rtl/>
              </w:rPr>
              <w:t xml:space="preserve"> </w:t>
            </w:r>
            <w:r>
              <w:rPr>
                <w:spacing w:val="0"/>
                <w:sz w:val="28"/>
                <w:szCs w:val="28"/>
                <w:rtl/>
              </w:rPr>
              <w:br/>
            </w:r>
            <w:r>
              <w:rPr>
                <w:rFonts w:hint="cs"/>
                <w:spacing w:val="0"/>
                <w:sz w:val="28"/>
                <w:szCs w:val="28"/>
                <w:rtl/>
              </w:rPr>
              <w:t>2002-2003</w:t>
            </w:r>
          </w:p>
        </w:tc>
      </w:tr>
      <w:tr w:rsidR="00443EC1" w:rsidTr="00443EC1">
        <w:tblPrEx>
          <w:tblCellMar>
            <w:top w:w="0" w:type="dxa"/>
            <w:bottom w:w="0" w:type="dxa"/>
          </w:tblCellMar>
        </w:tblPrEx>
        <w:trPr>
          <w:jc w:val="center"/>
        </w:trPr>
        <w:tc>
          <w:tcPr>
            <w:tcW w:w="3960" w:type="dxa"/>
          </w:tcPr>
          <w:p w:rsidR="00443EC1" w:rsidRDefault="00443EC1">
            <w:pPr>
              <w:spacing w:before="0" w:after="0" w:line="320" w:lineRule="exact"/>
              <w:jc w:val="both"/>
              <w:rPr>
                <w:spacing w:val="0"/>
                <w:sz w:val="28"/>
                <w:szCs w:val="28"/>
                <w:rtl/>
              </w:rPr>
            </w:pPr>
            <w:r>
              <w:rPr>
                <w:spacing w:val="0"/>
                <w:sz w:val="28"/>
                <w:szCs w:val="28"/>
                <w:rtl/>
              </w:rPr>
              <w:t xml:space="preserve">رياض الأطفال </w:t>
            </w:r>
            <w:r>
              <w:rPr>
                <w:rFonts w:hint="cs"/>
                <w:spacing w:val="0"/>
                <w:sz w:val="28"/>
                <w:szCs w:val="28"/>
                <w:rtl/>
              </w:rPr>
              <w:t xml:space="preserve">النهارية </w:t>
            </w:r>
            <w:r>
              <w:rPr>
                <w:spacing w:val="0"/>
                <w:sz w:val="28"/>
                <w:szCs w:val="28"/>
                <w:rtl/>
              </w:rPr>
              <w:t>التابعة للحكومة والمدعومة</w:t>
            </w:r>
          </w:p>
        </w:tc>
        <w:tc>
          <w:tcPr>
            <w:tcW w:w="2340" w:type="dxa"/>
          </w:tcPr>
          <w:p w:rsidR="00443EC1" w:rsidRDefault="00443EC1">
            <w:pPr>
              <w:spacing w:before="0" w:after="0" w:line="320" w:lineRule="exact"/>
              <w:jc w:val="center"/>
              <w:rPr>
                <w:spacing w:val="0"/>
                <w:sz w:val="28"/>
                <w:szCs w:val="28"/>
                <w:rtl/>
              </w:rPr>
            </w:pPr>
            <w:r>
              <w:rPr>
                <w:rFonts w:hint="cs"/>
                <w:spacing w:val="0"/>
                <w:sz w:val="28"/>
                <w:szCs w:val="28"/>
                <w:rtl/>
              </w:rPr>
              <w:t xml:space="preserve">941 25 </w:t>
            </w:r>
            <w:r>
              <w:rPr>
                <w:spacing w:val="0"/>
                <w:sz w:val="28"/>
                <w:szCs w:val="28"/>
                <w:rtl/>
              </w:rPr>
              <w:t>مكاناً</w:t>
            </w:r>
          </w:p>
        </w:tc>
        <w:tc>
          <w:tcPr>
            <w:tcW w:w="3060" w:type="dxa"/>
          </w:tcPr>
          <w:p w:rsidR="00443EC1" w:rsidRDefault="00443EC1">
            <w:pPr>
              <w:spacing w:before="0" w:after="0" w:line="320" w:lineRule="exact"/>
              <w:jc w:val="center"/>
              <w:rPr>
                <w:spacing w:val="0"/>
                <w:sz w:val="28"/>
                <w:szCs w:val="28"/>
                <w:rtl/>
              </w:rPr>
            </w:pPr>
            <w:r>
              <w:rPr>
                <w:rFonts w:hint="cs"/>
                <w:spacing w:val="0"/>
                <w:sz w:val="28"/>
                <w:szCs w:val="28"/>
                <w:rtl/>
              </w:rPr>
              <w:t xml:space="preserve">314 29 </w:t>
            </w:r>
            <w:r>
              <w:rPr>
                <w:spacing w:val="0"/>
                <w:sz w:val="28"/>
                <w:szCs w:val="28"/>
                <w:rtl/>
              </w:rPr>
              <w:t>مكاناً</w:t>
            </w:r>
          </w:p>
        </w:tc>
      </w:tr>
      <w:tr w:rsidR="00443EC1" w:rsidTr="00443EC1">
        <w:tblPrEx>
          <w:tblCellMar>
            <w:top w:w="0" w:type="dxa"/>
            <w:bottom w:w="0" w:type="dxa"/>
          </w:tblCellMar>
        </w:tblPrEx>
        <w:trPr>
          <w:jc w:val="center"/>
        </w:trPr>
        <w:tc>
          <w:tcPr>
            <w:tcW w:w="3960" w:type="dxa"/>
          </w:tcPr>
          <w:p w:rsidR="00443EC1" w:rsidRDefault="00443EC1">
            <w:pPr>
              <w:spacing w:before="0" w:after="0" w:line="320" w:lineRule="exact"/>
              <w:jc w:val="both"/>
              <w:rPr>
                <w:spacing w:val="4"/>
                <w:sz w:val="28"/>
                <w:szCs w:val="28"/>
                <w:rtl/>
              </w:rPr>
            </w:pPr>
            <w:r>
              <w:rPr>
                <w:spacing w:val="4"/>
                <w:sz w:val="28"/>
                <w:szCs w:val="28"/>
                <w:rtl/>
              </w:rPr>
              <w:t>دور الحضانة النهارية المدعومة</w:t>
            </w:r>
          </w:p>
        </w:tc>
        <w:tc>
          <w:tcPr>
            <w:tcW w:w="2340" w:type="dxa"/>
          </w:tcPr>
          <w:p w:rsidR="00443EC1" w:rsidRDefault="00443EC1">
            <w:pPr>
              <w:spacing w:before="0" w:after="0" w:line="320" w:lineRule="exact"/>
              <w:jc w:val="center"/>
              <w:rPr>
                <w:spacing w:val="0"/>
                <w:sz w:val="28"/>
                <w:szCs w:val="28"/>
                <w:rtl/>
              </w:rPr>
            </w:pPr>
            <w:r>
              <w:rPr>
                <w:rFonts w:hint="cs"/>
                <w:spacing w:val="0"/>
                <w:sz w:val="28"/>
                <w:szCs w:val="28"/>
                <w:rtl/>
              </w:rPr>
              <w:t xml:space="preserve">479 1 </w:t>
            </w:r>
            <w:r>
              <w:rPr>
                <w:spacing w:val="0"/>
                <w:sz w:val="28"/>
                <w:szCs w:val="28"/>
                <w:rtl/>
              </w:rPr>
              <w:t>مكاناً</w:t>
            </w:r>
          </w:p>
        </w:tc>
        <w:tc>
          <w:tcPr>
            <w:tcW w:w="3060" w:type="dxa"/>
          </w:tcPr>
          <w:p w:rsidR="00443EC1" w:rsidRDefault="00443EC1">
            <w:pPr>
              <w:spacing w:before="0" w:after="0" w:line="320" w:lineRule="exact"/>
              <w:jc w:val="center"/>
              <w:rPr>
                <w:spacing w:val="0"/>
                <w:sz w:val="28"/>
                <w:szCs w:val="28"/>
                <w:rtl/>
              </w:rPr>
            </w:pPr>
            <w:r>
              <w:rPr>
                <w:rFonts w:hint="cs"/>
                <w:spacing w:val="0"/>
                <w:sz w:val="28"/>
                <w:szCs w:val="28"/>
                <w:rtl/>
              </w:rPr>
              <w:t>113 1</w:t>
            </w:r>
            <w:r>
              <w:rPr>
                <w:spacing w:val="0"/>
                <w:sz w:val="28"/>
                <w:szCs w:val="28"/>
                <w:rtl/>
              </w:rPr>
              <w:t>مكاناً</w:t>
            </w:r>
          </w:p>
        </w:tc>
      </w:tr>
      <w:tr w:rsidR="00443EC1" w:rsidTr="00443EC1">
        <w:tblPrEx>
          <w:tblCellMar>
            <w:top w:w="0" w:type="dxa"/>
            <w:bottom w:w="0" w:type="dxa"/>
          </w:tblCellMar>
        </w:tblPrEx>
        <w:trPr>
          <w:jc w:val="center"/>
        </w:trPr>
        <w:tc>
          <w:tcPr>
            <w:tcW w:w="3960" w:type="dxa"/>
          </w:tcPr>
          <w:p w:rsidR="00443EC1" w:rsidRDefault="00443EC1">
            <w:pPr>
              <w:spacing w:before="0" w:after="0" w:line="320" w:lineRule="exact"/>
              <w:jc w:val="both"/>
              <w:rPr>
                <w:spacing w:val="4"/>
                <w:sz w:val="28"/>
                <w:szCs w:val="28"/>
                <w:rtl/>
              </w:rPr>
            </w:pPr>
            <w:r>
              <w:rPr>
                <w:spacing w:val="4"/>
                <w:sz w:val="28"/>
                <w:szCs w:val="28"/>
                <w:rtl/>
              </w:rPr>
              <w:t>وحدات رعاية الطفل بصورة غير منتظمة (ثلاثة أماكن للوحدة)</w:t>
            </w:r>
          </w:p>
        </w:tc>
        <w:tc>
          <w:tcPr>
            <w:tcW w:w="2340" w:type="dxa"/>
          </w:tcPr>
          <w:p w:rsidR="00443EC1" w:rsidRDefault="00443EC1">
            <w:pPr>
              <w:spacing w:before="0" w:after="0" w:line="320" w:lineRule="exact"/>
              <w:jc w:val="center"/>
              <w:rPr>
                <w:rFonts w:hint="cs"/>
                <w:spacing w:val="0"/>
                <w:sz w:val="28"/>
                <w:szCs w:val="28"/>
                <w:rtl/>
              </w:rPr>
            </w:pPr>
            <w:r>
              <w:rPr>
                <w:rFonts w:hint="cs"/>
                <w:spacing w:val="0"/>
                <w:sz w:val="28"/>
                <w:szCs w:val="28"/>
                <w:rtl/>
              </w:rPr>
              <w:t xml:space="preserve">230 </w:t>
            </w:r>
            <w:r>
              <w:rPr>
                <w:spacing w:val="0"/>
                <w:sz w:val="28"/>
                <w:szCs w:val="28"/>
                <w:rtl/>
              </w:rPr>
              <w:t>وحد</w:t>
            </w:r>
            <w:r>
              <w:rPr>
                <w:rFonts w:hint="cs"/>
                <w:spacing w:val="0"/>
                <w:sz w:val="28"/>
                <w:szCs w:val="28"/>
                <w:rtl/>
              </w:rPr>
              <w:t>ة</w:t>
            </w:r>
          </w:p>
          <w:p w:rsidR="00443EC1" w:rsidRDefault="00443EC1">
            <w:pPr>
              <w:spacing w:before="0" w:after="0" w:line="320" w:lineRule="exact"/>
              <w:jc w:val="center"/>
              <w:rPr>
                <w:spacing w:val="0"/>
                <w:sz w:val="28"/>
                <w:szCs w:val="28"/>
                <w:rtl/>
              </w:rPr>
            </w:pPr>
            <w:r>
              <w:rPr>
                <w:spacing w:val="0"/>
                <w:sz w:val="28"/>
                <w:szCs w:val="28"/>
                <w:rtl/>
              </w:rPr>
              <w:t>(</w:t>
            </w:r>
            <w:r>
              <w:rPr>
                <w:rFonts w:hint="cs"/>
                <w:spacing w:val="0"/>
                <w:sz w:val="28"/>
                <w:szCs w:val="28"/>
                <w:rtl/>
              </w:rPr>
              <w:t>690 مكاناً</w:t>
            </w:r>
            <w:r>
              <w:rPr>
                <w:spacing w:val="0"/>
                <w:sz w:val="28"/>
                <w:szCs w:val="28"/>
                <w:rtl/>
              </w:rPr>
              <w:t>)</w:t>
            </w:r>
          </w:p>
        </w:tc>
        <w:tc>
          <w:tcPr>
            <w:tcW w:w="3060" w:type="dxa"/>
          </w:tcPr>
          <w:p w:rsidR="00443EC1" w:rsidRDefault="00443EC1">
            <w:pPr>
              <w:spacing w:before="0" w:after="0" w:line="320" w:lineRule="exact"/>
              <w:jc w:val="center"/>
              <w:rPr>
                <w:spacing w:val="0"/>
                <w:sz w:val="28"/>
                <w:szCs w:val="28"/>
                <w:rtl/>
              </w:rPr>
            </w:pPr>
            <w:r>
              <w:rPr>
                <w:rFonts w:hint="cs"/>
                <w:spacing w:val="0"/>
                <w:sz w:val="28"/>
                <w:szCs w:val="28"/>
                <w:rtl/>
              </w:rPr>
              <w:t xml:space="preserve">243 </w:t>
            </w:r>
            <w:r>
              <w:rPr>
                <w:spacing w:val="0"/>
                <w:sz w:val="28"/>
                <w:szCs w:val="28"/>
                <w:rtl/>
              </w:rPr>
              <w:t>وحدة</w:t>
            </w:r>
          </w:p>
          <w:p w:rsidR="00443EC1" w:rsidRDefault="00443EC1">
            <w:pPr>
              <w:spacing w:before="0" w:after="0" w:line="320" w:lineRule="exact"/>
              <w:jc w:val="center"/>
              <w:rPr>
                <w:spacing w:val="0"/>
                <w:sz w:val="28"/>
                <w:szCs w:val="28"/>
                <w:rtl/>
              </w:rPr>
            </w:pPr>
            <w:r>
              <w:rPr>
                <w:spacing w:val="0"/>
                <w:sz w:val="28"/>
                <w:szCs w:val="28"/>
                <w:rtl/>
              </w:rPr>
              <w:t>(</w:t>
            </w:r>
            <w:r>
              <w:rPr>
                <w:rFonts w:hint="cs"/>
                <w:spacing w:val="0"/>
                <w:sz w:val="28"/>
                <w:szCs w:val="28"/>
                <w:rtl/>
              </w:rPr>
              <w:t>729 مكانا</w:t>
            </w:r>
            <w:r>
              <w:rPr>
                <w:spacing w:val="0"/>
                <w:sz w:val="28"/>
                <w:szCs w:val="28"/>
                <w:rtl/>
              </w:rPr>
              <w:t>)</w:t>
            </w:r>
          </w:p>
        </w:tc>
      </w:tr>
      <w:tr w:rsidR="00443EC1" w:rsidTr="00443EC1">
        <w:tblPrEx>
          <w:tblCellMar>
            <w:top w:w="0" w:type="dxa"/>
            <w:bottom w:w="0" w:type="dxa"/>
          </w:tblCellMar>
        </w:tblPrEx>
        <w:trPr>
          <w:jc w:val="center"/>
        </w:trPr>
        <w:tc>
          <w:tcPr>
            <w:tcW w:w="3960" w:type="dxa"/>
          </w:tcPr>
          <w:p w:rsidR="00443EC1" w:rsidRDefault="00443EC1">
            <w:pPr>
              <w:spacing w:before="0" w:after="0" w:line="320" w:lineRule="exact"/>
              <w:jc w:val="both"/>
              <w:rPr>
                <w:rFonts w:hint="cs"/>
                <w:spacing w:val="4"/>
                <w:sz w:val="28"/>
                <w:szCs w:val="28"/>
                <w:rtl/>
              </w:rPr>
            </w:pPr>
            <w:r>
              <w:rPr>
                <w:rFonts w:hint="cs"/>
                <w:spacing w:val="4"/>
                <w:sz w:val="28"/>
                <w:szCs w:val="28"/>
                <w:rtl/>
              </w:rPr>
              <w:t>وحدات رعاية الأطفال لساعات طويلة (14 مكانا للوحدة)</w:t>
            </w:r>
          </w:p>
        </w:tc>
        <w:tc>
          <w:tcPr>
            <w:tcW w:w="2340" w:type="dxa"/>
          </w:tcPr>
          <w:p w:rsidR="00443EC1" w:rsidRDefault="00443EC1">
            <w:pPr>
              <w:spacing w:before="0" w:after="0" w:line="320" w:lineRule="exact"/>
              <w:jc w:val="center"/>
              <w:rPr>
                <w:rFonts w:hint="cs"/>
                <w:spacing w:val="0"/>
                <w:sz w:val="28"/>
                <w:szCs w:val="28"/>
                <w:rtl/>
              </w:rPr>
            </w:pPr>
            <w:r>
              <w:rPr>
                <w:rFonts w:hint="cs"/>
                <w:spacing w:val="0"/>
                <w:sz w:val="28"/>
                <w:szCs w:val="28"/>
                <w:rtl/>
              </w:rPr>
              <w:t>5 وحدات</w:t>
            </w:r>
          </w:p>
          <w:p w:rsidR="00443EC1" w:rsidRDefault="00443EC1">
            <w:pPr>
              <w:spacing w:before="0" w:after="0" w:line="320" w:lineRule="exact"/>
              <w:jc w:val="center"/>
              <w:rPr>
                <w:rFonts w:hint="cs"/>
                <w:spacing w:val="0"/>
                <w:sz w:val="28"/>
                <w:szCs w:val="28"/>
                <w:rtl/>
              </w:rPr>
            </w:pPr>
            <w:r>
              <w:rPr>
                <w:rFonts w:hint="cs"/>
                <w:spacing w:val="0"/>
                <w:sz w:val="28"/>
                <w:szCs w:val="28"/>
                <w:rtl/>
              </w:rPr>
              <w:t>(70 مكاناً)</w:t>
            </w:r>
          </w:p>
        </w:tc>
        <w:tc>
          <w:tcPr>
            <w:tcW w:w="3060" w:type="dxa"/>
          </w:tcPr>
          <w:p w:rsidR="00443EC1" w:rsidRDefault="00443EC1">
            <w:pPr>
              <w:spacing w:before="0" w:after="0" w:line="320" w:lineRule="exact"/>
              <w:jc w:val="center"/>
              <w:rPr>
                <w:rFonts w:hint="cs"/>
                <w:spacing w:val="0"/>
                <w:sz w:val="28"/>
                <w:szCs w:val="28"/>
                <w:rtl/>
              </w:rPr>
            </w:pPr>
            <w:r>
              <w:rPr>
                <w:rFonts w:hint="cs"/>
                <w:spacing w:val="0"/>
                <w:sz w:val="28"/>
                <w:szCs w:val="28"/>
                <w:rtl/>
              </w:rPr>
              <w:t>115 وحدة</w:t>
            </w:r>
          </w:p>
          <w:p w:rsidR="00443EC1" w:rsidRDefault="00443EC1">
            <w:pPr>
              <w:spacing w:before="0" w:after="0" w:line="320" w:lineRule="exact"/>
              <w:jc w:val="center"/>
              <w:rPr>
                <w:rFonts w:hint="cs"/>
                <w:spacing w:val="0"/>
                <w:sz w:val="28"/>
                <w:szCs w:val="28"/>
                <w:rtl/>
              </w:rPr>
            </w:pPr>
            <w:r>
              <w:rPr>
                <w:rFonts w:hint="cs"/>
                <w:spacing w:val="0"/>
                <w:sz w:val="28"/>
                <w:szCs w:val="28"/>
                <w:rtl/>
              </w:rPr>
              <w:t>(610 1 أماكن)</w:t>
            </w:r>
          </w:p>
        </w:tc>
      </w:tr>
      <w:tr w:rsidR="00443EC1" w:rsidTr="00443EC1">
        <w:tblPrEx>
          <w:tblCellMar>
            <w:top w:w="0" w:type="dxa"/>
            <w:bottom w:w="0" w:type="dxa"/>
          </w:tblCellMar>
        </w:tblPrEx>
        <w:trPr>
          <w:jc w:val="center"/>
        </w:trPr>
        <w:tc>
          <w:tcPr>
            <w:tcW w:w="3960" w:type="dxa"/>
          </w:tcPr>
          <w:p w:rsidR="00443EC1" w:rsidRDefault="00443EC1">
            <w:pPr>
              <w:spacing w:before="0" w:after="0" w:line="320" w:lineRule="exact"/>
              <w:jc w:val="both"/>
              <w:rPr>
                <w:spacing w:val="0"/>
                <w:sz w:val="28"/>
                <w:szCs w:val="28"/>
                <w:rtl/>
              </w:rPr>
            </w:pPr>
            <w:r>
              <w:rPr>
                <w:spacing w:val="0"/>
                <w:sz w:val="28"/>
                <w:szCs w:val="28"/>
                <w:rtl/>
              </w:rPr>
              <w:t>أفرقة المساعدة في المنزل</w:t>
            </w:r>
          </w:p>
        </w:tc>
        <w:tc>
          <w:tcPr>
            <w:tcW w:w="2340" w:type="dxa"/>
          </w:tcPr>
          <w:p w:rsidR="00443EC1" w:rsidRDefault="00443EC1">
            <w:pPr>
              <w:spacing w:before="0" w:after="0" w:line="320" w:lineRule="exact"/>
              <w:jc w:val="center"/>
              <w:rPr>
                <w:rFonts w:hint="cs"/>
                <w:spacing w:val="0"/>
                <w:sz w:val="28"/>
                <w:szCs w:val="28"/>
                <w:rtl/>
              </w:rPr>
            </w:pPr>
            <w:r>
              <w:rPr>
                <w:rFonts w:hint="cs"/>
                <w:spacing w:val="0"/>
                <w:sz w:val="28"/>
                <w:szCs w:val="28"/>
                <w:rtl/>
              </w:rPr>
              <w:t>126 فريقاً</w:t>
            </w:r>
          </w:p>
        </w:tc>
        <w:tc>
          <w:tcPr>
            <w:tcW w:w="3060" w:type="dxa"/>
          </w:tcPr>
          <w:p w:rsidR="00443EC1" w:rsidRDefault="00443EC1">
            <w:pPr>
              <w:spacing w:before="0" w:after="0" w:line="320" w:lineRule="exact"/>
              <w:jc w:val="center"/>
              <w:rPr>
                <w:rFonts w:hint="cs"/>
                <w:spacing w:val="0"/>
                <w:sz w:val="28"/>
                <w:szCs w:val="28"/>
                <w:rtl/>
              </w:rPr>
            </w:pPr>
            <w:r>
              <w:rPr>
                <w:rFonts w:hint="cs"/>
                <w:spacing w:val="0"/>
                <w:sz w:val="28"/>
                <w:szCs w:val="28"/>
                <w:rtl/>
              </w:rPr>
              <w:t>139 فريقاً</w:t>
            </w:r>
          </w:p>
          <w:p w:rsidR="00443EC1" w:rsidRDefault="00443EC1">
            <w:pPr>
              <w:spacing w:before="0" w:after="0" w:line="320" w:lineRule="exact"/>
              <w:jc w:val="center"/>
              <w:rPr>
                <w:rFonts w:hint="cs"/>
                <w:spacing w:val="0"/>
                <w:sz w:val="28"/>
                <w:szCs w:val="28"/>
                <w:rtl/>
              </w:rPr>
            </w:pPr>
            <w:r>
              <w:rPr>
                <w:rFonts w:hint="cs"/>
                <w:spacing w:val="0"/>
                <w:sz w:val="28"/>
                <w:szCs w:val="28"/>
                <w:rtl/>
              </w:rPr>
              <w:t>(إضافة إلى 25 فريقاً للرعاية المنزلية)</w:t>
            </w:r>
          </w:p>
        </w:tc>
      </w:tr>
      <w:tr w:rsidR="00443EC1" w:rsidTr="00443EC1">
        <w:tblPrEx>
          <w:tblCellMar>
            <w:top w:w="0" w:type="dxa"/>
            <w:bottom w:w="0" w:type="dxa"/>
          </w:tblCellMar>
        </w:tblPrEx>
        <w:trPr>
          <w:jc w:val="center"/>
        </w:trPr>
        <w:tc>
          <w:tcPr>
            <w:tcW w:w="3960" w:type="dxa"/>
          </w:tcPr>
          <w:p w:rsidR="00443EC1" w:rsidRDefault="00443EC1">
            <w:pPr>
              <w:spacing w:before="0" w:after="0" w:line="320" w:lineRule="exact"/>
              <w:jc w:val="both"/>
              <w:rPr>
                <w:spacing w:val="0"/>
                <w:sz w:val="28"/>
                <w:szCs w:val="28"/>
                <w:rtl/>
              </w:rPr>
            </w:pPr>
            <w:r>
              <w:rPr>
                <w:spacing w:val="0"/>
                <w:sz w:val="28"/>
                <w:szCs w:val="28"/>
                <w:rtl/>
              </w:rPr>
              <w:t xml:space="preserve">العاملون </w:t>
            </w:r>
            <w:r>
              <w:rPr>
                <w:rFonts w:hint="cs"/>
                <w:spacing w:val="0"/>
                <w:sz w:val="28"/>
                <w:szCs w:val="28"/>
                <w:rtl/>
              </w:rPr>
              <w:t xml:space="preserve">في </w:t>
            </w:r>
            <w:r>
              <w:rPr>
                <w:spacing w:val="0"/>
                <w:sz w:val="28"/>
                <w:szCs w:val="28"/>
                <w:rtl/>
              </w:rPr>
              <w:t>مساعدة الأسرة</w:t>
            </w:r>
          </w:p>
        </w:tc>
        <w:tc>
          <w:tcPr>
            <w:tcW w:w="2340" w:type="dxa"/>
          </w:tcPr>
          <w:p w:rsidR="00443EC1" w:rsidRDefault="00443EC1">
            <w:pPr>
              <w:spacing w:before="0" w:after="0" w:line="320" w:lineRule="exact"/>
              <w:jc w:val="center"/>
              <w:rPr>
                <w:spacing w:val="0"/>
                <w:sz w:val="28"/>
                <w:szCs w:val="28"/>
                <w:rtl/>
              </w:rPr>
            </w:pPr>
            <w:r>
              <w:rPr>
                <w:rFonts w:hint="cs"/>
                <w:spacing w:val="0"/>
                <w:sz w:val="28"/>
                <w:szCs w:val="28"/>
                <w:rtl/>
              </w:rPr>
              <w:t xml:space="preserve">52 </w:t>
            </w:r>
            <w:r>
              <w:rPr>
                <w:spacing w:val="0"/>
                <w:sz w:val="28"/>
                <w:szCs w:val="28"/>
                <w:rtl/>
              </w:rPr>
              <w:t>عاملاً</w:t>
            </w:r>
          </w:p>
        </w:tc>
        <w:tc>
          <w:tcPr>
            <w:tcW w:w="3060" w:type="dxa"/>
          </w:tcPr>
          <w:p w:rsidR="00443EC1" w:rsidRDefault="00443EC1">
            <w:pPr>
              <w:spacing w:before="0" w:after="0" w:line="320" w:lineRule="exact"/>
              <w:jc w:val="center"/>
              <w:rPr>
                <w:spacing w:val="0"/>
                <w:sz w:val="28"/>
                <w:szCs w:val="28"/>
                <w:rtl/>
              </w:rPr>
            </w:pPr>
            <w:r>
              <w:rPr>
                <w:rFonts w:hint="cs"/>
                <w:spacing w:val="0"/>
                <w:sz w:val="28"/>
                <w:szCs w:val="28"/>
                <w:rtl/>
              </w:rPr>
              <w:t xml:space="preserve">44 </w:t>
            </w:r>
            <w:r>
              <w:rPr>
                <w:spacing w:val="0"/>
                <w:sz w:val="28"/>
                <w:szCs w:val="28"/>
                <w:rtl/>
              </w:rPr>
              <w:t>عاملاً</w:t>
            </w:r>
          </w:p>
        </w:tc>
      </w:tr>
    </w:tbl>
    <w:p w:rsidR="00000000" w:rsidRDefault="00443EC1">
      <w:pPr>
        <w:spacing w:line="380" w:lineRule="exact"/>
        <w:jc w:val="both"/>
        <w:rPr>
          <w:rFonts w:hint="cs"/>
          <w:rtl/>
        </w:rPr>
      </w:pPr>
      <w:r>
        <w:rPr>
          <w:rFonts w:hint="cs"/>
          <w:rtl/>
        </w:rPr>
        <w:t xml:space="preserve">ويعكس انخفاض عدد الأماكن في دور الحضانة النهارية تراجع فئة الأطفال دون سن </w:t>
      </w:r>
      <w:r>
        <w:rPr>
          <w:rFonts w:hint="cs"/>
          <w:rtl/>
        </w:rPr>
        <w:t>السادسة: إذ انخفض عددهم من 180 412 طفلا عام 1996 إلى 197 355 طفلا عام 2001. ولهذا السبب، يعتبر إجمالي مستوى خدمات رعاية الأطفال المقدمة أكثر من كاف لتلبية الطلب، ونتوقع الاستجابة بالكامل للطلب على العاملين لمساعدة الأسرة في الفترة 2002-2003.</w:t>
      </w:r>
    </w:p>
    <w:p w:rsidR="00000000" w:rsidRDefault="00443EC1">
      <w:pPr>
        <w:spacing w:line="380" w:lineRule="exact"/>
        <w:jc w:val="both"/>
        <w:rPr>
          <w:rFonts w:hint="cs"/>
          <w:i/>
          <w:iCs/>
          <w:rtl/>
        </w:rPr>
      </w:pPr>
      <w:r>
        <w:rPr>
          <w:rFonts w:hint="cs"/>
          <w:i/>
          <w:iCs/>
          <w:rtl/>
        </w:rPr>
        <w:t>الخدمات المقدم</w:t>
      </w:r>
      <w:r>
        <w:rPr>
          <w:rFonts w:hint="cs"/>
          <w:i/>
          <w:iCs/>
          <w:rtl/>
        </w:rPr>
        <w:t>ة إلى الأسر التي تواجه صعوبات كبيرة</w:t>
      </w:r>
    </w:p>
    <w:p w:rsidR="00000000" w:rsidRDefault="00443EC1">
      <w:pPr>
        <w:spacing w:line="380" w:lineRule="exact"/>
        <w:jc w:val="both"/>
        <w:rPr>
          <w:rFonts w:hint="cs"/>
          <w:rtl/>
        </w:rPr>
      </w:pPr>
      <w:r>
        <w:rPr>
          <w:rFonts w:hint="cs"/>
          <w:rtl/>
        </w:rPr>
        <w:t>501-</w:t>
      </w:r>
      <w:r>
        <w:rPr>
          <w:rFonts w:hint="cs"/>
          <w:rtl/>
        </w:rPr>
        <w:tab/>
        <w:t xml:space="preserve">قمنا في الفقرة 226 من التقرير الأولي بعرض الخدمات التي كانت متاحة للأسر التي تواجه صعوبات كبيرة. وما زالت هذه الخدمات قائمة. وفي شهر نيسان/أبريل 2002، أنشأنا 15 مركزا متكاملا للخدمات الأسرية على أساس نموذجي داخل 66 </w:t>
      </w:r>
      <w:r>
        <w:rPr>
          <w:rFonts w:hint="cs"/>
          <w:rtl/>
        </w:rPr>
        <w:t>مركزا من مراكز الخدمات الأسرية. وتعمل المراكز وفقا لنموذج خدمة جديد صمم لتيسير الوصول إلى الخدمات وتحديد الأسر المعوزة تحديدا مبكرا. ويشمل كل مركز وحدة للموارد الأسرية ووحدة للدعم الأسري ووحدة لإسداء المشورة الأسرية. وتهدف هذه المراكز إلى تحقيق التكامل بين</w:t>
      </w:r>
      <w:r>
        <w:rPr>
          <w:rFonts w:hint="cs"/>
          <w:rtl/>
        </w:rPr>
        <w:t xml:space="preserve"> خدمات الرفاه الأسري والخدمات المجتمعية بغية تقديم سلسلة من خدمات الوقاية والدعم والتعويض لتلبية الاحتياجات المتغيرة للأسر على نحو شامل. </w:t>
      </w:r>
    </w:p>
    <w:p w:rsidR="00000000" w:rsidRDefault="00443EC1">
      <w:pPr>
        <w:spacing w:line="380" w:lineRule="exact"/>
        <w:jc w:val="both"/>
        <w:rPr>
          <w:rFonts w:hint="cs"/>
          <w:rtl/>
        </w:rPr>
      </w:pPr>
      <w:r>
        <w:rPr>
          <w:rFonts w:hint="cs"/>
          <w:rtl/>
        </w:rPr>
        <w:t>502-</w:t>
      </w:r>
      <w:r>
        <w:rPr>
          <w:rFonts w:hint="cs"/>
          <w:rtl/>
        </w:rPr>
        <w:tab/>
        <w:t>وتشرف وزارة الرعاية الاجتماعية على خط اتصالات مباشر لتيسير الوصول إلى خدمات الرعاية الاجتماعية. وفي شهر نيسان/أبر</w:t>
      </w:r>
      <w:r>
        <w:rPr>
          <w:rFonts w:hint="cs"/>
          <w:rtl/>
        </w:rPr>
        <w:t>يل 2000، فتحت الوزارة خطا مباشرا للمساعدة الأسرية، بغرض تقديم المشورة والمساعدة الفورية لمن يحتاج إليها من الأسر والأشخاص.</w:t>
      </w:r>
    </w:p>
    <w:p w:rsidR="00000000" w:rsidRDefault="00443EC1">
      <w:pPr>
        <w:spacing w:line="380" w:lineRule="exact"/>
        <w:jc w:val="both"/>
        <w:rPr>
          <w:rFonts w:hint="cs"/>
          <w:rtl/>
        </w:rPr>
      </w:pPr>
      <w:r>
        <w:rPr>
          <w:rFonts w:hint="cs"/>
          <w:rtl/>
        </w:rPr>
        <w:t>503-</w:t>
      </w:r>
      <w:r>
        <w:rPr>
          <w:rFonts w:hint="cs"/>
          <w:rtl/>
        </w:rPr>
        <w:tab/>
      </w:r>
      <w:r>
        <w:rPr>
          <w:rtl/>
        </w:rPr>
        <w:t>وما زالت خدمات الرعاية ال</w:t>
      </w:r>
      <w:r>
        <w:rPr>
          <w:rFonts w:hint="cs"/>
          <w:rtl/>
        </w:rPr>
        <w:t>داخلية</w:t>
      </w:r>
      <w:r>
        <w:rPr>
          <w:rtl/>
        </w:rPr>
        <w:t xml:space="preserve"> (التي تشمل الكفالة والمنازل المخصصة لمجموعات صغيرة ورياض الأطفال ودور الحضانة الداخلية والمؤسسات</w:t>
      </w:r>
      <w:r>
        <w:rPr>
          <w:rtl/>
        </w:rPr>
        <w:t xml:space="preserve"> الداخلية) متوفرة للأطفال الذين لا يستطيعون العيش مع والديهم</w:t>
      </w:r>
      <w:r>
        <w:rPr>
          <w:rFonts w:hint="cs"/>
          <w:rtl/>
        </w:rPr>
        <w:t xml:space="preserve"> لأسباب شتى من بينها التعرض للإساءة ومشاهدة العنف المنزلي. وفي الفترة 1997-1998، توافر 600 مكان لكفالة الأطفال المحتاجين. وقد زدنا عدد أماكن الكفالة في الفترة 2002-2003 ليبلغ 670 مكانا، قصد توفير </w:t>
      </w:r>
      <w:r>
        <w:rPr>
          <w:rFonts w:hint="cs"/>
          <w:rtl/>
        </w:rPr>
        <w:t xml:space="preserve">بيئة شبيهة بالبيئة الأسرية للأطفال الذين يحتاجون إلى الرعاية خارج بيوتهم. وسنوفر 60 مكانا إضافيا في الفترة 2003-2004، ليصل بذلك مجموع الأماكن المتوافرة إلى 730 مكانا. واستمرت زيادة أماكن الرعاية الداخلية العامة من 309 3 أماكن في الفترة 1997-1998 إلى 355 3 </w:t>
      </w:r>
      <w:r>
        <w:rPr>
          <w:rFonts w:hint="cs"/>
          <w:rtl/>
        </w:rPr>
        <w:t xml:space="preserve">مكانا في نيسان/أبريل 2003. </w:t>
      </w:r>
    </w:p>
    <w:p w:rsidR="00000000" w:rsidRDefault="00443EC1">
      <w:pPr>
        <w:spacing w:line="380" w:lineRule="exact"/>
        <w:jc w:val="both"/>
        <w:rPr>
          <w:rtl/>
        </w:rPr>
      </w:pPr>
      <w:r>
        <w:rPr>
          <w:rFonts w:hint="cs"/>
          <w:rtl/>
        </w:rPr>
        <w:t>504-</w:t>
      </w:r>
      <w:r>
        <w:rPr>
          <w:rFonts w:hint="cs"/>
          <w:rtl/>
        </w:rPr>
        <w:tab/>
        <w:t>ويعرض الجدول التالي تفاصيل الخدمات المقدمة: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61"/>
        <w:gridCol w:w="2977"/>
        <w:gridCol w:w="2722"/>
      </w:tblGrid>
      <w:tr w:rsidR="00443EC1" w:rsidTr="00443EC1">
        <w:tblPrEx>
          <w:tblCellMar>
            <w:top w:w="0" w:type="dxa"/>
            <w:bottom w:w="0" w:type="dxa"/>
          </w:tblCellMar>
        </w:tblPrEx>
        <w:trPr>
          <w:jc w:val="center"/>
        </w:trPr>
        <w:tc>
          <w:tcPr>
            <w:tcW w:w="3661" w:type="dxa"/>
          </w:tcPr>
          <w:p w:rsidR="00443EC1" w:rsidRDefault="00443EC1">
            <w:pPr>
              <w:spacing w:before="0" w:after="0" w:line="320" w:lineRule="exact"/>
              <w:jc w:val="both"/>
              <w:rPr>
                <w:sz w:val="28"/>
                <w:szCs w:val="28"/>
                <w:rtl/>
              </w:rPr>
            </w:pPr>
          </w:p>
        </w:tc>
        <w:tc>
          <w:tcPr>
            <w:tcW w:w="2977" w:type="dxa"/>
          </w:tcPr>
          <w:p w:rsidR="00443EC1" w:rsidRDefault="00443EC1">
            <w:pPr>
              <w:spacing w:before="0" w:after="0" w:line="320" w:lineRule="exact"/>
              <w:jc w:val="center"/>
              <w:rPr>
                <w:rFonts w:hint="cs"/>
                <w:sz w:val="28"/>
                <w:szCs w:val="28"/>
                <w:rtl/>
              </w:rPr>
            </w:pPr>
            <w:r>
              <w:rPr>
                <w:sz w:val="28"/>
                <w:szCs w:val="28"/>
                <w:rtl/>
              </w:rPr>
              <w:t>الخدمات المقدمة في</w:t>
            </w:r>
            <w:r>
              <w:rPr>
                <w:rFonts w:hint="cs"/>
                <w:sz w:val="28"/>
                <w:szCs w:val="28"/>
                <w:rtl/>
              </w:rPr>
              <w:t xml:space="preserve"> الفترة</w:t>
            </w:r>
            <w:r>
              <w:rPr>
                <w:sz w:val="28"/>
                <w:szCs w:val="28"/>
                <w:rtl/>
              </w:rPr>
              <w:br/>
            </w:r>
            <w:r>
              <w:rPr>
                <w:rFonts w:hint="cs"/>
                <w:sz w:val="28"/>
                <w:szCs w:val="28"/>
                <w:rtl/>
              </w:rPr>
              <w:t>1997-1998</w:t>
            </w:r>
          </w:p>
        </w:tc>
        <w:tc>
          <w:tcPr>
            <w:tcW w:w="2722" w:type="dxa"/>
          </w:tcPr>
          <w:p w:rsidR="00443EC1" w:rsidRDefault="00443EC1">
            <w:pPr>
              <w:spacing w:before="0" w:after="0" w:line="320" w:lineRule="exact"/>
              <w:jc w:val="center"/>
              <w:rPr>
                <w:sz w:val="28"/>
                <w:szCs w:val="28"/>
                <w:rtl/>
              </w:rPr>
            </w:pPr>
            <w:r>
              <w:rPr>
                <w:sz w:val="28"/>
                <w:szCs w:val="28"/>
                <w:rtl/>
              </w:rPr>
              <w:t>الخدمات المقدمة في الفترة</w:t>
            </w:r>
            <w:r>
              <w:rPr>
                <w:rFonts w:hint="cs"/>
                <w:sz w:val="28"/>
                <w:szCs w:val="28"/>
                <w:rtl/>
              </w:rPr>
              <w:br/>
              <w:t>2002-2003</w:t>
            </w:r>
          </w:p>
        </w:tc>
      </w:tr>
      <w:tr w:rsidR="00443EC1" w:rsidTr="00443EC1">
        <w:tblPrEx>
          <w:tblCellMar>
            <w:top w:w="0" w:type="dxa"/>
            <w:bottom w:w="0" w:type="dxa"/>
          </w:tblCellMar>
        </w:tblPrEx>
        <w:trPr>
          <w:jc w:val="center"/>
        </w:trPr>
        <w:tc>
          <w:tcPr>
            <w:tcW w:w="3661" w:type="dxa"/>
          </w:tcPr>
          <w:p w:rsidR="00443EC1" w:rsidRDefault="00443EC1">
            <w:pPr>
              <w:spacing w:before="0" w:after="0" w:line="320" w:lineRule="exact"/>
              <w:jc w:val="both"/>
              <w:rPr>
                <w:sz w:val="28"/>
                <w:szCs w:val="28"/>
                <w:rtl/>
              </w:rPr>
            </w:pPr>
            <w:r>
              <w:rPr>
                <w:sz w:val="28"/>
                <w:szCs w:val="28"/>
                <w:rtl/>
              </w:rPr>
              <w:t>الأخصائيون في الخدمة الاجتماعية الأسرية</w:t>
            </w:r>
          </w:p>
        </w:tc>
        <w:tc>
          <w:tcPr>
            <w:tcW w:w="2977" w:type="dxa"/>
          </w:tcPr>
          <w:p w:rsidR="00443EC1" w:rsidRDefault="00443EC1">
            <w:pPr>
              <w:spacing w:before="0" w:after="0" w:line="320" w:lineRule="exact"/>
              <w:jc w:val="center"/>
              <w:rPr>
                <w:rFonts w:hint="cs"/>
                <w:sz w:val="28"/>
                <w:szCs w:val="28"/>
                <w:rtl/>
              </w:rPr>
            </w:pPr>
            <w:r>
              <w:rPr>
                <w:rFonts w:hint="cs"/>
                <w:sz w:val="28"/>
                <w:szCs w:val="28"/>
                <w:rtl/>
              </w:rPr>
              <w:t>706</w:t>
            </w:r>
          </w:p>
        </w:tc>
        <w:tc>
          <w:tcPr>
            <w:tcW w:w="2722" w:type="dxa"/>
          </w:tcPr>
          <w:p w:rsidR="00443EC1" w:rsidRDefault="00443EC1">
            <w:pPr>
              <w:spacing w:before="0" w:after="0" w:line="320" w:lineRule="exact"/>
              <w:jc w:val="center"/>
              <w:rPr>
                <w:sz w:val="28"/>
                <w:szCs w:val="28"/>
                <w:rtl/>
              </w:rPr>
            </w:pPr>
            <w:r>
              <w:rPr>
                <w:rFonts w:hint="cs"/>
                <w:sz w:val="28"/>
                <w:szCs w:val="28"/>
                <w:rtl/>
              </w:rPr>
              <w:t>744</w:t>
            </w:r>
          </w:p>
        </w:tc>
      </w:tr>
      <w:tr w:rsidR="00443EC1" w:rsidTr="00443EC1">
        <w:tblPrEx>
          <w:tblCellMar>
            <w:top w:w="0" w:type="dxa"/>
            <w:bottom w:w="0" w:type="dxa"/>
          </w:tblCellMar>
        </w:tblPrEx>
        <w:trPr>
          <w:jc w:val="center"/>
        </w:trPr>
        <w:tc>
          <w:tcPr>
            <w:tcW w:w="3661" w:type="dxa"/>
          </w:tcPr>
          <w:p w:rsidR="00443EC1" w:rsidRDefault="00443EC1">
            <w:pPr>
              <w:spacing w:before="0" w:after="0" w:line="320" w:lineRule="exact"/>
              <w:jc w:val="both"/>
              <w:rPr>
                <w:rFonts w:hint="cs"/>
                <w:sz w:val="28"/>
                <w:szCs w:val="28"/>
                <w:rtl/>
              </w:rPr>
            </w:pPr>
            <w:r>
              <w:rPr>
                <w:rFonts w:hint="cs"/>
                <w:sz w:val="28"/>
                <w:szCs w:val="28"/>
                <w:rtl/>
              </w:rPr>
              <w:t>الأخصائيون في الخدمة الأسرية وحماية الطفل</w:t>
            </w:r>
          </w:p>
        </w:tc>
        <w:tc>
          <w:tcPr>
            <w:tcW w:w="2977" w:type="dxa"/>
          </w:tcPr>
          <w:p w:rsidR="00443EC1" w:rsidRDefault="00443EC1">
            <w:pPr>
              <w:spacing w:before="0" w:after="0" w:line="320" w:lineRule="exact"/>
              <w:jc w:val="center"/>
              <w:rPr>
                <w:rFonts w:hint="cs"/>
                <w:sz w:val="28"/>
                <w:szCs w:val="28"/>
                <w:rtl/>
              </w:rPr>
            </w:pPr>
            <w:r>
              <w:rPr>
                <w:rFonts w:hint="cs"/>
                <w:sz w:val="28"/>
                <w:szCs w:val="28"/>
                <w:rtl/>
              </w:rPr>
              <w:t>29</w:t>
            </w:r>
          </w:p>
        </w:tc>
        <w:tc>
          <w:tcPr>
            <w:tcW w:w="2722" w:type="dxa"/>
          </w:tcPr>
          <w:p w:rsidR="00443EC1" w:rsidRDefault="00443EC1">
            <w:pPr>
              <w:spacing w:before="0" w:after="0" w:line="320" w:lineRule="exact"/>
              <w:jc w:val="center"/>
              <w:rPr>
                <w:sz w:val="28"/>
                <w:szCs w:val="28"/>
                <w:rtl/>
              </w:rPr>
            </w:pPr>
            <w:r>
              <w:rPr>
                <w:rFonts w:hint="cs"/>
                <w:sz w:val="28"/>
                <w:szCs w:val="28"/>
                <w:rtl/>
              </w:rPr>
              <w:t>105</w:t>
            </w:r>
          </w:p>
        </w:tc>
      </w:tr>
      <w:tr w:rsidR="00443EC1" w:rsidTr="00443EC1">
        <w:tblPrEx>
          <w:tblCellMar>
            <w:top w:w="0" w:type="dxa"/>
            <w:bottom w:w="0" w:type="dxa"/>
          </w:tblCellMar>
        </w:tblPrEx>
        <w:trPr>
          <w:jc w:val="center"/>
        </w:trPr>
        <w:tc>
          <w:tcPr>
            <w:tcW w:w="3661" w:type="dxa"/>
          </w:tcPr>
          <w:p w:rsidR="00443EC1" w:rsidRDefault="00443EC1">
            <w:pPr>
              <w:spacing w:before="0" w:after="0" w:line="320" w:lineRule="exact"/>
              <w:jc w:val="both"/>
              <w:rPr>
                <w:sz w:val="28"/>
                <w:szCs w:val="28"/>
                <w:rtl/>
              </w:rPr>
            </w:pPr>
            <w:r>
              <w:rPr>
                <w:sz w:val="28"/>
                <w:szCs w:val="28"/>
                <w:rtl/>
              </w:rPr>
              <w:t>الأخصائيون في علم النفس ا</w:t>
            </w:r>
            <w:r>
              <w:rPr>
                <w:rFonts w:hint="cs"/>
                <w:sz w:val="28"/>
                <w:szCs w:val="28"/>
                <w:rtl/>
              </w:rPr>
              <w:t>لإ</w:t>
            </w:r>
            <w:r>
              <w:rPr>
                <w:sz w:val="28"/>
                <w:szCs w:val="28"/>
                <w:rtl/>
              </w:rPr>
              <w:t>كلينيكي</w:t>
            </w:r>
          </w:p>
        </w:tc>
        <w:tc>
          <w:tcPr>
            <w:tcW w:w="2977" w:type="dxa"/>
          </w:tcPr>
          <w:p w:rsidR="00443EC1" w:rsidRDefault="00443EC1">
            <w:pPr>
              <w:spacing w:before="0" w:after="0" w:line="320" w:lineRule="exact"/>
              <w:jc w:val="center"/>
              <w:rPr>
                <w:rFonts w:hint="cs"/>
                <w:sz w:val="28"/>
                <w:szCs w:val="28"/>
                <w:rtl/>
              </w:rPr>
            </w:pPr>
            <w:r>
              <w:rPr>
                <w:rFonts w:hint="cs"/>
                <w:sz w:val="28"/>
                <w:szCs w:val="28"/>
                <w:rtl/>
              </w:rPr>
              <w:t>59</w:t>
            </w:r>
          </w:p>
        </w:tc>
        <w:tc>
          <w:tcPr>
            <w:tcW w:w="2722" w:type="dxa"/>
          </w:tcPr>
          <w:p w:rsidR="00443EC1" w:rsidRDefault="00443EC1">
            <w:pPr>
              <w:spacing w:before="0" w:after="0" w:line="320" w:lineRule="exact"/>
              <w:jc w:val="center"/>
              <w:rPr>
                <w:sz w:val="28"/>
                <w:szCs w:val="28"/>
                <w:rtl/>
              </w:rPr>
            </w:pPr>
            <w:r>
              <w:rPr>
                <w:rFonts w:hint="cs"/>
                <w:sz w:val="28"/>
                <w:szCs w:val="28"/>
                <w:rtl/>
              </w:rPr>
              <w:t>69</w:t>
            </w:r>
          </w:p>
        </w:tc>
      </w:tr>
      <w:tr w:rsidR="00443EC1" w:rsidTr="00443EC1">
        <w:tblPrEx>
          <w:tblCellMar>
            <w:top w:w="0" w:type="dxa"/>
            <w:bottom w:w="0" w:type="dxa"/>
          </w:tblCellMar>
        </w:tblPrEx>
        <w:trPr>
          <w:jc w:val="center"/>
        </w:trPr>
        <w:tc>
          <w:tcPr>
            <w:tcW w:w="3661" w:type="dxa"/>
          </w:tcPr>
          <w:p w:rsidR="00443EC1" w:rsidRDefault="00443EC1">
            <w:pPr>
              <w:spacing w:before="0" w:after="0" w:line="320" w:lineRule="exact"/>
              <w:jc w:val="both"/>
              <w:rPr>
                <w:sz w:val="28"/>
                <w:szCs w:val="28"/>
                <w:rtl/>
              </w:rPr>
            </w:pPr>
            <w:r>
              <w:rPr>
                <w:sz w:val="28"/>
                <w:szCs w:val="28"/>
                <w:rtl/>
              </w:rPr>
              <w:t>العاملون الاجتماعيون في المدارس</w:t>
            </w:r>
          </w:p>
        </w:tc>
        <w:tc>
          <w:tcPr>
            <w:tcW w:w="2977" w:type="dxa"/>
          </w:tcPr>
          <w:p w:rsidR="00443EC1" w:rsidRDefault="00443EC1">
            <w:pPr>
              <w:spacing w:before="0" w:after="0" w:line="320" w:lineRule="exact"/>
              <w:jc w:val="center"/>
              <w:rPr>
                <w:rFonts w:hint="cs"/>
                <w:sz w:val="28"/>
                <w:szCs w:val="28"/>
                <w:rtl/>
              </w:rPr>
            </w:pPr>
            <w:r>
              <w:rPr>
                <w:rFonts w:hint="cs"/>
                <w:sz w:val="28"/>
                <w:szCs w:val="28"/>
                <w:rtl/>
              </w:rPr>
              <w:t>286</w:t>
            </w:r>
          </w:p>
        </w:tc>
        <w:tc>
          <w:tcPr>
            <w:tcW w:w="2722" w:type="dxa"/>
          </w:tcPr>
          <w:p w:rsidR="00443EC1" w:rsidRDefault="00443EC1">
            <w:pPr>
              <w:spacing w:before="0" w:after="0" w:line="320" w:lineRule="exact"/>
              <w:jc w:val="center"/>
              <w:rPr>
                <w:sz w:val="28"/>
                <w:szCs w:val="28"/>
                <w:rtl/>
              </w:rPr>
            </w:pPr>
            <w:r>
              <w:rPr>
                <w:rFonts w:hint="cs"/>
                <w:sz w:val="28"/>
                <w:szCs w:val="28"/>
                <w:rtl/>
              </w:rPr>
              <w:t>466</w:t>
            </w:r>
          </w:p>
        </w:tc>
      </w:tr>
      <w:tr w:rsidR="00443EC1" w:rsidTr="00443EC1">
        <w:tblPrEx>
          <w:tblCellMar>
            <w:top w:w="0" w:type="dxa"/>
            <w:bottom w:w="0" w:type="dxa"/>
          </w:tblCellMar>
        </w:tblPrEx>
        <w:trPr>
          <w:jc w:val="center"/>
        </w:trPr>
        <w:tc>
          <w:tcPr>
            <w:tcW w:w="3661" w:type="dxa"/>
          </w:tcPr>
          <w:p w:rsidR="00443EC1" w:rsidRDefault="00443EC1">
            <w:pPr>
              <w:spacing w:before="0" w:after="0" w:line="320" w:lineRule="exact"/>
              <w:jc w:val="both"/>
              <w:rPr>
                <w:sz w:val="28"/>
                <w:szCs w:val="28"/>
                <w:rtl/>
              </w:rPr>
            </w:pPr>
            <w:r>
              <w:rPr>
                <w:sz w:val="28"/>
                <w:szCs w:val="28"/>
                <w:rtl/>
              </w:rPr>
              <w:t>العاملون الاجتماعيون الطبيون</w:t>
            </w:r>
          </w:p>
        </w:tc>
        <w:tc>
          <w:tcPr>
            <w:tcW w:w="2977" w:type="dxa"/>
          </w:tcPr>
          <w:p w:rsidR="00443EC1" w:rsidRDefault="00443EC1">
            <w:pPr>
              <w:spacing w:before="0" w:after="0" w:line="320" w:lineRule="exact"/>
              <w:jc w:val="center"/>
              <w:rPr>
                <w:rFonts w:hint="cs"/>
                <w:sz w:val="28"/>
                <w:szCs w:val="28"/>
                <w:rtl/>
              </w:rPr>
            </w:pPr>
            <w:r>
              <w:rPr>
                <w:rFonts w:hint="cs"/>
                <w:sz w:val="28"/>
                <w:szCs w:val="28"/>
                <w:rtl/>
              </w:rPr>
              <w:t>372</w:t>
            </w:r>
          </w:p>
        </w:tc>
        <w:tc>
          <w:tcPr>
            <w:tcW w:w="2722" w:type="dxa"/>
          </w:tcPr>
          <w:p w:rsidR="00443EC1" w:rsidRDefault="00443EC1">
            <w:pPr>
              <w:spacing w:before="0" w:after="0" w:line="320" w:lineRule="exact"/>
              <w:jc w:val="center"/>
              <w:rPr>
                <w:sz w:val="28"/>
                <w:szCs w:val="28"/>
                <w:rtl/>
              </w:rPr>
            </w:pPr>
            <w:r>
              <w:rPr>
                <w:rFonts w:hint="cs"/>
                <w:sz w:val="28"/>
                <w:szCs w:val="28"/>
                <w:rtl/>
              </w:rPr>
              <w:t>361</w:t>
            </w:r>
          </w:p>
        </w:tc>
      </w:tr>
      <w:tr w:rsidR="00443EC1" w:rsidTr="00443EC1">
        <w:tblPrEx>
          <w:tblCellMar>
            <w:top w:w="0" w:type="dxa"/>
            <w:bottom w:w="0" w:type="dxa"/>
          </w:tblCellMar>
        </w:tblPrEx>
        <w:trPr>
          <w:jc w:val="center"/>
        </w:trPr>
        <w:tc>
          <w:tcPr>
            <w:tcW w:w="3661" w:type="dxa"/>
          </w:tcPr>
          <w:p w:rsidR="00443EC1" w:rsidRDefault="00443EC1">
            <w:pPr>
              <w:spacing w:before="0" w:after="0" w:line="320" w:lineRule="exact"/>
              <w:jc w:val="both"/>
              <w:rPr>
                <w:sz w:val="28"/>
                <w:szCs w:val="28"/>
                <w:rtl/>
              </w:rPr>
            </w:pPr>
            <w:r>
              <w:rPr>
                <w:sz w:val="28"/>
                <w:szCs w:val="28"/>
                <w:rtl/>
              </w:rPr>
              <w:t>أماكن الكفالة</w:t>
            </w:r>
          </w:p>
        </w:tc>
        <w:tc>
          <w:tcPr>
            <w:tcW w:w="2977" w:type="dxa"/>
          </w:tcPr>
          <w:p w:rsidR="00443EC1" w:rsidRDefault="00443EC1">
            <w:pPr>
              <w:spacing w:before="0" w:after="0" w:line="320" w:lineRule="exact"/>
              <w:jc w:val="center"/>
              <w:rPr>
                <w:rFonts w:hint="cs"/>
                <w:sz w:val="28"/>
                <w:szCs w:val="28"/>
                <w:rtl/>
              </w:rPr>
            </w:pPr>
            <w:r>
              <w:rPr>
                <w:rFonts w:hint="cs"/>
                <w:sz w:val="28"/>
                <w:szCs w:val="28"/>
                <w:rtl/>
              </w:rPr>
              <w:t>600</w:t>
            </w:r>
          </w:p>
        </w:tc>
        <w:tc>
          <w:tcPr>
            <w:tcW w:w="2722" w:type="dxa"/>
          </w:tcPr>
          <w:p w:rsidR="00443EC1" w:rsidRDefault="00443EC1">
            <w:pPr>
              <w:spacing w:before="0" w:after="0" w:line="320" w:lineRule="exact"/>
              <w:jc w:val="center"/>
              <w:rPr>
                <w:sz w:val="28"/>
                <w:szCs w:val="28"/>
                <w:rtl/>
              </w:rPr>
            </w:pPr>
            <w:r>
              <w:rPr>
                <w:rFonts w:hint="cs"/>
                <w:sz w:val="28"/>
                <w:szCs w:val="28"/>
                <w:rtl/>
              </w:rPr>
              <w:t>670</w:t>
            </w:r>
          </w:p>
        </w:tc>
      </w:tr>
      <w:tr w:rsidR="00443EC1" w:rsidTr="00443EC1">
        <w:tblPrEx>
          <w:tblCellMar>
            <w:top w:w="0" w:type="dxa"/>
            <w:bottom w:w="0" w:type="dxa"/>
          </w:tblCellMar>
        </w:tblPrEx>
        <w:trPr>
          <w:jc w:val="center"/>
        </w:trPr>
        <w:tc>
          <w:tcPr>
            <w:tcW w:w="3661" w:type="dxa"/>
          </w:tcPr>
          <w:p w:rsidR="00443EC1" w:rsidRDefault="00443EC1">
            <w:pPr>
              <w:spacing w:before="0" w:after="0" w:line="320" w:lineRule="exact"/>
              <w:jc w:val="both"/>
              <w:rPr>
                <w:sz w:val="28"/>
                <w:szCs w:val="28"/>
                <w:rtl/>
              </w:rPr>
            </w:pPr>
            <w:r>
              <w:rPr>
                <w:sz w:val="28"/>
                <w:szCs w:val="28"/>
                <w:rtl/>
              </w:rPr>
              <w:t>منازل المجموعات الصغيرة</w:t>
            </w:r>
          </w:p>
        </w:tc>
        <w:tc>
          <w:tcPr>
            <w:tcW w:w="2977" w:type="dxa"/>
          </w:tcPr>
          <w:p w:rsidR="00443EC1" w:rsidRDefault="00443EC1">
            <w:pPr>
              <w:spacing w:before="0" w:after="0" w:line="320" w:lineRule="exact"/>
              <w:jc w:val="center"/>
              <w:rPr>
                <w:rFonts w:hint="cs"/>
                <w:sz w:val="28"/>
                <w:szCs w:val="28"/>
                <w:rtl/>
              </w:rPr>
            </w:pPr>
            <w:r>
              <w:rPr>
                <w:rFonts w:hint="cs"/>
                <w:sz w:val="28"/>
                <w:szCs w:val="28"/>
                <w:rtl/>
              </w:rPr>
              <w:t>113</w:t>
            </w:r>
          </w:p>
        </w:tc>
        <w:tc>
          <w:tcPr>
            <w:tcW w:w="2722" w:type="dxa"/>
          </w:tcPr>
          <w:p w:rsidR="00443EC1" w:rsidRDefault="00443EC1">
            <w:pPr>
              <w:spacing w:before="0" w:after="0" w:line="320" w:lineRule="exact"/>
              <w:jc w:val="center"/>
              <w:rPr>
                <w:rFonts w:hint="cs"/>
                <w:sz w:val="28"/>
                <w:szCs w:val="28"/>
                <w:rtl/>
              </w:rPr>
            </w:pPr>
            <w:r>
              <w:rPr>
                <w:rFonts w:hint="cs"/>
                <w:sz w:val="28"/>
                <w:szCs w:val="28"/>
                <w:rtl/>
              </w:rPr>
              <w:t>119</w:t>
            </w:r>
          </w:p>
        </w:tc>
      </w:tr>
    </w:tbl>
    <w:p w:rsidR="00000000" w:rsidRDefault="00443EC1">
      <w:pPr>
        <w:spacing w:line="380" w:lineRule="exact"/>
        <w:jc w:val="both"/>
        <w:rPr>
          <w:rFonts w:hint="cs"/>
          <w:rtl/>
        </w:rPr>
      </w:pPr>
      <w:r>
        <w:rPr>
          <w:b/>
          <w:bCs/>
          <w:rtl/>
        </w:rPr>
        <w:t>أطفال الصين القارية الذين يتبناهم مقيمون في هونغ كونغ</w:t>
      </w:r>
      <w:r>
        <w:rPr>
          <w:rFonts w:hint="cs"/>
          <w:rtl/>
        </w:rPr>
        <w:t xml:space="preserve"> </w:t>
      </w:r>
    </w:p>
    <w:p w:rsidR="00000000" w:rsidRDefault="00443EC1">
      <w:pPr>
        <w:spacing w:line="380" w:lineRule="exact"/>
        <w:jc w:val="both"/>
        <w:rPr>
          <w:rFonts w:hint="cs"/>
          <w:rtl/>
        </w:rPr>
      </w:pPr>
      <w:r>
        <w:rPr>
          <w:rFonts w:hint="cs"/>
          <w:rtl/>
        </w:rPr>
        <w:t>505-</w:t>
      </w:r>
      <w:r>
        <w:rPr>
          <w:rFonts w:hint="cs"/>
          <w:rtl/>
        </w:rPr>
        <w:tab/>
        <w:t>قمنا في الفقرات من 220 إل</w:t>
      </w:r>
      <w:r>
        <w:rPr>
          <w:rFonts w:hint="cs"/>
          <w:rtl/>
        </w:rPr>
        <w:t xml:space="preserve">ى 222 من التقرير الأولي بإعلام اللجنة بالاستعراض القضائي الذي كان جاريا بشأن </w:t>
      </w:r>
      <w:r>
        <w:rPr>
          <w:rtl/>
        </w:rPr>
        <w:t>أوامر</w:t>
      </w:r>
      <w:r>
        <w:rPr>
          <w:rFonts w:hint="cs"/>
          <w:rtl/>
        </w:rPr>
        <w:t xml:space="preserve"> وزير الهجرة</w:t>
      </w:r>
      <w:r>
        <w:rPr>
          <w:rtl/>
        </w:rPr>
        <w:t xml:space="preserve"> </w:t>
      </w:r>
      <w:r>
        <w:rPr>
          <w:rFonts w:hint="cs"/>
          <w:rtl/>
        </w:rPr>
        <w:t>القاضية</w:t>
      </w:r>
      <w:r>
        <w:rPr>
          <w:rtl/>
        </w:rPr>
        <w:t xml:space="preserve"> بإرجاع أطفال </w:t>
      </w:r>
      <w:r>
        <w:rPr>
          <w:rFonts w:hint="cs"/>
          <w:rtl/>
        </w:rPr>
        <w:t>تم تبنّيهم في الصين القارية و</w:t>
      </w:r>
      <w:r>
        <w:rPr>
          <w:rtl/>
        </w:rPr>
        <w:t>دخلوا هونغ كونغ وأقاموا فيها بصورة غير قانونية.</w:t>
      </w:r>
      <w:r>
        <w:rPr>
          <w:rFonts w:hint="cs"/>
          <w:rtl/>
        </w:rPr>
        <w:t xml:space="preserve"> وزعم المدعون أن المادة 24 (2) (3) من القانون الأساسي، فضلا عما </w:t>
      </w:r>
      <w:r>
        <w:rPr>
          <w:rFonts w:hint="cs"/>
          <w:rtl/>
        </w:rPr>
        <w:t>تنص عليه من حق المولود الطبيعي في الإقامة، واسعة النطاق بما يكفي لمنح حق الإقامة عن طريق التبني، بصرف النظر عن مكان التبني. وحكمت كل من محكمة الاستئناف ومحكمة الاستئناف النهائي لصالح الحكومة. ورأت محكمة الاستئناف النهائي أن من الواضح أن عبارة "المولود خارج</w:t>
      </w:r>
      <w:r>
        <w:rPr>
          <w:rFonts w:hint="cs"/>
          <w:rtl/>
        </w:rPr>
        <w:t xml:space="preserve"> هونغ كونغ" لا تشير إلا إلى الأطفال الطبيعيين ولا تحتمل التفسير على أنها تشمل الأطفال بالتبني. </w:t>
      </w:r>
    </w:p>
    <w:p w:rsidR="00000000" w:rsidRDefault="00443EC1">
      <w:pPr>
        <w:spacing w:line="380" w:lineRule="exact"/>
        <w:jc w:val="both"/>
        <w:rPr>
          <w:rFonts w:hint="cs"/>
          <w:b/>
          <w:bCs/>
          <w:rtl/>
        </w:rPr>
      </w:pPr>
      <w:r>
        <w:rPr>
          <w:rFonts w:hint="cs"/>
          <w:b/>
          <w:bCs/>
          <w:rtl/>
        </w:rPr>
        <w:t>سن المسؤولية الجنائية</w:t>
      </w:r>
    </w:p>
    <w:p w:rsidR="00000000" w:rsidRDefault="00443EC1">
      <w:pPr>
        <w:spacing w:line="380" w:lineRule="exact"/>
        <w:jc w:val="both"/>
        <w:rPr>
          <w:rFonts w:hint="cs"/>
          <w:rtl/>
        </w:rPr>
      </w:pPr>
      <w:r>
        <w:rPr>
          <w:rFonts w:hint="cs"/>
          <w:rtl/>
        </w:rPr>
        <w:t>506-</w:t>
      </w:r>
      <w:r>
        <w:rPr>
          <w:rFonts w:hint="cs"/>
          <w:rtl/>
        </w:rPr>
        <w:tab/>
        <w:t xml:space="preserve">أعربت اللجنة في الفقرة 24 من ملاحظاتها الختامية عما يساورها من قلق لأن "سن المسؤولية الجنائية محددة عند سن مبكرة هي 7 سنوات". وناشدت </w:t>
      </w:r>
      <w:r>
        <w:rPr>
          <w:rFonts w:hint="cs"/>
          <w:rtl/>
        </w:rPr>
        <w:t xml:space="preserve">اللجنة منطقة هونغ كونغ الإدارية الخاصة في الفقرة 43 أن  </w:t>
      </w:r>
      <w:r>
        <w:rPr>
          <w:rtl/>
        </w:rPr>
        <w:t>"</w:t>
      </w:r>
      <w:r>
        <w:rPr>
          <w:rFonts w:hint="cs"/>
          <w:rtl/>
        </w:rPr>
        <w:t>تعدِّل قوانينها لرفع سن المسؤولية الجنائية بما يكفل حقوق الطفل بمقتضى أحكام المادة 10 من العهد</w:t>
      </w:r>
      <w:r>
        <w:rPr>
          <w:rtl/>
        </w:rPr>
        <w:t>"</w:t>
      </w:r>
      <w:r>
        <w:rPr>
          <w:rFonts w:hint="cs"/>
          <w:rtl/>
        </w:rPr>
        <w:t>.</w:t>
      </w:r>
    </w:p>
    <w:p w:rsidR="00000000" w:rsidRDefault="00443EC1">
      <w:pPr>
        <w:spacing w:line="380" w:lineRule="exact"/>
        <w:jc w:val="both"/>
        <w:rPr>
          <w:rFonts w:hint="cs"/>
          <w:rtl/>
        </w:rPr>
      </w:pPr>
      <w:r>
        <w:rPr>
          <w:rFonts w:hint="cs"/>
          <w:rtl/>
        </w:rPr>
        <w:t>507-</w:t>
      </w:r>
      <w:r>
        <w:rPr>
          <w:rFonts w:hint="cs"/>
          <w:rtl/>
        </w:rPr>
        <w:tab/>
        <w:t>وفي شهر أيار/مايو 2000، صدر تقرير لجنة الإصلاح القانوني المعنون "سن المسؤولية الجنائية في هونغ كو</w:t>
      </w:r>
      <w:r>
        <w:rPr>
          <w:rFonts w:hint="cs"/>
          <w:rtl/>
        </w:rPr>
        <w:t xml:space="preserve">نغ". وأوصت هذه اللجنة بأمور من بينها رفع السن الدنيا للمسؤولية الجنائية في هونغ كونغ من 7 إلى 10 سنوات. وتقبلنا هذه التوصية، وقمنا، لوضعها موضع التنفيذ، بعرض مشروع (تعديل) قانون عام 2001 المتعلق بالجانحين الأحداث على المجلس التشريعي في تشرين الثاني/نوفمبر </w:t>
      </w:r>
      <w:r>
        <w:rPr>
          <w:rFonts w:hint="cs"/>
          <w:rtl/>
        </w:rPr>
        <w:t>2001. وبينما كان هذا التقرير قيد الصياغة، كانت لجنة مشاريع القوانين التابعة للمجلس التشريعي تنظر في مشروع التعديل هذا. وسنحيط اللجنة علما بما يستجد، حسب الاقتضاء، لدى النظر في هذا التقرير.</w:t>
      </w:r>
    </w:p>
    <w:p w:rsidR="00000000" w:rsidRDefault="00443EC1">
      <w:pPr>
        <w:spacing w:line="380" w:lineRule="exact"/>
        <w:jc w:val="both"/>
        <w:rPr>
          <w:rFonts w:hint="cs"/>
          <w:i/>
          <w:iCs/>
          <w:rtl/>
        </w:rPr>
      </w:pPr>
      <w:r>
        <w:rPr>
          <w:rFonts w:hint="cs"/>
          <w:i/>
          <w:iCs/>
          <w:rtl/>
        </w:rPr>
        <w:t>برنامج الرعاية بعد المدرسة</w:t>
      </w:r>
    </w:p>
    <w:p w:rsidR="00000000" w:rsidRDefault="00443EC1">
      <w:pPr>
        <w:spacing w:line="380" w:lineRule="exact"/>
        <w:jc w:val="both"/>
        <w:rPr>
          <w:rFonts w:hint="cs"/>
          <w:rtl/>
        </w:rPr>
      </w:pPr>
      <w:r>
        <w:rPr>
          <w:rFonts w:hint="cs"/>
          <w:rtl/>
        </w:rPr>
        <w:t>508-</w:t>
      </w:r>
      <w:r>
        <w:rPr>
          <w:rFonts w:hint="cs"/>
          <w:rtl/>
        </w:rPr>
        <w:tab/>
        <w:t>تتولى 136 وحدة لخدمات الرعاية بعد ا</w:t>
      </w:r>
      <w:r>
        <w:rPr>
          <w:rFonts w:hint="cs"/>
          <w:rtl/>
        </w:rPr>
        <w:t>لمدرسة، في إطار هذا البرنامج، رعاية الأطفال بين سن 6 و12 عاما الذين لا يستطيع آباؤهم وأمهاتهم رعايتهم خارج أوقات المدرسة. ومنذ شهر أيلول/سبتمبر 2000 قدمنا لمنظمات حكومية إعانة سنوية بمقدار 21 مليون دولار من دولارات هونغ كونغ بغية النهوض بنوعية الخدمات. وحت</w:t>
      </w:r>
      <w:r>
        <w:rPr>
          <w:rFonts w:hint="cs"/>
          <w:rtl/>
        </w:rPr>
        <w:t xml:space="preserve">ى نهاية كانون الأول/ديسمبر 2002، كانت الوحدات تشرف على رعاية ما يزيد على 584 5 طفلا. </w:t>
      </w:r>
    </w:p>
    <w:p w:rsidR="00000000" w:rsidRDefault="00443EC1">
      <w:pPr>
        <w:spacing w:line="380" w:lineRule="exact"/>
        <w:jc w:val="both"/>
        <w:rPr>
          <w:rFonts w:hint="cs"/>
          <w:rtl/>
        </w:rPr>
      </w:pPr>
      <w:r>
        <w:rPr>
          <w:rFonts w:hint="cs"/>
          <w:rtl/>
        </w:rPr>
        <w:t>509-</w:t>
      </w:r>
      <w:r>
        <w:rPr>
          <w:rFonts w:hint="cs"/>
          <w:rtl/>
        </w:rPr>
        <w:tab/>
        <w:t>وتعمل وحدات الخدمات على أساس مدفوع الرسوم وذاتي التمويل لكنها لا تستهدف الربح. وتختلف الرسوم وفقا لتكاليف التشغيل الفعلية المتكبدة عن كل مركز وبحسب الحجم والموقع. وف</w:t>
      </w:r>
      <w:r>
        <w:rPr>
          <w:rFonts w:hint="cs"/>
          <w:rtl/>
        </w:rPr>
        <w:t xml:space="preserve">ي شهر كانون الأول/ديسمبر 2002، كان متوسط الرسوم في حدود 917 دولارا من دولارات هونغ كونغ في الشهر. ويمكن للأسر ذات الاحتياجات الخاصة، بحسب ظروفها، أن تعفى من الرسوم إعفاء كاملا أو أن تستفيد من تخفيض مقدار الرسوم بالنصف. وفي 31 كانون الثاني/ديسمبر 2002، كان </w:t>
      </w:r>
      <w:r>
        <w:rPr>
          <w:rFonts w:hint="cs"/>
          <w:rtl/>
        </w:rPr>
        <w:t>نحو 064 1 طفلا يستفيدون من هذا النظام.</w:t>
      </w:r>
    </w:p>
    <w:p w:rsidR="00000000" w:rsidRDefault="00443EC1">
      <w:pPr>
        <w:spacing w:line="380" w:lineRule="exact"/>
        <w:jc w:val="both"/>
        <w:rPr>
          <w:rFonts w:hint="cs"/>
          <w:i/>
          <w:iCs/>
          <w:rtl/>
        </w:rPr>
      </w:pPr>
      <w:r>
        <w:rPr>
          <w:rFonts w:hint="cs"/>
          <w:i/>
          <w:iCs/>
          <w:rtl/>
        </w:rPr>
        <w:t>العنف المنزلي</w:t>
      </w:r>
    </w:p>
    <w:p w:rsidR="00000000" w:rsidRDefault="00443EC1">
      <w:pPr>
        <w:spacing w:line="380" w:lineRule="exact"/>
        <w:jc w:val="both"/>
        <w:rPr>
          <w:rFonts w:hint="cs"/>
          <w:rtl/>
        </w:rPr>
      </w:pPr>
      <w:r>
        <w:rPr>
          <w:rFonts w:hint="cs"/>
          <w:rtl/>
        </w:rPr>
        <w:t>510-</w:t>
      </w:r>
      <w:r>
        <w:rPr>
          <w:rFonts w:hint="cs"/>
          <w:rtl/>
        </w:rPr>
        <w:tab/>
        <w:t>في الفقرات من 234 إلى 237 من التقرير الأولي، أحطنا اللجنة علما بالتدابير المعتمدة بغية التصدي للعنف المنزلي ونتائجه. وما زلنا نتوخى النهج متعدد التخصصات الذي شرحناه في ذلك التقرير. وفي ما يتعلق باله</w:t>
      </w:r>
      <w:r>
        <w:rPr>
          <w:rFonts w:hint="cs"/>
          <w:rtl/>
        </w:rPr>
        <w:t>يكل، تتولى الآليات المكرسة، بما في ذلك اللجنة المعنية بمسألة الإساءة إلى الأطفال (التي كانت تعرف بالفريق العامل المعني بمسألة الإساءة إلى الأطفال) والفريق العامل المعني بمكافحة العنف (المتكون من دمج الفريق العامل المعني بالأزواج الذين يتعرضون للضرب والفريق</w:t>
      </w:r>
      <w:r>
        <w:rPr>
          <w:rFonts w:hint="cs"/>
          <w:rtl/>
        </w:rPr>
        <w:t xml:space="preserve"> العامل المعني بالعنف الجنسي)، التي ترأسها وزارة الرعاية الاجتماعية وتضم ممثلين للحكومة ومنظمات غير حكومية ومهنيين، كأخصائيي علم النفس الإكلينيكي، مسؤولية وضع الاستراتيجيات والتدابير لمعالجة مشكلة الإساءة إلى الأطفال وضرب الأزواج والعنف الجنسي. وعلاوة على </w:t>
      </w:r>
      <w:r>
        <w:rPr>
          <w:rFonts w:hint="cs"/>
          <w:rtl/>
        </w:rPr>
        <w:t xml:space="preserve">هذه الآليات، تقوم لجان التنسيق المعنية برفاه الأسرة والطفل على مستوى المقاطعات والبالغ عددها 13 لجنة بتنسيق الخدمات المتصلة بالعنف العائلي على مستوى المقاطعة. </w:t>
      </w:r>
    </w:p>
    <w:p w:rsidR="00000000" w:rsidRDefault="00443EC1">
      <w:pPr>
        <w:spacing w:line="380" w:lineRule="exact"/>
        <w:jc w:val="both"/>
        <w:rPr>
          <w:rFonts w:hint="cs"/>
          <w:rtl/>
        </w:rPr>
      </w:pPr>
      <w:r>
        <w:rPr>
          <w:rFonts w:hint="cs"/>
          <w:rtl/>
        </w:rPr>
        <w:t>511-</w:t>
      </w:r>
      <w:r>
        <w:rPr>
          <w:rFonts w:hint="cs"/>
          <w:rtl/>
        </w:rPr>
        <w:tab/>
        <w:t>وتوفر وزارة الرعاية الاجتماعية برامج تدريب متعددة التخصصات لتعزيز الفهم المشترك للعنف الأسر</w:t>
      </w:r>
      <w:r>
        <w:rPr>
          <w:rFonts w:hint="cs"/>
          <w:rtl/>
        </w:rPr>
        <w:t>ي في صفوف المهنيين على اختلاف مجالاتهم. وقد أصدرنا أيضا مبادئ توجيهية بشأن التعامل مع حالات الإساءة إلى الأطفال وضرب الأزواج والعنف الجنسي</w:t>
      </w:r>
      <w:r>
        <w:rPr>
          <w:rFonts w:hint="cs"/>
          <w:vertAlign w:val="superscript"/>
          <w:rtl/>
        </w:rPr>
        <w:t>(29)</w:t>
      </w:r>
      <w:r>
        <w:rPr>
          <w:rFonts w:hint="cs"/>
          <w:rtl/>
        </w:rPr>
        <w:t>، بغية تيسير التعاون بين المهنيين.</w:t>
      </w:r>
    </w:p>
    <w:p w:rsidR="00000000" w:rsidRDefault="00443EC1">
      <w:pPr>
        <w:spacing w:line="380" w:lineRule="exact"/>
        <w:jc w:val="both"/>
        <w:rPr>
          <w:rFonts w:hint="cs"/>
          <w:rtl/>
        </w:rPr>
      </w:pPr>
      <w:r>
        <w:rPr>
          <w:rFonts w:hint="cs"/>
          <w:rtl/>
        </w:rPr>
        <w:t>512-</w:t>
      </w:r>
      <w:r>
        <w:rPr>
          <w:rFonts w:hint="cs"/>
          <w:rtl/>
        </w:rPr>
        <w:tab/>
        <w:t>وفي شهر كانون الثاني/يناير 2003، اعتمدت وزارة الرعاية الاجتماعية والشرطة آ</w:t>
      </w:r>
      <w:r>
        <w:rPr>
          <w:rFonts w:hint="cs"/>
          <w:rtl/>
        </w:rPr>
        <w:t>لية إحالة جديدةً صُممت ل</w:t>
      </w:r>
      <w:r>
        <w:rPr>
          <w:rFonts w:hint="cs"/>
          <w:rtl/>
        </w:rPr>
        <w:t xml:space="preserve">تعجيل التدخل في حالات العنف المنزلي لمصلحة الضحايا وأسرهم. وفي إطار هذا النظام، تحال حوادث العنف المنزلي التي تستوفي شروطا معينة إلى الوزارة، التي تتولى متابعتها دون حاجة إلى موافقة الضحية أو الفاعل المزعوم. </w:t>
      </w:r>
    </w:p>
    <w:p w:rsidR="00000000" w:rsidRDefault="00443EC1">
      <w:pPr>
        <w:spacing w:line="380" w:lineRule="exact"/>
        <w:jc w:val="both"/>
        <w:rPr>
          <w:rFonts w:hint="cs"/>
          <w:i/>
          <w:iCs/>
          <w:rtl/>
        </w:rPr>
      </w:pPr>
      <w:r>
        <w:rPr>
          <w:rFonts w:hint="cs"/>
          <w:i/>
          <w:iCs/>
          <w:rtl/>
        </w:rPr>
        <w:t>السكن المشروط في إطار ن</w:t>
      </w:r>
      <w:r>
        <w:rPr>
          <w:rFonts w:hint="cs"/>
          <w:i/>
          <w:iCs/>
          <w:rtl/>
        </w:rPr>
        <w:t>ظام إعادة الإسكان لدواعي الرأفة</w:t>
      </w:r>
    </w:p>
    <w:p w:rsidR="00000000" w:rsidRDefault="00443EC1">
      <w:pPr>
        <w:spacing w:line="380" w:lineRule="exact"/>
        <w:jc w:val="both"/>
        <w:rPr>
          <w:rFonts w:hint="cs"/>
          <w:rtl/>
        </w:rPr>
      </w:pPr>
      <w:r>
        <w:rPr>
          <w:rFonts w:hint="cs"/>
          <w:rtl/>
        </w:rPr>
        <w:t>513-</w:t>
      </w:r>
      <w:r>
        <w:rPr>
          <w:rFonts w:hint="cs"/>
          <w:rtl/>
        </w:rPr>
        <w:tab/>
        <w:t>اعتمدنا هذا الترتيب في الأصل لمساعدة الأزواج الذين يتعرضون للضرب ويعيلون أطفالا وهم بصدد الطلاق. وتوفر وزارة الإسكان عموما المسكن لهؤلاء الأشخاص بناء على إحالة من وزارة الرعاية الاجتماعية. وفي شهر تشرين الثاني/نوفمبر 20</w:t>
      </w:r>
      <w:r>
        <w:rPr>
          <w:rFonts w:hint="cs"/>
          <w:rtl/>
        </w:rPr>
        <w:t>01، وسعنا نطاق هذا الترتيب ليشمل ضحايا العنف المنزلي أو الطلاق الذين لا أبناء لهم أو الذين لا ي</w:t>
      </w:r>
      <w:r>
        <w:rPr>
          <w:rFonts w:hint="cs"/>
          <w:rtl/>
        </w:rPr>
        <w:t xml:space="preserve">صطحبون معهم أطفالا معالين عند مغادرة بيت الزوجية. </w:t>
      </w:r>
    </w:p>
    <w:p w:rsidR="00000000" w:rsidRDefault="00443EC1">
      <w:pPr>
        <w:spacing w:line="380" w:lineRule="exact"/>
        <w:jc w:val="both"/>
        <w:rPr>
          <w:rFonts w:hint="cs"/>
          <w:i/>
          <w:iCs/>
          <w:rtl/>
        </w:rPr>
      </w:pPr>
      <w:r>
        <w:rPr>
          <w:rFonts w:hint="cs"/>
          <w:i/>
          <w:iCs/>
          <w:rtl/>
        </w:rPr>
        <w:t>الاستراتيجية</w:t>
      </w:r>
    </w:p>
    <w:p w:rsidR="00000000" w:rsidRDefault="00443EC1">
      <w:pPr>
        <w:spacing w:line="380" w:lineRule="exact"/>
        <w:jc w:val="both"/>
        <w:rPr>
          <w:rFonts w:hint="cs"/>
          <w:rtl/>
        </w:rPr>
      </w:pPr>
      <w:r>
        <w:rPr>
          <w:rFonts w:hint="cs"/>
          <w:rtl/>
        </w:rPr>
        <w:t>514-</w:t>
      </w:r>
      <w:r>
        <w:rPr>
          <w:rFonts w:hint="cs"/>
          <w:rtl/>
        </w:rPr>
        <w:tab/>
        <w:t>تتمثل استراتيجيتنا في تقديم مجموعة مسترسلة من خدمات الوقاية والدعم والخدمات المتخصصة في المر</w:t>
      </w:r>
      <w:r>
        <w:rPr>
          <w:rFonts w:hint="cs"/>
          <w:rtl/>
        </w:rPr>
        <w:t>احل الابتدائية والثانوية والثالثة لتوقي المشاكل العائلية ومعالجتها عند ظهورها. وتشمل هذه المشاكل الإساءة إلى الأطفال وضرب الأزواج، باعتبارهما أكثر أشكال العنف المنزلي انتشارا. وتشمل التدابير الخاصة ما يلي:</w:t>
      </w:r>
    </w:p>
    <w:p w:rsidR="00000000" w:rsidRDefault="00443EC1">
      <w:pPr>
        <w:spacing w:line="380" w:lineRule="exact"/>
        <w:ind w:left="1440" w:hanging="720"/>
        <w:jc w:val="both"/>
        <w:rPr>
          <w:rFonts w:hint="cs"/>
          <w:rtl/>
        </w:rPr>
      </w:pPr>
      <w:r>
        <w:rPr>
          <w:rFonts w:hint="cs"/>
          <w:rtl/>
        </w:rPr>
        <w:t>-</w:t>
      </w:r>
      <w:r>
        <w:rPr>
          <w:rtl/>
        </w:rPr>
        <w:tab/>
      </w:r>
      <w:r>
        <w:rPr>
          <w:rFonts w:hint="cs"/>
          <w:b/>
          <w:bCs/>
          <w:rtl/>
        </w:rPr>
        <w:t>خدمات الوقاية</w:t>
      </w:r>
      <w:r>
        <w:rPr>
          <w:rFonts w:hint="cs"/>
          <w:rtl/>
        </w:rPr>
        <w:t xml:space="preserve">: من ذلك التعليم العام وحملة دعاية </w:t>
      </w:r>
      <w:r>
        <w:rPr>
          <w:rFonts w:hint="cs"/>
          <w:rtl/>
        </w:rPr>
        <w:t>وبرامج توعية ترمي إلى تحديد الأسر التي تحتاج إلى مساعدة تحديدا مبكرا؛</w:t>
      </w:r>
    </w:p>
    <w:p w:rsidR="00000000" w:rsidRDefault="00443EC1">
      <w:pPr>
        <w:spacing w:line="380" w:lineRule="exact"/>
        <w:ind w:left="1440" w:hanging="720"/>
        <w:jc w:val="both"/>
        <w:rPr>
          <w:rFonts w:hint="cs"/>
          <w:rtl/>
        </w:rPr>
      </w:pPr>
      <w:r>
        <w:rPr>
          <w:rFonts w:hint="cs"/>
          <w:rtl/>
        </w:rPr>
        <w:t>-</w:t>
      </w:r>
      <w:r>
        <w:rPr>
          <w:rtl/>
        </w:rPr>
        <w:tab/>
      </w:r>
      <w:r>
        <w:rPr>
          <w:rFonts w:hint="cs"/>
          <w:b/>
          <w:bCs/>
          <w:rtl/>
        </w:rPr>
        <w:t>خدمات الدعم الرامية إلى توفير المعلومات/الموارد/الدعم إلى الأسر المحتاجة</w:t>
      </w:r>
      <w:r>
        <w:rPr>
          <w:rFonts w:hint="cs"/>
          <w:rtl/>
        </w:rPr>
        <w:t xml:space="preserve">: من ذلك مراكز الدعم الأسري ومراكز الخدمات الأسرية/المراكز المتكاملة للخدمات الأسرية ورعاية الأطفال في المؤسسات </w:t>
      </w:r>
      <w:r>
        <w:rPr>
          <w:rFonts w:hint="cs"/>
          <w:rtl/>
        </w:rPr>
        <w:t xml:space="preserve">وما إلى ذلك؛ </w:t>
      </w:r>
    </w:p>
    <w:p w:rsidR="00000000" w:rsidRDefault="00443EC1">
      <w:pPr>
        <w:spacing w:line="380" w:lineRule="exact"/>
        <w:ind w:left="1440" w:hanging="720"/>
        <w:jc w:val="both"/>
        <w:rPr>
          <w:rFonts w:hint="cs"/>
          <w:rtl/>
        </w:rPr>
      </w:pPr>
      <w:r>
        <w:rPr>
          <w:rFonts w:hint="cs"/>
          <w:rtl/>
        </w:rPr>
        <w:t>-</w:t>
      </w:r>
      <w:r>
        <w:rPr>
          <w:rtl/>
        </w:rPr>
        <w:tab/>
      </w:r>
      <w:r>
        <w:rPr>
          <w:rFonts w:hint="cs"/>
          <w:b/>
          <w:bCs/>
          <w:rtl/>
        </w:rPr>
        <w:t>الخدمات المتخصصة للتدخل في حالات الأزمات</w:t>
      </w:r>
      <w:r>
        <w:rPr>
          <w:rFonts w:hint="cs"/>
          <w:rtl/>
        </w:rPr>
        <w:t>: من ذلك مراكز إيواء النساء اللاتي يتعرضن إلى الضرب وأطفالهن المعالين، ومركز دعم الأسر في حالات الأزمات، والوحدات المتخصصة (وحدات خدمات حماية الأسرة والطفل) التابعة لوزارة الرعاية الاجتماعية؛</w:t>
      </w:r>
    </w:p>
    <w:p w:rsidR="00000000" w:rsidRDefault="00443EC1">
      <w:pPr>
        <w:spacing w:line="380" w:lineRule="exact"/>
        <w:ind w:left="1440" w:hanging="720"/>
        <w:jc w:val="both"/>
        <w:rPr>
          <w:rFonts w:hint="cs"/>
          <w:rtl/>
        </w:rPr>
      </w:pPr>
      <w:r>
        <w:rPr>
          <w:rFonts w:hint="cs"/>
          <w:rtl/>
        </w:rPr>
        <w:t>-</w:t>
      </w:r>
      <w:r>
        <w:rPr>
          <w:rtl/>
        </w:rPr>
        <w:tab/>
      </w:r>
      <w:r>
        <w:rPr>
          <w:rFonts w:hint="cs"/>
          <w:b/>
          <w:bCs/>
          <w:rtl/>
        </w:rPr>
        <w:t>التشري</w:t>
      </w:r>
      <w:r>
        <w:rPr>
          <w:rFonts w:hint="cs"/>
          <w:b/>
          <w:bCs/>
          <w:rtl/>
        </w:rPr>
        <w:t>ع</w:t>
      </w:r>
      <w:r>
        <w:rPr>
          <w:rFonts w:hint="cs"/>
          <w:rtl/>
        </w:rPr>
        <w:t>: وهو معتمد لحماية الأطفال من الإساءة ومعالجة المخالفات عند حدوثها. ويخضع القانون لاستعراض منتظم كما يجري تحديثه عند الاقتضاء.</w:t>
      </w:r>
    </w:p>
    <w:p w:rsidR="00000000" w:rsidRDefault="00443EC1">
      <w:pPr>
        <w:spacing w:line="380" w:lineRule="exact"/>
        <w:jc w:val="both"/>
        <w:rPr>
          <w:rFonts w:hint="cs"/>
          <w:i/>
          <w:iCs/>
          <w:rtl/>
        </w:rPr>
      </w:pPr>
    </w:p>
    <w:p w:rsidR="00000000" w:rsidRDefault="00443EC1">
      <w:pPr>
        <w:spacing w:line="380" w:lineRule="exact"/>
        <w:jc w:val="both"/>
        <w:rPr>
          <w:rFonts w:hint="cs"/>
          <w:i/>
          <w:iCs/>
          <w:rtl/>
        </w:rPr>
      </w:pPr>
      <w:r>
        <w:rPr>
          <w:rFonts w:hint="cs"/>
          <w:i/>
          <w:iCs/>
          <w:rtl/>
        </w:rPr>
        <w:t>الإساءة إلى الأطفال باعتبارها جريمة: الإطار القانوني</w:t>
      </w:r>
    </w:p>
    <w:p w:rsidR="00000000" w:rsidRDefault="00443EC1">
      <w:pPr>
        <w:spacing w:line="380" w:lineRule="exact"/>
        <w:jc w:val="both"/>
        <w:rPr>
          <w:rFonts w:hint="cs"/>
          <w:rtl/>
        </w:rPr>
      </w:pPr>
      <w:r>
        <w:rPr>
          <w:rFonts w:hint="cs"/>
          <w:rtl/>
        </w:rPr>
        <w:t>515-</w:t>
      </w:r>
      <w:r>
        <w:rPr>
          <w:rFonts w:hint="cs"/>
          <w:rtl/>
        </w:rPr>
        <w:tab/>
        <w:t>يبقى الوضع عموما كما تقدم شرحه في الفقرتين 259 و260 من التقرير الأولي</w:t>
      </w:r>
      <w:r>
        <w:rPr>
          <w:rFonts w:hint="cs"/>
          <w:rtl/>
        </w:rPr>
        <w:t>. وفي ما يلي موجز للحالات المسجلة خلال الأعوام الخمسة الماضية: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42"/>
        <w:gridCol w:w="1440"/>
        <w:gridCol w:w="1440"/>
        <w:gridCol w:w="1440"/>
        <w:gridCol w:w="1440"/>
        <w:gridCol w:w="1368"/>
      </w:tblGrid>
      <w:tr w:rsidR="00443EC1" w:rsidTr="00443EC1">
        <w:tblPrEx>
          <w:tblCellMar>
            <w:top w:w="0" w:type="dxa"/>
            <w:bottom w:w="0" w:type="dxa"/>
          </w:tblCellMar>
        </w:tblPrEx>
        <w:trPr>
          <w:jc w:val="center"/>
        </w:trPr>
        <w:tc>
          <w:tcPr>
            <w:tcW w:w="2442" w:type="dxa"/>
          </w:tcPr>
          <w:p w:rsidR="00443EC1" w:rsidRDefault="00443EC1">
            <w:pPr>
              <w:spacing w:before="0" w:after="0" w:line="320" w:lineRule="exact"/>
              <w:jc w:val="both"/>
              <w:rPr>
                <w:sz w:val="28"/>
                <w:szCs w:val="28"/>
              </w:rPr>
            </w:pPr>
          </w:p>
        </w:tc>
        <w:tc>
          <w:tcPr>
            <w:tcW w:w="1440" w:type="dxa"/>
          </w:tcPr>
          <w:p w:rsidR="00443EC1" w:rsidRDefault="00443EC1">
            <w:pPr>
              <w:spacing w:before="0" w:after="0" w:line="320" w:lineRule="exact"/>
              <w:jc w:val="center"/>
              <w:rPr>
                <w:rFonts w:hint="cs"/>
                <w:sz w:val="28"/>
                <w:szCs w:val="28"/>
              </w:rPr>
            </w:pPr>
            <w:r>
              <w:rPr>
                <w:rFonts w:hint="cs"/>
                <w:sz w:val="28"/>
                <w:szCs w:val="28"/>
                <w:rtl/>
              </w:rPr>
              <w:t>1998</w:t>
            </w:r>
          </w:p>
        </w:tc>
        <w:tc>
          <w:tcPr>
            <w:tcW w:w="1440" w:type="dxa"/>
          </w:tcPr>
          <w:p w:rsidR="00443EC1" w:rsidRDefault="00443EC1">
            <w:pPr>
              <w:spacing w:before="0" w:after="0" w:line="320" w:lineRule="exact"/>
              <w:jc w:val="center"/>
              <w:rPr>
                <w:rFonts w:hint="cs"/>
                <w:sz w:val="28"/>
                <w:szCs w:val="28"/>
              </w:rPr>
            </w:pPr>
            <w:r>
              <w:rPr>
                <w:rFonts w:hint="cs"/>
                <w:sz w:val="28"/>
                <w:szCs w:val="28"/>
                <w:rtl/>
              </w:rPr>
              <w:t>1999</w:t>
            </w:r>
          </w:p>
        </w:tc>
        <w:tc>
          <w:tcPr>
            <w:tcW w:w="1440" w:type="dxa"/>
          </w:tcPr>
          <w:p w:rsidR="00443EC1" w:rsidRDefault="00443EC1">
            <w:pPr>
              <w:spacing w:before="0" w:after="0" w:line="320" w:lineRule="exact"/>
              <w:jc w:val="center"/>
              <w:rPr>
                <w:rFonts w:hint="cs"/>
                <w:sz w:val="28"/>
                <w:szCs w:val="28"/>
              </w:rPr>
            </w:pPr>
            <w:r>
              <w:rPr>
                <w:rFonts w:hint="cs"/>
                <w:sz w:val="28"/>
                <w:szCs w:val="28"/>
                <w:rtl/>
              </w:rPr>
              <w:t>2000</w:t>
            </w:r>
          </w:p>
        </w:tc>
        <w:tc>
          <w:tcPr>
            <w:tcW w:w="1440" w:type="dxa"/>
          </w:tcPr>
          <w:p w:rsidR="00443EC1" w:rsidRDefault="00443EC1">
            <w:pPr>
              <w:spacing w:before="0" w:after="0" w:line="320" w:lineRule="exact"/>
              <w:jc w:val="center"/>
              <w:rPr>
                <w:rFonts w:hint="cs"/>
                <w:sz w:val="28"/>
                <w:szCs w:val="28"/>
              </w:rPr>
            </w:pPr>
            <w:r>
              <w:rPr>
                <w:rFonts w:hint="cs"/>
                <w:sz w:val="28"/>
                <w:szCs w:val="28"/>
                <w:rtl/>
              </w:rPr>
              <w:t>2001</w:t>
            </w:r>
          </w:p>
        </w:tc>
        <w:tc>
          <w:tcPr>
            <w:tcW w:w="1368" w:type="dxa"/>
          </w:tcPr>
          <w:p w:rsidR="00443EC1" w:rsidRDefault="00443EC1">
            <w:pPr>
              <w:spacing w:before="0" w:after="0" w:line="320" w:lineRule="exact"/>
              <w:jc w:val="center"/>
              <w:rPr>
                <w:rFonts w:hint="cs"/>
                <w:sz w:val="28"/>
                <w:szCs w:val="28"/>
              </w:rPr>
            </w:pPr>
            <w:r>
              <w:rPr>
                <w:rFonts w:hint="cs"/>
                <w:sz w:val="28"/>
                <w:szCs w:val="28"/>
                <w:rtl/>
              </w:rPr>
              <w:t>2002</w:t>
            </w:r>
          </w:p>
        </w:tc>
      </w:tr>
      <w:tr w:rsidR="00443EC1" w:rsidTr="00443EC1">
        <w:tblPrEx>
          <w:tblCellMar>
            <w:top w:w="0" w:type="dxa"/>
            <w:bottom w:w="0" w:type="dxa"/>
          </w:tblCellMar>
        </w:tblPrEx>
        <w:trPr>
          <w:jc w:val="center"/>
        </w:trPr>
        <w:tc>
          <w:tcPr>
            <w:tcW w:w="2442" w:type="dxa"/>
          </w:tcPr>
          <w:p w:rsidR="00443EC1" w:rsidRDefault="00443EC1">
            <w:pPr>
              <w:spacing w:before="0" w:after="0" w:line="320" w:lineRule="exact"/>
              <w:jc w:val="both"/>
              <w:rPr>
                <w:rFonts w:hint="cs"/>
                <w:sz w:val="28"/>
                <w:szCs w:val="28"/>
              </w:rPr>
            </w:pPr>
            <w:r>
              <w:rPr>
                <w:rFonts w:hint="cs"/>
                <w:sz w:val="28"/>
                <w:szCs w:val="28"/>
                <w:rtl/>
              </w:rPr>
              <w:t>عدد حالات الاعتداء الجنسي على الأطفال* التي أبلغت بها الشرطة</w:t>
            </w:r>
          </w:p>
        </w:tc>
        <w:tc>
          <w:tcPr>
            <w:tcW w:w="1440" w:type="dxa"/>
          </w:tcPr>
          <w:p w:rsidR="00443EC1" w:rsidRDefault="00443EC1">
            <w:pPr>
              <w:spacing w:before="0" w:after="0" w:line="320" w:lineRule="exact"/>
              <w:jc w:val="center"/>
              <w:rPr>
                <w:rFonts w:hint="cs"/>
                <w:sz w:val="28"/>
                <w:szCs w:val="28"/>
                <w:rtl/>
              </w:rPr>
            </w:pPr>
            <w:r>
              <w:rPr>
                <w:rFonts w:hint="cs"/>
                <w:sz w:val="28"/>
                <w:szCs w:val="28"/>
                <w:rtl/>
              </w:rPr>
              <w:t>757</w:t>
            </w:r>
          </w:p>
        </w:tc>
        <w:tc>
          <w:tcPr>
            <w:tcW w:w="1440" w:type="dxa"/>
          </w:tcPr>
          <w:p w:rsidR="00443EC1" w:rsidRDefault="00443EC1">
            <w:pPr>
              <w:spacing w:before="0" w:after="0" w:line="320" w:lineRule="exact"/>
              <w:jc w:val="center"/>
              <w:rPr>
                <w:rFonts w:hint="cs"/>
                <w:sz w:val="28"/>
                <w:szCs w:val="28"/>
                <w:rtl/>
              </w:rPr>
            </w:pPr>
            <w:r>
              <w:rPr>
                <w:rFonts w:hint="cs"/>
                <w:sz w:val="28"/>
                <w:szCs w:val="28"/>
                <w:rtl/>
              </w:rPr>
              <w:t>696</w:t>
            </w:r>
          </w:p>
        </w:tc>
        <w:tc>
          <w:tcPr>
            <w:tcW w:w="1440" w:type="dxa"/>
          </w:tcPr>
          <w:p w:rsidR="00443EC1" w:rsidRDefault="00443EC1">
            <w:pPr>
              <w:spacing w:before="0" w:after="0" w:line="320" w:lineRule="exact"/>
              <w:jc w:val="center"/>
              <w:rPr>
                <w:rFonts w:hint="cs"/>
                <w:sz w:val="28"/>
                <w:szCs w:val="28"/>
                <w:rtl/>
              </w:rPr>
            </w:pPr>
            <w:r>
              <w:rPr>
                <w:rFonts w:hint="cs"/>
                <w:sz w:val="28"/>
                <w:szCs w:val="28"/>
                <w:rtl/>
              </w:rPr>
              <w:t>664</w:t>
            </w:r>
          </w:p>
        </w:tc>
        <w:tc>
          <w:tcPr>
            <w:tcW w:w="1440" w:type="dxa"/>
          </w:tcPr>
          <w:p w:rsidR="00443EC1" w:rsidRDefault="00443EC1">
            <w:pPr>
              <w:spacing w:before="0" w:after="0" w:line="320" w:lineRule="exact"/>
              <w:jc w:val="center"/>
              <w:rPr>
                <w:rFonts w:hint="cs"/>
                <w:sz w:val="28"/>
                <w:szCs w:val="28"/>
                <w:rtl/>
              </w:rPr>
            </w:pPr>
            <w:r>
              <w:rPr>
                <w:rFonts w:hint="cs"/>
                <w:sz w:val="28"/>
                <w:szCs w:val="28"/>
                <w:rtl/>
              </w:rPr>
              <w:t>576</w:t>
            </w:r>
          </w:p>
        </w:tc>
        <w:tc>
          <w:tcPr>
            <w:tcW w:w="1368" w:type="dxa"/>
          </w:tcPr>
          <w:p w:rsidR="00443EC1" w:rsidRDefault="00443EC1">
            <w:pPr>
              <w:spacing w:before="0" w:after="0" w:line="320" w:lineRule="exact"/>
              <w:jc w:val="center"/>
              <w:rPr>
                <w:rFonts w:hint="cs"/>
                <w:sz w:val="28"/>
                <w:szCs w:val="28"/>
              </w:rPr>
            </w:pPr>
            <w:r>
              <w:rPr>
                <w:rFonts w:hint="cs"/>
                <w:sz w:val="28"/>
                <w:szCs w:val="28"/>
                <w:rtl/>
              </w:rPr>
              <w:t>599</w:t>
            </w:r>
          </w:p>
        </w:tc>
      </w:tr>
      <w:tr w:rsidR="00443EC1" w:rsidTr="00443EC1">
        <w:tblPrEx>
          <w:tblCellMar>
            <w:top w:w="0" w:type="dxa"/>
            <w:bottom w:w="0" w:type="dxa"/>
          </w:tblCellMar>
        </w:tblPrEx>
        <w:trPr>
          <w:jc w:val="center"/>
        </w:trPr>
        <w:tc>
          <w:tcPr>
            <w:tcW w:w="2442" w:type="dxa"/>
          </w:tcPr>
          <w:p w:rsidR="00443EC1" w:rsidRDefault="00443EC1">
            <w:pPr>
              <w:spacing w:before="0" w:after="0" w:line="320" w:lineRule="exact"/>
              <w:jc w:val="both"/>
              <w:rPr>
                <w:rFonts w:hint="cs"/>
                <w:sz w:val="28"/>
                <w:szCs w:val="28"/>
              </w:rPr>
            </w:pPr>
            <w:r>
              <w:rPr>
                <w:rFonts w:hint="cs"/>
                <w:sz w:val="28"/>
                <w:szCs w:val="28"/>
                <w:rtl/>
              </w:rPr>
              <w:t>عدد حالات الاعتداء الجسدي على الأطفال** التي أبلغت بها الشرطة</w:t>
            </w:r>
          </w:p>
        </w:tc>
        <w:tc>
          <w:tcPr>
            <w:tcW w:w="1440" w:type="dxa"/>
          </w:tcPr>
          <w:p w:rsidR="00443EC1" w:rsidRDefault="00443EC1">
            <w:pPr>
              <w:spacing w:before="0" w:after="0" w:line="320" w:lineRule="exact"/>
              <w:jc w:val="center"/>
              <w:rPr>
                <w:rFonts w:hint="cs"/>
                <w:sz w:val="28"/>
                <w:szCs w:val="28"/>
                <w:rtl/>
              </w:rPr>
            </w:pPr>
            <w:r>
              <w:rPr>
                <w:rFonts w:hint="cs"/>
                <w:sz w:val="28"/>
                <w:szCs w:val="28"/>
                <w:rtl/>
              </w:rPr>
              <w:t>389</w:t>
            </w:r>
          </w:p>
        </w:tc>
        <w:tc>
          <w:tcPr>
            <w:tcW w:w="1440" w:type="dxa"/>
          </w:tcPr>
          <w:p w:rsidR="00443EC1" w:rsidRDefault="00443EC1">
            <w:pPr>
              <w:spacing w:before="0" w:after="0" w:line="320" w:lineRule="exact"/>
              <w:jc w:val="center"/>
              <w:rPr>
                <w:rFonts w:hint="cs"/>
                <w:sz w:val="28"/>
                <w:szCs w:val="28"/>
                <w:rtl/>
              </w:rPr>
            </w:pPr>
            <w:r>
              <w:rPr>
                <w:rFonts w:hint="cs"/>
                <w:sz w:val="28"/>
                <w:szCs w:val="28"/>
                <w:rtl/>
              </w:rPr>
              <w:t>473</w:t>
            </w:r>
          </w:p>
        </w:tc>
        <w:tc>
          <w:tcPr>
            <w:tcW w:w="1440" w:type="dxa"/>
          </w:tcPr>
          <w:p w:rsidR="00443EC1" w:rsidRDefault="00443EC1">
            <w:pPr>
              <w:spacing w:before="0" w:after="0" w:line="320" w:lineRule="exact"/>
              <w:jc w:val="center"/>
              <w:rPr>
                <w:rFonts w:hint="cs"/>
                <w:sz w:val="28"/>
                <w:szCs w:val="28"/>
                <w:rtl/>
              </w:rPr>
            </w:pPr>
            <w:r>
              <w:rPr>
                <w:rFonts w:hint="cs"/>
                <w:sz w:val="28"/>
                <w:szCs w:val="28"/>
                <w:rtl/>
              </w:rPr>
              <w:t>507</w:t>
            </w:r>
          </w:p>
        </w:tc>
        <w:tc>
          <w:tcPr>
            <w:tcW w:w="1440" w:type="dxa"/>
          </w:tcPr>
          <w:p w:rsidR="00443EC1" w:rsidRDefault="00443EC1">
            <w:pPr>
              <w:spacing w:before="0" w:after="0" w:line="320" w:lineRule="exact"/>
              <w:jc w:val="center"/>
              <w:rPr>
                <w:rFonts w:hint="cs"/>
                <w:sz w:val="28"/>
                <w:szCs w:val="28"/>
                <w:rtl/>
              </w:rPr>
            </w:pPr>
            <w:r>
              <w:rPr>
                <w:rFonts w:hint="cs"/>
                <w:sz w:val="28"/>
                <w:szCs w:val="28"/>
                <w:rtl/>
              </w:rPr>
              <w:t>502</w:t>
            </w:r>
          </w:p>
        </w:tc>
        <w:tc>
          <w:tcPr>
            <w:tcW w:w="1368" w:type="dxa"/>
          </w:tcPr>
          <w:p w:rsidR="00443EC1" w:rsidRDefault="00443EC1">
            <w:pPr>
              <w:spacing w:before="0" w:after="0" w:line="320" w:lineRule="exact"/>
              <w:jc w:val="center"/>
              <w:rPr>
                <w:rFonts w:hint="cs"/>
                <w:sz w:val="28"/>
                <w:szCs w:val="28"/>
              </w:rPr>
            </w:pPr>
            <w:r>
              <w:rPr>
                <w:rFonts w:hint="cs"/>
                <w:sz w:val="28"/>
                <w:szCs w:val="28"/>
                <w:rtl/>
              </w:rPr>
              <w:t>445</w:t>
            </w:r>
          </w:p>
        </w:tc>
      </w:tr>
    </w:tbl>
    <w:p w:rsidR="00000000" w:rsidRDefault="00443EC1">
      <w:pPr>
        <w:spacing w:line="380" w:lineRule="exact"/>
        <w:jc w:val="both"/>
        <w:rPr>
          <w:rFonts w:hint="cs"/>
          <w:rtl/>
        </w:rPr>
      </w:pPr>
      <w:r>
        <w:rPr>
          <w:rFonts w:hint="cs"/>
          <w:rtl/>
        </w:rPr>
        <w:tab/>
      </w:r>
      <w:r>
        <w:rPr>
          <w:rFonts w:hint="cs"/>
          <w:rtl/>
        </w:rPr>
        <w:t>*</w:t>
      </w:r>
      <w:r>
        <w:rPr>
          <w:rFonts w:hint="cs"/>
          <w:rtl/>
        </w:rPr>
        <w:tab/>
        <w:t xml:space="preserve">يقصد ب‍ "الاعتداء الجنسي على الأطفال" الجرائم الجنسية المرتكبة في حق ضحايا دون سن 17 عاما. </w:t>
      </w:r>
    </w:p>
    <w:p w:rsidR="00000000" w:rsidRDefault="00443EC1">
      <w:pPr>
        <w:spacing w:line="380" w:lineRule="exact"/>
        <w:jc w:val="both"/>
        <w:rPr>
          <w:rFonts w:hint="cs"/>
          <w:rtl/>
        </w:rPr>
      </w:pPr>
      <w:r>
        <w:rPr>
          <w:rFonts w:hint="cs"/>
          <w:rtl/>
        </w:rPr>
        <w:tab/>
        <w:t>**</w:t>
      </w:r>
      <w:r>
        <w:rPr>
          <w:rFonts w:hint="cs"/>
          <w:rtl/>
        </w:rPr>
        <w:tab/>
        <w:t xml:space="preserve">يقصد ب‍ "الاعتداء الجسدي على الأطفال" المخالفات المرتكبة في حق أشخاص دون سن 14 عاما. </w:t>
      </w:r>
    </w:p>
    <w:p w:rsidR="00000000" w:rsidRDefault="00443EC1">
      <w:pPr>
        <w:spacing w:line="380" w:lineRule="exact"/>
        <w:jc w:val="both"/>
        <w:rPr>
          <w:rFonts w:hint="cs"/>
          <w:b/>
          <w:bCs/>
          <w:rtl/>
        </w:rPr>
      </w:pPr>
      <w:r>
        <w:rPr>
          <w:rFonts w:hint="cs"/>
          <w:b/>
          <w:bCs/>
          <w:rtl/>
        </w:rPr>
        <w:t>حماية الأمومة</w:t>
      </w:r>
    </w:p>
    <w:p w:rsidR="00000000" w:rsidRDefault="00443EC1">
      <w:pPr>
        <w:spacing w:line="380" w:lineRule="exact"/>
        <w:jc w:val="both"/>
        <w:rPr>
          <w:rFonts w:hint="cs"/>
          <w:rtl/>
          <w:lang w:bidi="ar-MA"/>
        </w:rPr>
      </w:pPr>
      <w:r>
        <w:rPr>
          <w:rFonts w:hint="cs"/>
          <w:rtl/>
        </w:rPr>
        <w:t>516-</w:t>
      </w:r>
      <w:r>
        <w:rPr>
          <w:rFonts w:hint="cs"/>
          <w:rtl/>
        </w:rPr>
        <w:tab/>
      </w:r>
      <w:r>
        <w:rPr>
          <w:rFonts w:hint="cs"/>
          <w:rtl/>
          <w:lang w:bidi="ar-MA"/>
        </w:rPr>
        <w:t xml:space="preserve">يبقى الوضع عموما كما تقدم شرحه في الفقرات من 239 إلى </w:t>
      </w:r>
      <w:r>
        <w:rPr>
          <w:rFonts w:hint="cs"/>
          <w:rtl/>
          <w:lang w:bidi="ar-MA"/>
        </w:rPr>
        <w:t>247 من التقرير الأولي.</w:t>
      </w:r>
    </w:p>
    <w:p w:rsidR="00000000" w:rsidRDefault="00443EC1">
      <w:pPr>
        <w:spacing w:line="380" w:lineRule="exact"/>
        <w:jc w:val="both"/>
        <w:rPr>
          <w:rFonts w:hint="cs"/>
          <w:b/>
          <w:bCs/>
          <w:rtl/>
          <w:lang w:bidi="ar-MA"/>
        </w:rPr>
      </w:pPr>
      <w:r>
        <w:rPr>
          <w:rFonts w:hint="cs"/>
          <w:b/>
          <w:bCs/>
          <w:rtl/>
          <w:lang w:bidi="ar-MA"/>
        </w:rPr>
        <w:t>حماية الأطفال والأحداث</w:t>
      </w:r>
    </w:p>
    <w:p w:rsidR="00000000" w:rsidRDefault="00443EC1">
      <w:pPr>
        <w:spacing w:line="380" w:lineRule="exact"/>
        <w:jc w:val="both"/>
        <w:rPr>
          <w:rFonts w:hint="cs"/>
          <w:i/>
          <w:iCs/>
          <w:rtl/>
          <w:lang w:bidi="ar-MA"/>
        </w:rPr>
      </w:pPr>
      <w:r>
        <w:rPr>
          <w:rFonts w:hint="cs"/>
          <w:i/>
          <w:iCs/>
          <w:rtl/>
          <w:lang w:bidi="ar-MA"/>
        </w:rPr>
        <w:t>اتفاقية حقوق الطفل</w:t>
      </w:r>
    </w:p>
    <w:p w:rsidR="00000000" w:rsidRDefault="00443EC1">
      <w:pPr>
        <w:spacing w:line="380" w:lineRule="exact"/>
        <w:jc w:val="both"/>
        <w:rPr>
          <w:rFonts w:hint="cs"/>
          <w:rtl/>
          <w:lang w:bidi="ar-MA"/>
        </w:rPr>
      </w:pPr>
      <w:r>
        <w:rPr>
          <w:rFonts w:hint="cs"/>
          <w:rtl/>
          <w:lang w:bidi="ar-MA"/>
        </w:rPr>
        <w:t>517-</w:t>
      </w:r>
      <w:r>
        <w:rPr>
          <w:rFonts w:hint="cs"/>
          <w:rtl/>
          <w:lang w:bidi="ar-MA"/>
        </w:rPr>
        <w:tab/>
        <w:t>سيقدم التقرير الأولي لمنطقة هونغ كونغ الإدارية الخاصة إلى لجنة حقوق الطفل كجزء من تقرير الصين الدوري الثاني بموجب الاتفاقية.</w:t>
      </w:r>
    </w:p>
    <w:p w:rsidR="00000000" w:rsidRDefault="00443EC1">
      <w:pPr>
        <w:spacing w:line="380" w:lineRule="exact"/>
        <w:jc w:val="both"/>
        <w:rPr>
          <w:rFonts w:hint="cs"/>
          <w:i/>
          <w:iCs/>
          <w:rtl/>
          <w:lang w:bidi="ar-MA"/>
        </w:rPr>
      </w:pPr>
      <w:r>
        <w:rPr>
          <w:rFonts w:hint="cs"/>
          <w:i/>
          <w:iCs/>
          <w:rtl/>
          <w:lang w:bidi="ar-MA"/>
        </w:rPr>
        <w:t>استغلال الأطفال في المواد الإباحية وفي السياحة الجنسية</w:t>
      </w:r>
    </w:p>
    <w:p w:rsidR="00000000" w:rsidRDefault="00443EC1">
      <w:pPr>
        <w:spacing w:line="380" w:lineRule="exact"/>
        <w:jc w:val="both"/>
        <w:rPr>
          <w:rFonts w:hint="cs"/>
          <w:rtl/>
          <w:lang w:bidi="ar-MA"/>
        </w:rPr>
      </w:pPr>
      <w:r>
        <w:rPr>
          <w:rFonts w:hint="cs"/>
          <w:rtl/>
          <w:lang w:bidi="ar-MA"/>
        </w:rPr>
        <w:t>518-</w:t>
      </w:r>
      <w:r>
        <w:rPr>
          <w:rFonts w:hint="cs"/>
          <w:rtl/>
          <w:lang w:bidi="ar-MA"/>
        </w:rPr>
        <w:tab/>
        <w:t>ف</w:t>
      </w:r>
      <w:r>
        <w:rPr>
          <w:rFonts w:hint="cs"/>
          <w:rtl/>
          <w:lang w:bidi="ar-MA"/>
        </w:rPr>
        <w:t>ي شهر كانون الثاني/يناير 2002، قدمنا إلى المجلس التشريعي مشروع قانون منع استغلال الأطفال في المواد الإباحية. ويرمي هذا المشروع إلى تحسين حماية الأطفال من الاستغلال في المواد الإباحية والأداء الإباحي والسياحة الجنسية. وتعكف لجنة مشاريع القوانين التابعة للمج</w:t>
      </w:r>
      <w:r>
        <w:rPr>
          <w:rFonts w:hint="cs"/>
          <w:rtl/>
          <w:lang w:bidi="ar-MA"/>
        </w:rPr>
        <w:t>لس التشريعي حاليا على بحث هذا المشروع. وسيمكن سن هذا القانون، علاوة على بعض التشريعات الثانوية في مجالات أخرى، منطقة هونغ كونغ من الامتثال كلياً إلى البروتوكول الاختياري الملحق باتفاقية حقوق الطفل والمتعلق ببيع الأطفال واستغلالهم في البغاء وفي إنتاج المواد</w:t>
      </w:r>
      <w:r>
        <w:rPr>
          <w:rFonts w:hint="cs"/>
          <w:rtl/>
          <w:lang w:bidi="ar-MA"/>
        </w:rPr>
        <w:t xml:space="preserve"> الإباحية. كما سيكفل ذلك الامتثال لاتفاقية منظمة العمل الدولية رقم 182 المتعلقة بحظر أسوأ أشكال عمل الأطفال والإجراءات الفورية للقضاء عليها.</w:t>
      </w:r>
    </w:p>
    <w:p w:rsidR="00000000" w:rsidRDefault="00443EC1">
      <w:pPr>
        <w:spacing w:line="380" w:lineRule="exact"/>
        <w:jc w:val="both"/>
        <w:rPr>
          <w:rFonts w:hint="cs"/>
          <w:i/>
          <w:iCs/>
          <w:rtl/>
          <w:lang w:bidi="ar-MA"/>
        </w:rPr>
      </w:pPr>
      <w:r>
        <w:rPr>
          <w:rFonts w:hint="cs"/>
          <w:i/>
          <w:iCs/>
          <w:rtl/>
          <w:lang w:bidi="ar-MA"/>
        </w:rPr>
        <w:t>الأمر الخاص بحماية الأطفال والأحداث (المادة 213)</w:t>
      </w:r>
    </w:p>
    <w:p w:rsidR="00000000" w:rsidRDefault="00443EC1">
      <w:pPr>
        <w:spacing w:line="380" w:lineRule="exact"/>
        <w:jc w:val="both"/>
        <w:rPr>
          <w:rFonts w:hint="cs"/>
          <w:rtl/>
          <w:lang w:bidi="ar-MA"/>
        </w:rPr>
      </w:pPr>
      <w:r>
        <w:rPr>
          <w:rFonts w:hint="cs"/>
          <w:rtl/>
          <w:lang w:bidi="ar-MA"/>
        </w:rPr>
        <w:t>519-</w:t>
      </w:r>
      <w:r>
        <w:rPr>
          <w:rFonts w:hint="cs"/>
          <w:rtl/>
          <w:lang w:bidi="ar-MA"/>
        </w:rPr>
        <w:tab/>
        <w:t>في 31 كانون الأول/ديسمبر 2002، كان 533 1 طفلا أو حدثا يتمتعون</w:t>
      </w:r>
      <w:r>
        <w:rPr>
          <w:rFonts w:hint="cs"/>
          <w:rtl/>
          <w:lang w:bidi="ar-MA"/>
        </w:rPr>
        <w:t xml:space="preserve"> بالرعاية أو الحماية القانونية. </w:t>
      </w:r>
    </w:p>
    <w:p w:rsidR="00000000" w:rsidRDefault="00443EC1">
      <w:pPr>
        <w:spacing w:line="380" w:lineRule="exact"/>
        <w:jc w:val="both"/>
        <w:rPr>
          <w:rFonts w:hint="cs"/>
          <w:i/>
          <w:iCs/>
          <w:rtl/>
        </w:rPr>
      </w:pPr>
      <w:r>
        <w:rPr>
          <w:i/>
          <w:iCs/>
          <w:rtl/>
        </w:rPr>
        <w:t>اتفاقية لاهاي الخاصة بالجوانب المدنية لاختطاف الأطفال على الصعيد الدولي</w:t>
      </w:r>
    </w:p>
    <w:p w:rsidR="00000000" w:rsidRDefault="00443EC1">
      <w:pPr>
        <w:spacing w:line="380" w:lineRule="exact"/>
        <w:jc w:val="both"/>
        <w:rPr>
          <w:rFonts w:hint="cs"/>
          <w:rtl/>
          <w:lang w:bidi="ar-MA"/>
        </w:rPr>
      </w:pPr>
      <w:r>
        <w:rPr>
          <w:rFonts w:hint="cs"/>
          <w:rtl/>
        </w:rPr>
        <w:t>520-</w:t>
      </w:r>
      <w:r>
        <w:rPr>
          <w:rFonts w:hint="cs"/>
          <w:rtl/>
        </w:rPr>
        <w:tab/>
      </w:r>
      <w:r>
        <w:rPr>
          <w:rFonts w:hint="cs"/>
          <w:rtl/>
          <w:lang w:bidi="ar-MA"/>
        </w:rPr>
        <w:t>يبقى الوضع عموما كما تقدم شرحه في الفقرة 265 من التقرير الأولي.</w:t>
      </w:r>
    </w:p>
    <w:p w:rsidR="00000000" w:rsidRDefault="00443EC1">
      <w:pPr>
        <w:spacing w:line="380" w:lineRule="exact"/>
        <w:jc w:val="both"/>
        <w:rPr>
          <w:rFonts w:hint="cs"/>
          <w:i/>
          <w:iCs/>
          <w:rtl/>
          <w:lang w:bidi="ar-MA"/>
        </w:rPr>
      </w:pPr>
      <w:r>
        <w:rPr>
          <w:rFonts w:hint="cs"/>
          <w:i/>
          <w:iCs/>
          <w:rtl/>
          <w:lang w:bidi="ar-MA"/>
        </w:rPr>
        <w:t>نظام التمثيل القانوني</w:t>
      </w:r>
    </w:p>
    <w:p w:rsidR="00000000" w:rsidRDefault="00443EC1">
      <w:pPr>
        <w:spacing w:line="380" w:lineRule="exact"/>
        <w:jc w:val="both"/>
        <w:rPr>
          <w:rFonts w:hint="cs"/>
          <w:rtl/>
          <w:lang w:bidi="ar-MA"/>
        </w:rPr>
      </w:pPr>
      <w:r>
        <w:rPr>
          <w:rFonts w:hint="cs"/>
          <w:rtl/>
          <w:lang w:bidi="ar-MA"/>
        </w:rPr>
        <w:t>521-</w:t>
      </w:r>
      <w:r>
        <w:rPr>
          <w:rFonts w:hint="cs"/>
          <w:rtl/>
          <w:lang w:bidi="ar-MA"/>
        </w:rPr>
        <w:tab/>
        <w:t>تهدف هذه المبادرة الجديدة إلى توفير التمثيل القانوني لل</w:t>
      </w:r>
      <w:r>
        <w:rPr>
          <w:rFonts w:hint="cs"/>
          <w:rtl/>
          <w:lang w:bidi="ar-MA"/>
        </w:rPr>
        <w:t>أطفال والأحداث الخاضعين لإجراءات الرعاية أو الحماية بموجب الأمر الخاص بحماية الأطفال والأحداث. وتُتخذ الإجراءات حالياً لوضع هذا النظام موضع النفاذ.</w:t>
      </w:r>
    </w:p>
    <w:p w:rsidR="00000000" w:rsidRDefault="00443EC1">
      <w:pPr>
        <w:spacing w:line="380" w:lineRule="exact"/>
        <w:jc w:val="both"/>
        <w:rPr>
          <w:rFonts w:hint="cs"/>
          <w:b/>
          <w:bCs/>
          <w:rtl/>
          <w:lang w:bidi="ar-MA"/>
        </w:rPr>
      </w:pPr>
      <w:r>
        <w:rPr>
          <w:rFonts w:hint="cs"/>
          <w:b/>
          <w:bCs/>
          <w:rtl/>
          <w:lang w:bidi="ar-MA"/>
        </w:rPr>
        <w:t>اللجنة المعنية بالشباب</w:t>
      </w:r>
    </w:p>
    <w:p w:rsidR="00000000" w:rsidRDefault="00443EC1">
      <w:pPr>
        <w:spacing w:line="380" w:lineRule="exact"/>
        <w:jc w:val="both"/>
        <w:rPr>
          <w:rFonts w:hint="cs"/>
          <w:rtl/>
          <w:lang w:bidi="ar-MA"/>
        </w:rPr>
      </w:pPr>
      <w:r>
        <w:rPr>
          <w:rFonts w:hint="cs"/>
          <w:rtl/>
          <w:lang w:bidi="ar-MA"/>
        </w:rPr>
        <w:t>522-</w:t>
      </w:r>
      <w:r>
        <w:rPr>
          <w:rFonts w:hint="cs"/>
          <w:rtl/>
          <w:lang w:bidi="ar-MA"/>
        </w:rPr>
        <w:tab/>
        <w:t>يبقى الوضع عموما كما تقدم شرحه في الفقرتين 271 و272 من التقرير الأولي. وقد بلغ ع</w:t>
      </w:r>
      <w:r>
        <w:rPr>
          <w:rFonts w:hint="cs"/>
          <w:rtl/>
          <w:lang w:bidi="ar-MA"/>
        </w:rPr>
        <w:t xml:space="preserve">دد المنضمين إلى "ميثاق الشباب" بحلول شباط/فبراير 2003 حوالي 430 منظمة و400 2 فرد. ويخضع تنفيذ أحكام الميثاق لاستعراض منتظم، وأجري آخر استعراض في شهر كانون الأول/ديسمبر 2002. </w:t>
      </w:r>
    </w:p>
    <w:p w:rsidR="00000000" w:rsidRDefault="00443EC1">
      <w:pPr>
        <w:spacing w:line="380" w:lineRule="exact"/>
        <w:jc w:val="both"/>
        <w:rPr>
          <w:rFonts w:hint="cs"/>
          <w:b/>
          <w:bCs/>
          <w:rtl/>
          <w:lang w:bidi="ar-MA"/>
        </w:rPr>
      </w:pPr>
      <w:r>
        <w:rPr>
          <w:rFonts w:hint="cs"/>
          <w:b/>
          <w:bCs/>
          <w:rtl/>
          <w:lang w:bidi="ar-MA"/>
        </w:rPr>
        <w:t>تشغيل الأطفال والشباب</w:t>
      </w:r>
    </w:p>
    <w:p w:rsidR="00000000" w:rsidRDefault="00443EC1">
      <w:pPr>
        <w:spacing w:line="380" w:lineRule="exact"/>
        <w:jc w:val="both"/>
        <w:rPr>
          <w:rFonts w:hint="cs"/>
          <w:rtl/>
          <w:lang w:bidi="ar-MA"/>
        </w:rPr>
      </w:pPr>
      <w:r>
        <w:rPr>
          <w:rFonts w:hint="cs"/>
          <w:rtl/>
          <w:lang w:bidi="ar-MA"/>
        </w:rPr>
        <w:t>523-</w:t>
      </w:r>
      <w:r>
        <w:rPr>
          <w:rFonts w:hint="cs"/>
          <w:rtl/>
          <w:lang w:bidi="ar-MA"/>
        </w:rPr>
        <w:tab/>
        <w:t>يبقى الوضع كما تقدم شرحه في الفقرة 278 من التقرير الأو</w:t>
      </w:r>
      <w:r>
        <w:rPr>
          <w:rFonts w:hint="cs"/>
          <w:rtl/>
          <w:lang w:bidi="ar-MA"/>
        </w:rPr>
        <w:t xml:space="preserve">لي. وينقح المرفق 10 - ألف بهذا التقرير المعلومات الواردة في المرفق 21 بالتقرير الأولي. </w:t>
      </w:r>
    </w:p>
    <w:p w:rsidR="00000000" w:rsidRDefault="00443EC1">
      <w:pPr>
        <w:spacing w:line="380" w:lineRule="exact"/>
        <w:jc w:val="both"/>
        <w:rPr>
          <w:b/>
          <w:bCs/>
          <w:rtl/>
        </w:rPr>
      </w:pPr>
      <w:r>
        <w:rPr>
          <w:b/>
          <w:bCs/>
          <w:rtl/>
        </w:rPr>
        <w:t>تعاطي المخدّر</w:t>
      </w:r>
      <w:r>
        <w:rPr>
          <w:rFonts w:hint="cs"/>
          <w:b/>
          <w:bCs/>
          <w:rtl/>
        </w:rPr>
        <w:t>ات</w:t>
      </w:r>
    </w:p>
    <w:p w:rsidR="00000000" w:rsidRDefault="00443EC1">
      <w:pPr>
        <w:spacing w:line="380" w:lineRule="exact"/>
        <w:jc w:val="both"/>
        <w:rPr>
          <w:rFonts w:hint="cs"/>
          <w:rtl/>
        </w:rPr>
      </w:pPr>
      <w:r>
        <w:rPr>
          <w:rFonts w:hint="cs"/>
          <w:rtl/>
        </w:rPr>
        <w:t>524</w:t>
      </w:r>
      <w:r>
        <w:rPr>
          <w:rtl/>
        </w:rPr>
        <w:t>-</w:t>
      </w:r>
      <w:r>
        <w:rPr>
          <w:rtl/>
        </w:rPr>
        <w:tab/>
      </w:r>
      <w:r>
        <w:rPr>
          <w:rFonts w:hint="cs"/>
          <w:rtl/>
        </w:rPr>
        <w:t>استمر تراجع حالات تعاطي الشباب للمخدرات، الذي أشرنا إليه في الفقرة 279 من التقرير الأولي، إلى غاية عام 1999، إذ انخفضت النسبة من 3.02 في الألف في ف</w:t>
      </w:r>
      <w:r>
        <w:rPr>
          <w:rFonts w:hint="cs"/>
          <w:rtl/>
        </w:rPr>
        <w:t>ئة الأعمار المتراوحة بين 11 و17 عاما في عام 1995 إلى 1.54 في الألف في عام 1999. وانخفض عدد الحالات المستجدة من 1.151 حالة في عام 1995 إلى 701 في عام 1999. غير أن هذا الاتجاه انعكس عام 2000، ثم تلاه تراجع في عامي 2001 و2002، إذ بلغ معدل الحالات 3.33 في الأل</w:t>
      </w:r>
      <w:r>
        <w:rPr>
          <w:rFonts w:hint="cs"/>
          <w:rtl/>
        </w:rPr>
        <w:t>ف عام 2000 و3.18 عام 2001 و2.48 عام 2002</w:t>
      </w:r>
      <w:r>
        <w:rPr>
          <w:rFonts w:hint="cs"/>
          <w:vertAlign w:val="superscript"/>
          <w:rtl/>
        </w:rPr>
        <w:t>(30)</w:t>
      </w:r>
      <w:r>
        <w:rPr>
          <w:rFonts w:hint="cs"/>
          <w:rtl/>
        </w:rPr>
        <w:t>. وبالمثل، ارتفع عدد الحالات المستجدة من 701 حالة عام 1999 إلى 580 1 حالة في عام 2000، قبل أن يتراجع إلى 428 1 حالة في عام 2001 و161 1 حالة عام 2002.</w:t>
      </w:r>
    </w:p>
    <w:p w:rsidR="00000000" w:rsidRDefault="00443EC1">
      <w:pPr>
        <w:spacing w:line="380" w:lineRule="exact"/>
        <w:jc w:val="both"/>
        <w:rPr>
          <w:rFonts w:hint="cs"/>
          <w:i/>
          <w:iCs/>
          <w:rtl/>
        </w:rPr>
      </w:pPr>
      <w:r>
        <w:rPr>
          <w:rFonts w:hint="cs"/>
          <w:i/>
          <w:iCs/>
          <w:rtl/>
        </w:rPr>
        <w:t xml:space="preserve">لمحة عن مدمني </w:t>
      </w:r>
      <w:r>
        <w:rPr>
          <w:i/>
          <w:iCs/>
          <w:rtl/>
        </w:rPr>
        <w:t>المخدّر</w:t>
      </w:r>
      <w:r>
        <w:rPr>
          <w:rFonts w:hint="cs"/>
          <w:i/>
          <w:iCs/>
          <w:rtl/>
        </w:rPr>
        <w:t>ات الشبان</w:t>
      </w:r>
    </w:p>
    <w:p w:rsidR="00000000" w:rsidRDefault="00443EC1">
      <w:pPr>
        <w:spacing w:line="380" w:lineRule="exact"/>
        <w:jc w:val="both"/>
        <w:rPr>
          <w:rFonts w:hint="cs"/>
          <w:rtl/>
        </w:rPr>
      </w:pPr>
      <w:r>
        <w:rPr>
          <w:rFonts w:hint="cs"/>
          <w:rtl/>
        </w:rPr>
        <w:t>525-</w:t>
      </w:r>
      <w:r>
        <w:rPr>
          <w:rFonts w:hint="cs"/>
          <w:rtl/>
        </w:rPr>
        <w:tab/>
        <w:t>أبلغ عن نحو 501 1 من المدم</w:t>
      </w:r>
      <w:r>
        <w:rPr>
          <w:rFonts w:hint="cs"/>
          <w:rtl/>
        </w:rPr>
        <w:t xml:space="preserve">نين الشبان في عام 2002. وبلغ متوسط أعمارهم 16 عاما. وكان معظمهم يتعاطى المؤثرات العقلية: إذ تناول 75.8 في المائة منهم </w:t>
      </w:r>
      <w:r>
        <w:rPr>
          <w:rFonts w:hint="cs"/>
          <w:rtl/>
        </w:rPr>
        <w:t>مادة الكيتامين، و40.7 الأمفيتامينات، و26.8 الحشيش. وكان 62.9 في المائة منهم من الذكور. وقد سبق وأن أدين 32.2 في المائة من المدمنين، كما أن</w:t>
      </w:r>
      <w:r>
        <w:rPr>
          <w:rFonts w:hint="cs"/>
          <w:rtl/>
        </w:rPr>
        <w:t xml:space="preserve"> 21.7 في المائة منهم من العاملين و39.9 في المائة من الطلاب.</w:t>
      </w:r>
    </w:p>
    <w:p w:rsidR="00000000" w:rsidRDefault="00443EC1">
      <w:pPr>
        <w:spacing w:line="380" w:lineRule="exact"/>
        <w:jc w:val="both"/>
        <w:rPr>
          <w:rFonts w:hint="cs"/>
          <w:rtl/>
        </w:rPr>
      </w:pPr>
      <w:r>
        <w:rPr>
          <w:rFonts w:hint="cs"/>
          <w:rtl/>
        </w:rPr>
        <w:t>526-</w:t>
      </w:r>
      <w:r>
        <w:rPr>
          <w:rFonts w:hint="cs"/>
          <w:rtl/>
        </w:rPr>
        <w:tab/>
        <w:t>ولم تحد الحالات الجديدة عن الاتجاه العام. إذ بلغ متوسط الأعمار 15.7 عاما. وكانت مادة الكيتامين هي الأكثر رواجا بمعدل 76.5 في المائة، تليها الأمفيتامينات (39.6 في المائة) والحشيش (26.5 في الما</w:t>
      </w:r>
      <w:r>
        <w:rPr>
          <w:rFonts w:hint="cs"/>
          <w:rtl/>
        </w:rPr>
        <w:t xml:space="preserve">ئة). وكان 60.6 في المائة من الذكور. وقد سبق وأن أدين 33.4 في المائة من المدمنين؛ وكانت نسبة 20.8 في المائة من العاملين، بينما تلقى ما يزيد على 97 في المائة تعليما ثانويا على الأقل. </w:t>
      </w:r>
    </w:p>
    <w:p w:rsidR="00000000" w:rsidRDefault="00443EC1">
      <w:pPr>
        <w:spacing w:line="380" w:lineRule="exact"/>
        <w:jc w:val="both"/>
        <w:rPr>
          <w:rFonts w:hint="cs"/>
          <w:i/>
          <w:iCs/>
          <w:rtl/>
          <w:lang w:bidi="ar-MA"/>
        </w:rPr>
      </w:pPr>
      <w:r>
        <w:rPr>
          <w:rFonts w:hint="cs"/>
          <w:i/>
          <w:iCs/>
          <w:rtl/>
          <w:lang w:bidi="ar-MA"/>
        </w:rPr>
        <w:t>استجابة الحكومة</w:t>
      </w:r>
    </w:p>
    <w:p w:rsidR="00000000" w:rsidRDefault="00443EC1">
      <w:pPr>
        <w:spacing w:line="380" w:lineRule="exact"/>
        <w:jc w:val="both"/>
        <w:rPr>
          <w:rFonts w:hint="cs"/>
          <w:rtl/>
          <w:lang w:bidi="ar-MA"/>
        </w:rPr>
      </w:pPr>
      <w:r>
        <w:rPr>
          <w:rFonts w:hint="cs"/>
          <w:rtl/>
          <w:lang w:bidi="ar-MA"/>
        </w:rPr>
        <w:t>527-</w:t>
      </w:r>
      <w:r>
        <w:rPr>
          <w:rFonts w:hint="cs"/>
          <w:rtl/>
          <w:lang w:bidi="ar-MA"/>
        </w:rPr>
        <w:tab/>
        <w:t xml:space="preserve">نواصل مكافحة تعاطي </w:t>
      </w:r>
      <w:r>
        <w:rPr>
          <w:rtl/>
        </w:rPr>
        <w:t>المخدّر</w:t>
      </w:r>
      <w:r>
        <w:rPr>
          <w:rFonts w:hint="cs"/>
          <w:rtl/>
        </w:rPr>
        <w:t>ات</w:t>
      </w:r>
      <w:r>
        <w:rPr>
          <w:rFonts w:hint="cs"/>
          <w:rtl/>
          <w:lang w:bidi="ar-MA"/>
        </w:rPr>
        <w:t xml:space="preserve"> على نطاق واسع، معتمدين ف</w:t>
      </w:r>
      <w:r>
        <w:rPr>
          <w:rFonts w:hint="cs"/>
          <w:rtl/>
          <w:lang w:bidi="ar-MA"/>
        </w:rPr>
        <w:t>ي ذلك على التعاون الخارجي فضلا عن إنفاذ التشريع والقانون، والعلاج والتأهيل، والتثقيف الوقائي والدعاية، والبحث. وفي نيسان/أبريل 2000، شكلنا فريق عمل مشتركا بين القطاعات للتصدي لم</w:t>
      </w:r>
      <w:r>
        <w:rPr>
          <w:rFonts w:hint="cs"/>
          <w:rtl/>
          <w:lang w:bidi="ar-MA"/>
        </w:rPr>
        <w:t>شكلة تعاطي المؤثرات العقلية. وكان الهدف من ذلك وضع استراتيجية شاملة لمعالجة تعا</w:t>
      </w:r>
      <w:r>
        <w:rPr>
          <w:rFonts w:hint="cs"/>
          <w:rtl/>
          <w:lang w:bidi="ar-MA"/>
        </w:rPr>
        <w:t xml:space="preserve">طي المؤثرات العقلية، لا سيما في صفوف الشباب. وأصدر فريق العمل في شهر تموز/يوليه 2002 توصياته التي كنا نتبعها في وقت إعداد هذا التقرير. </w:t>
      </w:r>
    </w:p>
    <w:p w:rsidR="00000000" w:rsidRDefault="00443EC1">
      <w:pPr>
        <w:spacing w:line="380" w:lineRule="exact"/>
        <w:jc w:val="both"/>
        <w:rPr>
          <w:rFonts w:hint="cs"/>
          <w:i/>
          <w:iCs/>
          <w:rtl/>
          <w:lang w:bidi="ar-MA"/>
        </w:rPr>
      </w:pPr>
      <w:r>
        <w:rPr>
          <w:rFonts w:hint="cs"/>
          <w:i/>
          <w:iCs/>
          <w:rtl/>
          <w:lang w:bidi="ar-MA"/>
        </w:rPr>
        <w:t>إنفاذ التشريع والقانون</w:t>
      </w:r>
    </w:p>
    <w:p w:rsidR="00000000" w:rsidRDefault="00443EC1">
      <w:pPr>
        <w:spacing w:line="380" w:lineRule="exact"/>
        <w:jc w:val="both"/>
        <w:rPr>
          <w:rFonts w:hint="cs"/>
          <w:rtl/>
          <w:lang w:bidi="ar-MA"/>
        </w:rPr>
      </w:pPr>
      <w:r>
        <w:rPr>
          <w:rFonts w:hint="cs"/>
          <w:rtl/>
          <w:lang w:bidi="ar-MA"/>
        </w:rPr>
        <w:t>528-</w:t>
      </w:r>
      <w:r>
        <w:rPr>
          <w:rFonts w:hint="cs"/>
          <w:rtl/>
          <w:lang w:bidi="ar-MA"/>
        </w:rPr>
        <w:tab/>
        <w:t xml:space="preserve"> تبقى التدابير القانونية عموما كما تقدم شرحه في الفقرة 283 من التقرير الأولي، ونقوم باستعراض</w:t>
      </w:r>
      <w:r>
        <w:rPr>
          <w:rFonts w:hint="cs"/>
          <w:rtl/>
          <w:lang w:bidi="ar-MA"/>
        </w:rPr>
        <w:t xml:space="preserve"> القوانين بصفة منتظمة. ففي عامي 2000 و2001، قمنا بتنقيح الأمر الخاص بالعقاقير الخطرة (المادة 134) لتشديد الرقابة على استخدام الكيتامين وحامض غاما - هيدروكسيبيوتريك و4 - ميتيلثيوأمفيتامين. وتواصل الشرطة والجمارك ووزارة الصحة اتخاذ إجراءات </w:t>
      </w:r>
      <w:r>
        <w:rPr>
          <w:rFonts w:hint="cs"/>
          <w:rtl/>
          <w:lang w:bidi="ar-MA"/>
        </w:rPr>
        <w:t>حازمة ضد تجار العق</w:t>
      </w:r>
      <w:r>
        <w:rPr>
          <w:rFonts w:hint="cs"/>
          <w:rtl/>
          <w:lang w:bidi="ar-MA"/>
        </w:rPr>
        <w:t xml:space="preserve">اقير المحظورة. </w:t>
      </w:r>
    </w:p>
    <w:p w:rsidR="00000000" w:rsidRDefault="00443EC1">
      <w:pPr>
        <w:spacing w:line="380" w:lineRule="exact"/>
        <w:jc w:val="both"/>
        <w:rPr>
          <w:rFonts w:hint="cs"/>
          <w:rtl/>
          <w:lang w:bidi="ar-MA"/>
        </w:rPr>
      </w:pPr>
      <w:r>
        <w:rPr>
          <w:rFonts w:hint="cs"/>
          <w:rtl/>
          <w:lang w:bidi="ar-MA"/>
        </w:rPr>
        <w:t>529-</w:t>
      </w:r>
      <w:r>
        <w:rPr>
          <w:rFonts w:hint="cs"/>
          <w:rtl/>
          <w:lang w:bidi="ar-MA"/>
        </w:rPr>
        <w:tab/>
        <w:t xml:space="preserve">وفي شهر نيسان/أبريل 2002، دخل الأمر الخاص بالترخيص لمعالجة وتأهيل مدمني </w:t>
      </w:r>
      <w:r>
        <w:rPr>
          <w:rtl/>
        </w:rPr>
        <w:t>المخدّر</w:t>
      </w:r>
      <w:r>
        <w:rPr>
          <w:rFonts w:hint="cs"/>
          <w:rtl/>
        </w:rPr>
        <w:t>ات</w:t>
      </w:r>
      <w:r>
        <w:rPr>
          <w:rFonts w:hint="cs"/>
          <w:rtl/>
          <w:lang w:bidi="ar-MA"/>
        </w:rPr>
        <w:t xml:space="preserve"> (المادة 566) حيز النفاذ. ويرمي هذا الأمر إلى ضمان خضوع مدمني المخدرات للعلاج وحصولهم على التأهيل في كنف بيئة حسنة الإدارة وآمنة جسديا. وبناء عليه، يطلب ا</w:t>
      </w:r>
      <w:r>
        <w:rPr>
          <w:rFonts w:hint="cs"/>
          <w:rtl/>
          <w:lang w:bidi="ar-MA"/>
        </w:rPr>
        <w:t xml:space="preserve">لأمر من جميع مراكز العلاج التي بدأ تشغيلها من 1 نيسان/أبريل 2002 أن تكون مرخصة. </w:t>
      </w:r>
    </w:p>
    <w:p w:rsidR="00000000" w:rsidRDefault="00443EC1">
      <w:pPr>
        <w:spacing w:line="380" w:lineRule="exact"/>
        <w:jc w:val="both"/>
        <w:rPr>
          <w:rFonts w:hint="cs"/>
          <w:i/>
          <w:iCs/>
          <w:rtl/>
          <w:lang w:bidi="ar-MA"/>
        </w:rPr>
      </w:pPr>
      <w:r>
        <w:rPr>
          <w:rFonts w:hint="cs"/>
          <w:i/>
          <w:iCs/>
          <w:rtl/>
          <w:lang w:bidi="ar-MA"/>
        </w:rPr>
        <w:t>التعاون الدولي</w:t>
      </w:r>
    </w:p>
    <w:p w:rsidR="00000000" w:rsidRDefault="00443EC1">
      <w:pPr>
        <w:spacing w:line="380" w:lineRule="exact"/>
        <w:jc w:val="both"/>
        <w:rPr>
          <w:rFonts w:hint="cs"/>
          <w:rtl/>
          <w:lang w:bidi="ar-MA"/>
        </w:rPr>
      </w:pPr>
      <w:r>
        <w:rPr>
          <w:rFonts w:hint="cs"/>
          <w:rtl/>
          <w:lang w:bidi="ar-MA"/>
        </w:rPr>
        <w:t>530-</w:t>
      </w:r>
      <w:r>
        <w:rPr>
          <w:rFonts w:hint="cs"/>
          <w:rtl/>
          <w:lang w:bidi="ar-MA"/>
        </w:rPr>
        <w:tab/>
        <w:t>لا تزال مشاركتنا في المنظمات الدولية ذات الصلة عموما كما تقدم شرحه في الفقرة 285 من التقرير الأولي. وفي شهر تشرين الثاني/نوفمبر 2000، أزالت الولايات المتحد</w:t>
      </w:r>
      <w:r>
        <w:rPr>
          <w:rFonts w:hint="cs"/>
          <w:rtl/>
          <w:lang w:bidi="ar-MA"/>
        </w:rPr>
        <w:t xml:space="preserve">ة الأمريكية منطقة هونغ كونغ من قائمة أبرز بلدان/أقاليم عبور </w:t>
      </w:r>
      <w:r>
        <w:rPr>
          <w:rtl/>
        </w:rPr>
        <w:t>المخدّر</w:t>
      </w:r>
      <w:r>
        <w:rPr>
          <w:rFonts w:hint="cs"/>
          <w:rtl/>
        </w:rPr>
        <w:t>ات</w:t>
      </w:r>
      <w:r>
        <w:rPr>
          <w:rFonts w:hint="cs"/>
          <w:rtl/>
          <w:lang w:bidi="ar-MA"/>
        </w:rPr>
        <w:t xml:space="preserve">، اعترافا بما بذلناه من جهود وما حققناه من إنجازات في هذا المجال في الأعوام الأخيرة. </w:t>
      </w:r>
    </w:p>
    <w:p w:rsidR="00000000" w:rsidRDefault="00443EC1">
      <w:pPr>
        <w:spacing w:line="380" w:lineRule="exact"/>
        <w:jc w:val="both"/>
        <w:rPr>
          <w:rFonts w:hint="cs"/>
          <w:rtl/>
          <w:lang w:bidi="ar-MA"/>
        </w:rPr>
      </w:pPr>
    </w:p>
    <w:p w:rsidR="00000000" w:rsidRDefault="00443EC1">
      <w:pPr>
        <w:spacing w:line="380" w:lineRule="exact"/>
        <w:jc w:val="both"/>
        <w:rPr>
          <w:rFonts w:hint="cs"/>
          <w:rtl/>
          <w:lang w:bidi="ar-MA"/>
        </w:rPr>
      </w:pPr>
    </w:p>
    <w:p w:rsidR="00000000" w:rsidRDefault="00443EC1">
      <w:pPr>
        <w:spacing w:line="380" w:lineRule="exact"/>
        <w:jc w:val="both"/>
        <w:rPr>
          <w:rFonts w:hint="cs"/>
          <w:i/>
          <w:iCs/>
          <w:rtl/>
          <w:lang w:bidi="ar-MA"/>
        </w:rPr>
      </w:pPr>
      <w:r>
        <w:rPr>
          <w:rFonts w:hint="cs"/>
          <w:i/>
          <w:iCs/>
          <w:rtl/>
          <w:lang w:bidi="ar-MA"/>
        </w:rPr>
        <w:t>التثقيف الوقائي والدعاية</w:t>
      </w:r>
    </w:p>
    <w:p w:rsidR="00000000" w:rsidRDefault="00443EC1">
      <w:pPr>
        <w:spacing w:line="380" w:lineRule="exact"/>
        <w:jc w:val="both"/>
        <w:rPr>
          <w:rFonts w:hint="cs"/>
          <w:rtl/>
          <w:lang w:bidi="ar-MA"/>
        </w:rPr>
      </w:pPr>
      <w:r>
        <w:rPr>
          <w:rFonts w:hint="cs"/>
          <w:rtl/>
          <w:lang w:bidi="ar-MA"/>
        </w:rPr>
        <w:t>531-</w:t>
      </w:r>
      <w:r>
        <w:rPr>
          <w:rFonts w:hint="cs"/>
          <w:rtl/>
          <w:lang w:bidi="ar-MA"/>
        </w:rPr>
        <w:tab/>
        <w:t>ما زال عملنا في هذا المجال على النحو المشروح في الفقرة 286 من التقرير</w:t>
      </w:r>
      <w:r>
        <w:rPr>
          <w:rFonts w:hint="cs"/>
          <w:rtl/>
          <w:lang w:bidi="ar-MA"/>
        </w:rPr>
        <w:t xml:space="preserve"> الأولي. وخلال الفترة </w:t>
      </w:r>
      <w:r>
        <w:rPr>
          <w:rtl/>
          <w:lang w:bidi="ar-MA"/>
        </w:rPr>
        <w:br/>
      </w:r>
      <w:r>
        <w:rPr>
          <w:rFonts w:hint="cs"/>
          <w:rtl/>
          <w:lang w:bidi="ar-MA"/>
        </w:rPr>
        <w:t xml:space="preserve">2002-2003، خصصنا نحو 4 ملايين من دولارات هونغ كونغ لمشاريع من قبيل المخطط الطوعي لمكافحة المخدرات، والحلقات الدراسية وحلقات العمل الخاصة بالمرشدين الاجتماعيين، ومشاريع إشراك المجتمع المحلي، وما إلى ذلك. وشملت المبادرات الجديدة إنشاء </w:t>
      </w:r>
      <w:r>
        <w:rPr>
          <w:rFonts w:hint="cs"/>
          <w:rtl/>
          <w:lang w:bidi="ar-MA"/>
        </w:rPr>
        <w:t xml:space="preserve">"المرحلة الأولى لمركز الإعلام بشأن المخدرات"، الذي يحتوي على مكتبة وقاعة متعددة الأغراض. أما المرحلة الثانية، التي تشمل رواق عرض مخصص، فينتظر الانتهاء من إنجازها في عام 2003. </w:t>
      </w:r>
    </w:p>
    <w:p w:rsidR="00000000" w:rsidRDefault="00443EC1">
      <w:pPr>
        <w:spacing w:line="380" w:lineRule="exact"/>
        <w:jc w:val="both"/>
        <w:rPr>
          <w:rFonts w:hint="cs"/>
          <w:i/>
          <w:iCs/>
          <w:rtl/>
          <w:lang w:bidi="ar-MA"/>
        </w:rPr>
      </w:pPr>
      <w:r>
        <w:rPr>
          <w:rFonts w:hint="cs"/>
          <w:i/>
          <w:iCs/>
          <w:rtl/>
          <w:lang w:bidi="ar-MA"/>
        </w:rPr>
        <w:t>المدارس</w:t>
      </w:r>
    </w:p>
    <w:p w:rsidR="00000000" w:rsidRDefault="00443EC1">
      <w:pPr>
        <w:spacing w:line="380" w:lineRule="exact"/>
        <w:jc w:val="both"/>
        <w:rPr>
          <w:rFonts w:hint="cs"/>
          <w:rtl/>
          <w:lang w:bidi="ar-MA"/>
        </w:rPr>
      </w:pPr>
      <w:r>
        <w:rPr>
          <w:rFonts w:hint="cs"/>
          <w:rtl/>
          <w:lang w:bidi="ar-MA"/>
        </w:rPr>
        <w:t>532-</w:t>
      </w:r>
      <w:r>
        <w:rPr>
          <w:rFonts w:hint="cs"/>
          <w:rtl/>
          <w:lang w:bidi="ar-MA"/>
        </w:rPr>
        <w:tab/>
        <w:t xml:space="preserve">يبقى التثقيف في مجال </w:t>
      </w:r>
      <w:r>
        <w:rPr>
          <w:rtl/>
        </w:rPr>
        <w:t>المخدّر</w:t>
      </w:r>
      <w:r>
        <w:rPr>
          <w:rFonts w:hint="cs"/>
          <w:rtl/>
        </w:rPr>
        <w:t>ات</w:t>
      </w:r>
      <w:r>
        <w:rPr>
          <w:rFonts w:hint="cs"/>
          <w:rtl/>
          <w:lang w:bidi="ar-MA"/>
        </w:rPr>
        <w:t xml:space="preserve"> جزءا لا يتجزأ من المقررات الدراسية و</w:t>
      </w:r>
      <w:r>
        <w:rPr>
          <w:rFonts w:hint="cs"/>
          <w:rtl/>
          <w:lang w:bidi="ar-MA"/>
        </w:rPr>
        <w:t>ما زالت برامجنا في هذا الصدد كما تقدم شرحه في الفقرات من 287 إلى 289 من التقرير الأولي. وبعد أن كنا نركز على المدارس الناطقة باللغة الصينية، قمنا في عام 2001 بتوسيع برامجنا لتشمل المدارس التي تعنى أساسا بغير الناطقين بالصينية. ونظمنا أيضا دورات تحاور بين ا</w:t>
      </w:r>
      <w:r>
        <w:rPr>
          <w:rFonts w:hint="cs"/>
          <w:rtl/>
          <w:lang w:bidi="ar-MA"/>
        </w:rPr>
        <w:t>لشبان المؤهلين وكبار الطلاب. وفي عام 2002، قدمنا حوالي 910 1 برامج تعليمية تتعلق بالمخدرات لما يزيد على 000 150 طالب.</w:t>
      </w:r>
    </w:p>
    <w:p w:rsidR="00000000" w:rsidRDefault="00443EC1">
      <w:pPr>
        <w:spacing w:line="380" w:lineRule="exact"/>
        <w:jc w:val="both"/>
        <w:rPr>
          <w:rFonts w:hint="cs"/>
          <w:rtl/>
          <w:lang w:bidi="ar-MA"/>
        </w:rPr>
      </w:pPr>
      <w:r>
        <w:rPr>
          <w:rFonts w:hint="cs"/>
          <w:rtl/>
          <w:lang w:bidi="ar-MA"/>
        </w:rPr>
        <w:t>533-</w:t>
      </w:r>
      <w:r>
        <w:rPr>
          <w:rFonts w:hint="cs"/>
          <w:rtl/>
          <w:lang w:bidi="ar-MA"/>
        </w:rPr>
        <w:tab/>
        <w:t xml:space="preserve">ونقوم بصورة منتظمة بعقد محاضرات خاصة بالمدرسين بشأن التثقيف في مجال </w:t>
      </w:r>
      <w:r>
        <w:rPr>
          <w:rtl/>
        </w:rPr>
        <w:t>المخدّر</w:t>
      </w:r>
      <w:r>
        <w:rPr>
          <w:rFonts w:hint="cs"/>
          <w:rtl/>
        </w:rPr>
        <w:t>ات</w:t>
      </w:r>
      <w:r>
        <w:rPr>
          <w:rFonts w:hint="cs"/>
          <w:rtl/>
          <w:lang w:bidi="ar-MA"/>
        </w:rPr>
        <w:t xml:space="preserve">، كما وزعنا في عام 2002 مجموعة تثقيفية جديدة بشأن </w:t>
      </w:r>
      <w:r>
        <w:rPr>
          <w:rtl/>
        </w:rPr>
        <w:t>المخدّ</w:t>
      </w:r>
      <w:r>
        <w:rPr>
          <w:rtl/>
        </w:rPr>
        <w:t>ر</w:t>
      </w:r>
      <w:r>
        <w:rPr>
          <w:rFonts w:hint="cs"/>
          <w:rtl/>
        </w:rPr>
        <w:t>ات</w:t>
      </w:r>
      <w:r>
        <w:rPr>
          <w:rFonts w:hint="cs"/>
          <w:rtl/>
          <w:lang w:bidi="ar-MA"/>
        </w:rPr>
        <w:t xml:space="preserve"> ترمي إلى تحديث معارف مدرسي المعاهد الثانوية في هذا الصدد، ولكي يقوموا باستعمالها في الفصل. كما واصلنا استهداف الأهل، إذ ألقيت في عام 2002 محاضرات على حوالي 790 2 منهم على النحو المبين في الفقرة 289 من التقرير الأولي. </w:t>
      </w:r>
    </w:p>
    <w:p w:rsidR="00000000" w:rsidRDefault="00443EC1">
      <w:pPr>
        <w:spacing w:line="380" w:lineRule="exact"/>
        <w:jc w:val="both"/>
        <w:rPr>
          <w:rFonts w:hint="cs"/>
          <w:i/>
          <w:iCs/>
          <w:rtl/>
          <w:lang w:bidi="ar-MA"/>
        </w:rPr>
      </w:pPr>
      <w:r>
        <w:rPr>
          <w:rFonts w:hint="cs"/>
          <w:i/>
          <w:iCs/>
          <w:rtl/>
          <w:lang w:bidi="ar-MA"/>
        </w:rPr>
        <w:t>البحوث</w:t>
      </w:r>
    </w:p>
    <w:p w:rsidR="00000000" w:rsidRDefault="00443EC1">
      <w:pPr>
        <w:spacing w:line="380" w:lineRule="exact"/>
        <w:jc w:val="both"/>
        <w:rPr>
          <w:rFonts w:hint="cs"/>
          <w:rtl/>
          <w:lang w:bidi="ar-MA"/>
        </w:rPr>
      </w:pPr>
      <w:r>
        <w:rPr>
          <w:rFonts w:hint="cs"/>
          <w:rtl/>
          <w:lang w:bidi="ar-MA"/>
        </w:rPr>
        <w:t>534-</w:t>
      </w:r>
      <w:r>
        <w:rPr>
          <w:rFonts w:hint="cs"/>
          <w:rtl/>
          <w:lang w:bidi="ar-MA"/>
        </w:rPr>
        <w:tab/>
        <w:t>تتولى لجنة فرعية تابعة</w:t>
      </w:r>
      <w:r>
        <w:rPr>
          <w:rFonts w:hint="cs"/>
          <w:rtl/>
          <w:lang w:bidi="ar-MA"/>
        </w:rPr>
        <w:t xml:space="preserve"> للجنة مكافحة العقاقير المخدرة (الفقرة 286 من التقرير الأولي) تنسيق البحوث المتعلقة بالعقاقير المخدرة. وتوفر استنتاجاتها توجيهات قيمة لصياغة سياسات مكافحة المخدرات. ويقوم السجل المركزي الإلكتروني الخاص بتعاطي </w:t>
      </w:r>
      <w:r>
        <w:rPr>
          <w:rtl/>
        </w:rPr>
        <w:t>المخدّر</w:t>
      </w:r>
      <w:r>
        <w:rPr>
          <w:rFonts w:hint="cs"/>
          <w:rtl/>
        </w:rPr>
        <w:t>ات</w:t>
      </w:r>
      <w:r>
        <w:rPr>
          <w:rFonts w:hint="cs"/>
          <w:rtl/>
          <w:lang w:bidi="ar-MA"/>
        </w:rPr>
        <w:t xml:space="preserve"> برصد التغيرات الهامة في الاتجاهات وال</w:t>
      </w:r>
      <w:r>
        <w:rPr>
          <w:rFonts w:hint="cs"/>
          <w:rtl/>
          <w:lang w:bidi="ar-MA"/>
        </w:rPr>
        <w:t xml:space="preserve">خصائص المتعلقة بتعاطي المخدرات ومدمنيها، ويمسك إحصاءات مفيدة. كما يصدر السجل تقارير نصف سنوية في هذا الصدد. </w:t>
      </w:r>
    </w:p>
    <w:p w:rsidR="00000000" w:rsidRDefault="00443EC1">
      <w:pPr>
        <w:spacing w:line="380" w:lineRule="exact"/>
        <w:jc w:val="both"/>
        <w:rPr>
          <w:rFonts w:hint="cs"/>
          <w:i/>
          <w:iCs/>
          <w:rtl/>
          <w:lang w:bidi="ar-MA"/>
        </w:rPr>
      </w:pPr>
      <w:r>
        <w:rPr>
          <w:rFonts w:hint="cs"/>
          <w:i/>
          <w:iCs/>
          <w:rtl/>
          <w:lang w:bidi="ar-MA"/>
        </w:rPr>
        <w:t>"صندوق التغلب على مشكلة المخدرات"</w:t>
      </w:r>
    </w:p>
    <w:p w:rsidR="00000000" w:rsidRDefault="00443EC1">
      <w:pPr>
        <w:spacing w:line="380" w:lineRule="exact"/>
        <w:jc w:val="both"/>
        <w:rPr>
          <w:rFonts w:hint="cs"/>
          <w:rtl/>
          <w:lang w:bidi="ar-MA"/>
        </w:rPr>
      </w:pPr>
      <w:r>
        <w:rPr>
          <w:rFonts w:hint="cs"/>
          <w:rtl/>
          <w:lang w:bidi="ar-MA"/>
        </w:rPr>
        <w:t>535-</w:t>
      </w:r>
      <w:r>
        <w:rPr>
          <w:rFonts w:hint="cs"/>
          <w:rtl/>
          <w:lang w:bidi="ar-MA"/>
        </w:rPr>
        <w:tab/>
        <w:t xml:space="preserve"> يبقى الوضع كما تقدم شرحه في الفقرة 290 من التقرير الأولي. وازدادت رعاية المشاريع في إطار الصندوق، إذ استفاد</w:t>
      </w:r>
      <w:r>
        <w:rPr>
          <w:rFonts w:hint="cs"/>
          <w:rtl/>
          <w:lang w:bidi="ar-MA"/>
        </w:rPr>
        <w:t xml:space="preserve"> 238 مشروعا من مبلغ إجمالي بمقدار 113.7 من ملايين دولارات </w:t>
      </w:r>
      <w:r>
        <w:rPr>
          <w:rFonts w:hint="cs"/>
          <w:rtl/>
        </w:rPr>
        <w:t>هونغ كونغ</w:t>
      </w:r>
      <w:r>
        <w:rPr>
          <w:rFonts w:hint="cs"/>
          <w:rtl/>
          <w:lang w:bidi="ar-MA"/>
        </w:rPr>
        <w:t xml:space="preserve"> بين عامي 1996 و2002. </w:t>
      </w:r>
    </w:p>
    <w:p w:rsidR="00000000" w:rsidRDefault="00443EC1">
      <w:pPr>
        <w:spacing w:line="380" w:lineRule="exact"/>
        <w:jc w:val="both"/>
        <w:rPr>
          <w:rFonts w:hint="cs"/>
          <w:rtl/>
          <w:lang w:bidi="ar-MA"/>
        </w:rPr>
      </w:pPr>
    </w:p>
    <w:p w:rsidR="00000000" w:rsidRDefault="00443EC1">
      <w:pPr>
        <w:spacing w:line="380" w:lineRule="exact"/>
        <w:jc w:val="both"/>
        <w:rPr>
          <w:rFonts w:hint="cs"/>
          <w:rtl/>
          <w:lang w:bidi="ar-MA"/>
        </w:rPr>
      </w:pPr>
    </w:p>
    <w:p w:rsidR="00000000" w:rsidRDefault="00443EC1">
      <w:pPr>
        <w:spacing w:line="380" w:lineRule="exact"/>
        <w:jc w:val="both"/>
        <w:rPr>
          <w:rFonts w:hint="cs"/>
          <w:b/>
          <w:bCs/>
          <w:rtl/>
          <w:lang w:bidi="ar-MA"/>
        </w:rPr>
      </w:pPr>
      <w:r>
        <w:rPr>
          <w:rFonts w:hint="cs"/>
          <w:b/>
          <w:bCs/>
          <w:rtl/>
          <w:lang w:bidi="ar-MA"/>
        </w:rPr>
        <w:t>الخدمات المقدمة إلى متعاطي العقاقير والمواد المخدرة من الشباب</w:t>
      </w:r>
    </w:p>
    <w:p w:rsidR="00000000" w:rsidRDefault="00443EC1">
      <w:pPr>
        <w:spacing w:line="380" w:lineRule="exact"/>
        <w:jc w:val="both"/>
        <w:rPr>
          <w:rFonts w:hint="cs"/>
          <w:rtl/>
          <w:lang w:bidi="ar-MA"/>
        </w:rPr>
      </w:pPr>
      <w:r>
        <w:rPr>
          <w:rFonts w:hint="cs"/>
          <w:rtl/>
          <w:lang w:bidi="ar-MA"/>
        </w:rPr>
        <w:t>536-</w:t>
      </w:r>
      <w:r>
        <w:rPr>
          <w:rFonts w:hint="cs"/>
          <w:rtl/>
          <w:lang w:bidi="ar-MA"/>
        </w:rPr>
        <w:tab/>
        <w:t xml:space="preserve"> يبقى الوضع عموما كما تقدم شرحه في الفقرتين 291 و292 من التقرير الأولي. غير أننا فتحنا في شهر تشر</w:t>
      </w:r>
      <w:r>
        <w:rPr>
          <w:rFonts w:hint="cs"/>
          <w:rtl/>
          <w:lang w:bidi="ar-MA"/>
        </w:rPr>
        <w:t>ين الأول/أكتوبر 2002 مركزي مشورة جديدين بغرض التصدي لمشكلة تعاطي المؤثرات العقلية، لا سيما في صفوف الشباب البالغين من العمر ما لا يزيد على 21 عاما. وبذلك أصبح عدد هذه المراكز خمسة. وتقدم المراكز العلاج والتأهيل لمتعاطي المؤثرات العقلية، والتثقيف الوقائي لل</w:t>
      </w:r>
      <w:r>
        <w:rPr>
          <w:rFonts w:hint="cs"/>
          <w:rtl/>
          <w:lang w:bidi="ar-MA"/>
        </w:rPr>
        <w:t>شباب، والتدريب للمهنيين المعنيين كالمدرسين. وفي شهر تموز/يوليه 2002، استلمت المراكز إدارة برامج التثقيف المدرسية التي كانت سابقا تحت إشراف مخطط مكافحة تعاطي العقاقير المخدرة التابع لوزارة الرعاية الاجتماعية. وتمثل الهدف في توفير "خدمة متكاملة" لمتعاطي المخ</w:t>
      </w:r>
      <w:r>
        <w:rPr>
          <w:rFonts w:hint="cs"/>
          <w:rtl/>
          <w:lang w:bidi="ar-MA"/>
        </w:rPr>
        <w:t>درات الشبان.</w:t>
      </w:r>
    </w:p>
    <w:p w:rsidR="00000000" w:rsidRDefault="00443EC1">
      <w:pPr>
        <w:spacing w:line="380" w:lineRule="exact"/>
        <w:jc w:val="both"/>
        <w:rPr>
          <w:rFonts w:hint="cs"/>
          <w:i/>
          <w:iCs/>
          <w:rtl/>
          <w:lang w:bidi="ar-MA"/>
        </w:rPr>
      </w:pPr>
      <w:r>
        <w:rPr>
          <w:rFonts w:hint="cs"/>
          <w:i/>
          <w:iCs/>
          <w:rtl/>
          <w:lang w:bidi="ar-MA"/>
        </w:rPr>
        <w:t>الخدمات التعليمية الخاصة بمتعاطي المخدرات الشبان</w:t>
      </w:r>
    </w:p>
    <w:p w:rsidR="00000000" w:rsidRDefault="00443EC1">
      <w:pPr>
        <w:spacing w:line="380" w:lineRule="exact"/>
        <w:jc w:val="both"/>
        <w:rPr>
          <w:rFonts w:hint="cs"/>
          <w:rtl/>
          <w:lang w:bidi="ar-MA"/>
        </w:rPr>
      </w:pPr>
      <w:r>
        <w:rPr>
          <w:rFonts w:hint="cs"/>
          <w:rtl/>
          <w:lang w:bidi="ar-MA"/>
        </w:rPr>
        <w:t>537-</w:t>
      </w:r>
      <w:r>
        <w:rPr>
          <w:rFonts w:hint="cs"/>
          <w:rtl/>
          <w:lang w:bidi="ar-MA"/>
        </w:rPr>
        <w:tab/>
        <w:t xml:space="preserve">يبقى الوضع كما تقدم شرحه في الفقرة 293 من التقرير الأولي. </w:t>
      </w:r>
    </w:p>
    <w:p w:rsidR="00000000" w:rsidRDefault="00443EC1">
      <w:pPr>
        <w:spacing w:line="380" w:lineRule="exact"/>
        <w:jc w:val="both"/>
        <w:rPr>
          <w:rFonts w:hint="cs"/>
          <w:i/>
          <w:iCs/>
          <w:rtl/>
          <w:lang w:bidi="ar-MA"/>
        </w:rPr>
      </w:pPr>
      <w:r>
        <w:rPr>
          <w:rFonts w:hint="cs"/>
          <w:i/>
          <w:iCs/>
          <w:rtl/>
          <w:lang w:bidi="ar-MA"/>
        </w:rPr>
        <w:t>العلاج والتأهيل</w:t>
      </w:r>
    </w:p>
    <w:p w:rsidR="00000000" w:rsidRDefault="00443EC1">
      <w:pPr>
        <w:spacing w:line="380" w:lineRule="exact"/>
        <w:jc w:val="both"/>
        <w:rPr>
          <w:rFonts w:hint="cs"/>
          <w:rtl/>
          <w:lang w:bidi="ar-MA"/>
        </w:rPr>
      </w:pPr>
      <w:r>
        <w:rPr>
          <w:rFonts w:hint="cs"/>
          <w:rtl/>
          <w:lang w:bidi="ar-MA"/>
        </w:rPr>
        <w:t>538-</w:t>
      </w:r>
      <w:r>
        <w:rPr>
          <w:rFonts w:hint="cs"/>
          <w:rtl/>
          <w:lang w:bidi="ar-MA"/>
        </w:rPr>
        <w:tab/>
        <w:t>تبقى البرامج التي تمولها الحكومة في هذا المجال عموما كما تقدم شرحه في الفقرتين 294 و295 من التقرير الأولي، فض</w:t>
      </w:r>
      <w:r>
        <w:rPr>
          <w:rFonts w:hint="cs"/>
          <w:rtl/>
          <w:lang w:bidi="ar-MA"/>
        </w:rPr>
        <w:t xml:space="preserve">لا عما نقدمه الآن من دعم لإحدى المنظمات غير الحكومية كي تشرف على مراكز اجتماعية خاصة بمن كانوا يتعاطون المخدرات. وفي الفترة 2001-2002، بلغ إجمالي الإنفاق 341 مليون دولار. أما في الفترة 2002-2003، فقد وفرنا أموالا بمبلغ إجمالي يعادل 4.6 ملايين من الدولارات </w:t>
      </w:r>
      <w:r>
        <w:rPr>
          <w:rFonts w:hint="cs"/>
          <w:rtl/>
          <w:lang w:bidi="ar-MA"/>
        </w:rPr>
        <w:t>للأغراض التالية:</w:t>
      </w:r>
    </w:p>
    <w:p w:rsidR="00000000" w:rsidRDefault="00443EC1">
      <w:pPr>
        <w:spacing w:line="380" w:lineRule="exact"/>
        <w:jc w:val="both"/>
        <w:rPr>
          <w:rFonts w:hint="cs"/>
          <w:rtl/>
          <w:lang w:bidi="ar-MA"/>
        </w:rPr>
      </w:pPr>
      <w:r>
        <w:rPr>
          <w:rFonts w:hint="cs"/>
          <w:rtl/>
          <w:lang w:bidi="ar-MA"/>
        </w:rPr>
        <w:tab/>
        <w:t>(أ)</w:t>
      </w:r>
      <w:r>
        <w:rPr>
          <w:rFonts w:hint="cs"/>
          <w:rtl/>
          <w:lang w:bidi="ar-MA"/>
        </w:rPr>
        <w:tab/>
        <w:t>تمويل مركزي المشورة الجديدين المشار إليهما في الفقرة 536 أعلاه؛</w:t>
      </w:r>
    </w:p>
    <w:p w:rsidR="00000000" w:rsidRDefault="00443EC1">
      <w:pPr>
        <w:spacing w:line="380" w:lineRule="exact"/>
        <w:jc w:val="both"/>
        <w:rPr>
          <w:rFonts w:hint="cs"/>
          <w:rtl/>
          <w:lang w:bidi="ar-MA"/>
        </w:rPr>
      </w:pPr>
      <w:r>
        <w:rPr>
          <w:rtl/>
          <w:lang w:bidi="ar-MA"/>
        </w:rPr>
        <w:tab/>
      </w:r>
      <w:r>
        <w:rPr>
          <w:rFonts w:hint="cs"/>
          <w:rtl/>
          <w:lang w:bidi="ar-MA"/>
        </w:rPr>
        <w:t>(ب)</w:t>
      </w:r>
      <w:r>
        <w:rPr>
          <w:rFonts w:hint="cs"/>
          <w:rtl/>
          <w:lang w:bidi="ar-MA"/>
        </w:rPr>
        <w:tab/>
        <w:t xml:space="preserve">تحسين </w:t>
      </w:r>
      <w:r>
        <w:rPr>
          <w:rFonts w:hint="cs"/>
          <w:rtl/>
          <w:lang w:bidi="ar-MA"/>
        </w:rPr>
        <w:t>المرافق في مصحات العلاج بمادة الميتادون والرقي بمستوى الخدمات المقدمة إلى مرضاها؛</w:t>
      </w:r>
    </w:p>
    <w:p w:rsidR="00000000" w:rsidRDefault="00443EC1">
      <w:pPr>
        <w:spacing w:line="380" w:lineRule="exact"/>
        <w:jc w:val="both"/>
        <w:rPr>
          <w:rFonts w:hint="cs"/>
          <w:rtl/>
          <w:lang w:bidi="ar-MA"/>
        </w:rPr>
      </w:pPr>
      <w:r>
        <w:rPr>
          <w:rtl/>
          <w:lang w:bidi="ar-MA"/>
        </w:rPr>
        <w:tab/>
      </w:r>
      <w:r>
        <w:rPr>
          <w:rFonts w:hint="cs"/>
          <w:rtl/>
          <w:lang w:bidi="ar-MA"/>
        </w:rPr>
        <w:t>(ج)</w:t>
      </w:r>
      <w:r>
        <w:rPr>
          <w:rFonts w:hint="cs"/>
          <w:rtl/>
          <w:lang w:bidi="ar-MA"/>
        </w:rPr>
        <w:tab/>
        <w:t>وضع بروتوكول للكشف عن متعاطي المخدرات المتعددة وتقييمهم؛</w:t>
      </w:r>
    </w:p>
    <w:p w:rsidR="00000000" w:rsidRDefault="00443EC1">
      <w:pPr>
        <w:spacing w:line="380" w:lineRule="exact"/>
        <w:jc w:val="both"/>
        <w:rPr>
          <w:rFonts w:hint="cs"/>
          <w:rtl/>
          <w:lang w:bidi="ar-MA"/>
        </w:rPr>
      </w:pPr>
      <w:r>
        <w:rPr>
          <w:rtl/>
          <w:lang w:bidi="ar-MA"/>
        </w:rPr>
        <w:tab/>
      </w:r>
      <w:r>
        <w:rPr>
          <w:rFonts w:hint="cs"/>
          <w:rtl/>
          <w:lang w:bidi="ar-MA"/>
        </w:rPr>
        <w:t>(د)</w:t>
      </w:r>
      <w:r>
        <w:rPr>
          <w:rFonts w:hint="cs"/>
          <w:rtl/>
          <w:lang w:bidi="ar-MA"/>
        </w:rPr>
        <w:tab/>
        <w:t xml:space="preserve">وضع قاعدة </w:t>
      </w:r>
      <w:r>
        <w:rPr>
          <w:rFonts w:hint="cs"/>
          <w:rtl/>
          <w:lang w:bidi="ar-MA"/>
        </w:rPr>
        <w:t>بيانات بشأن الأدوية الصينية التقليدية لمعالجة إدمان المخدرات.</w:t>
      </w:r>
    </w:p>
    <w:p w:rsidR="00000000" w:rsidRDefault="00443EC1">
      <w:pPr>
        <w:spacing w:line="380" w:lineRule="exact"/>
        <w:jc w:val="both"/>
        <w:rPr>
          <w:rFonts w:hint="cs"/>
          <w:rtl/>
          <w:lang w:bidi="ar-MA"/>
        </w:rPr>
      </w:pPr>
      <w:r>
        <w:rPr>
          <w:rFonts w:hint="cs"/>
          <w:rtl/>
          <w:lang w:bidi="ar-MA"/>
        </w:rPr>
        <w:t>539-</w:t>
      </w:r>
      <w:r>
        <w:rPr>
          <w:rFonts w:hint="cs"/>
          <w:rtl/>
          <w:lang w:bidi="ar-MA"/>
        </w:rPr>
        <w:tab/>
        <w:t xml:space="preserve">ويبقى وضع المساجين مدمني المخدرات كما تقدم شرحه في الفقرات من 295 إلى 297 من التقرير الأولي. </w:t>
      </w:r>
    </w:p>
    <w:p w:rsidR="00000000" w:rsidRDefault="00443EC1">
      <w:pPr>
        <w:spacing w:line="380" w:lineRule="exact"/>
        <w:jc w:val="both"/>
        <w:rPr>
          <w:rFonts w:hint="cs"/>
          <w:b/>
          <w:bCs/>
          <w:rtl/>
          <w:lang w:bidi="ar-MA"/>
        </w:rPr>
      </w:pPr>
      <w:r>
        <w:rPr>
          <w:rFonts w:hint="cs"/>
          <w:b/>
          <w:bCs/>
          <w:rtl/>
          <w:lang w:bidi="ar-MA"/>
        </w:rPr>
        <w:t>رعاية المسنين</w:t>
      </w:r>
    </w:p>
    <w:p w:rsidR="00000000" w:rsidRDefault="00443EC1">
      <w:pPr>
        <w:spacing w:line="380" w:lineRule="exact"/>
        <w:jc w:val="both"/>
        <w:rPr>
          <w:rFonts w:hint="cs"/>
          <w:i/>
          <w:iCs/>
          <w:rtl/>
          <w:lang w:bidi="ar-MA"/>
        </w:rPr>
      </w:pPr>
      <w:r>
        <w:rPr>
          <w:rFonts w:hint="cs"/>
          <w:i/>
          <w:iCs/>
          <w:rtl/>
          <w:lang w:bidi="ar-MA"/>
        </w:rPr>
        <w:t>اللجنة المعنية بالمسنين</w:t>
      </w:r>
    </w:p>
    <w:p w:rsidR="00000000" w:rsidRDefault="00443EC1">
      <w:pPr>
        <w:spacing w:line="380" w:lineRule="exact"/>
        <w:jc w:val="both"/>
        <w:rPr>
          <w:rFonts w:hint="cs"/>
          <w:rtl/>
          <w:lang w:bidi="ar-MA"/>
        </w:rPr>
      </w:pPr>
      <w:r>
        <w:rPr>
          <w:rFonts w:hint="cs"/>
          <w:rtl/>
          <w:lang w:bidi="ar-MA"/>
        </w:rPr>
        <w:t>540-</w:t>
      </w:r>
      <w:r>
        <w:rPr>
          <w:rFonts w:hint="cs"/>
          <w:rtl/>
          <w:lang w:bidi="ar-MA"/>
        </w:rPr>
        <w:tab/>
        <w:t>يبقى دور اللجنة المعنية بالمسنين كما تقدم شرحه في ال</w:t>
      </w:r>
      <w:r>
        <w:rPr>
          <w:rFonts w:hint="cs"/>
          <w:rtl/>
          <w:lang w:bidi="ar-MA"/>
        </w:rPr>
        <w:t>فقرات من 299 إلى 301 من التقرير الأولي. وتضم اليوم 12 عضوا غير رسمي. وركزت اللجنة، في الآونة الأخيرة، على وضع استراتيجيات لمجابهة التحديات واغتنام الفرص الناشئة عن شيخوخة السكان، وترويج الوعي بالتبعات الاجتماعية الاقتصادية الناجمة عن هذه الظاهرة.</w:t>
      </w:r>
    </w:p>
    <w:p w:rsidR="00000000" w:rsidRDefault="00443EC1">
      <w:pPr>
        <w:spacing w:line="380" w:lineRule="exact"/>
        <w:jc w:val="both"/>
        <w:rPr>
          <w:rFonts w:hint="cs"/>
          <w:b/>
          <w:bCs/>
          <w:rtl/>
          <w:lang w:bidi="ar-MA"/>
        </w:rPr>
      </w:pPr>
      <w:r>
        <w:rPr>
          <w:rFonts w:hint="cs"/>
          <w:b/>
          <w:bCs/>
          <w:rtl/>
          <w:lang w:bidi="ar-MA"/>
        </w:rPr>
        <w:t>تقديم الد</w:t>
      </w:r>
      <w:r>
        <w:rPr>
          <w:rFonts w:hint="cs"/>
          <w:b/>
          <w:bCs/>
          <w:rtl/>
          <w:lang w:bidi="ar-MA"/>
        </w:rPr>
        <w:t>عم للقائمين برعاية الأسرة</w:t>
      </w:r>
    </w:p>
    <w:p w:rsidR="00000000" w:rsidRDefault="00443EC1">
      <w:pPr>
        <w:spacing w:line="380" w:lineRule="exact"/>
        <w:jc w:val="both"/>
        <w:rPr>
          <w:rFonts w:hint="cs"/>
          <w:rtl/>
          <w:lang w:bidi="ar-MA"/>
        </w:rPr>
      </w:pPr>
      <w:r>
        <w:rPr>
          <w:rFonts w:hint="cs"/>
          <w:rtl/>
          <w:lang w:bidi="ar-MA"/>
        </w:rPr>
        <w:t>541-</w:t>
      </w:r>
      <w:r>
        <w:rPr>
          <w:rFonts w:hint="cs"/>
          <w:rtl/>
          <w:lang w:bidi="ar-MA"/>
        </w:rPr>
        <w:tab/>
        <w:t xml:space="preserve">تتمثل سياسة الحكومة في مساعدة المسنين على العيش داخل الوسط المجتمعي لأطول فترة ممكنة وتمكين الأسر من رعايتهم في البيت. </w:t>
      </w:r>
    </w:p>
    <w:p w:rsidR="00000000" w:rsidRDefault="00443EC1">
      <w:pPr>
        <w:spacing w:line="380" w:lineRule="exact"/>
        <w:jc w:val="both"/>
        <w:rPr>
          <w:rFonts w:hint="cs"/>
          <w:rtl/>
          <w:lang w:bidi="ar-MA"/>
        </w:rPr>
      </w:pPr>
      <w:r>
        <w:rPr>
          <w:rFonts w:hint="cs"/>
          <w:rtl/>
          <w:lang w:bidi="ar-MA"/>
        </w:rPr>
        <w:t>542-</w:t>
      </w:r>
      <w:r>
        <w:rPr>
          <w:rFonts w:hint="cs"/>
          <w:rtl/>
          <w:lang w:bidi="ar-MA"/>
        </w:rPr>
        <w:tab/>
        <w:t>ويشمل برنامج الرعاية طويلة المدى الذي نعتمده لفائدة المسنين الذين يعانون من مشاكل صحية برامج رعاية م</w:t>
      </w:r>
      <w:r>
        <w:rPr>
          <w:rFonts w:hint="cs"/>
          <w:rtl/>
          <w:lang w:bidi="ar-MA"/>
        </w:rPr>
        <w:t xml:space="preserve">جتمعية ومؤسسية. وتقدم هذه البرامج للمسنين وأسرهم الخدمات والدعم وفقا لاحتياجاتهم وظروفهم. </w:t>
      </w:r>
    </w:p>
    <w:p w:rsidR="00000000" w:rsidRDefault="00443EC1">
      <w:pPr>
        <w:spacing w:line="380" w:lineRule="exact"/>
        <w:jc w:val="both"/>
        <w:rPr>
          <w:rFonts w:hint="cs"/>
          <w:rtl/>
          <w:lang w:bidi="ar-MA"/>
        </w:rPr>
      </w:pPr>
      <w:r>
        <w:rPr>
          <w:rFonts w:hint="cs"/>
          <w:rtl/>
          <w:lang w:bidi="ar-MA"/>
        </w:rPr>
        <w:t>543-</w:t>
      </w:r>
      <w:r>
        <w:rPr>
          <w:rFonts w:hint="cs"/>
          <w:rtl/>
          <w:lang w:bidi="ar-MA"/>
        </w:rPr>
        <w:tab/>
        <w:t>ولقد بينا، في الفقرات من 302 إلى 306 من التقرير الأولي، أشكال الدعم المزمع والقائم المقدم لأفراد الأسر الذين يسهرون على رعاية أقارب مسنين. وتشمل الخدمات المقدمة</w:t>
      </w:r>
      <w:r>
        <w:rPr>
          <w:rFonts w:hint="cs"/>
          <w:rtl/>
          <w:lang w:bidi="ar-MA"/>
        </w:rPr>
        <w:t xml:space="preserve"> إلى القائمين بالرعاية توفير المعلومات والتجريب والدعم المعنوي وخدمات الاستراحة. وفي الفترة 2001-2002، شرعت وحدات جديدة لتقديم خدمات الرعاية النهارية والمؤسسية للمسنين في تقديم هذه الخدمات في إطار "مجموعة الخدمات" العادية.</w:t>
      </w:r>
    </w:p>
    <w:p w:rsidR="00000000" w:rsidRDefault="00443EC1">
      <w:pPr>
        <w:spacing w:line="380" w:lineRule="exact"/>
        <w:jc w:val="both"/>
        <w:rPr>
          <w:rFonts w:hint="cs"/>
          <w:rtl/>
          <w:lang w:bidi="ar-MA"/>
        </w:rPr>
      </w:pPr>
      <w:r>
        <w:rPr>
          <w:rFonts w:hint="cs"/>
          <w:rtl/>
          <w:lang w:bidi="ar-MA"/>
        </w:rPr>
        <w:t>544-</w:t>
      </w:r>
      <w:r>
        <w:rPr>
          <w:rFonts w:hint="cs"/>
          <w:rtl/>
          <w:lang w:bidi="ar-MA"/>
        </w:rPr>
        <w:tab/>
        <w:t xml:space="preserve">وتقدم وزارات ومؤسسات حكومية </w:t>
      </w:r>
      <w:r>
        <w:rPr>
          <w:rFonts w:hint="cs"/>
          <w:rtl/>
          <w:lang w:bidi="ar-MA"/>
        </w:rPr>
        <w:t>أخرى التدريب للقائمين على الرعاية المؤسسية والأسرية على حد سواء. وتشمل جهات تقديم الدعم هذه وزارة الرعاية الاجتماعية ووزارة الصحة وإدارة المستشفيات وجامعة هونغ كونغ.</w:t>
      </w:r>
    </w:p>
    <w:p w:rsidR="00000000" w:rsidRDefault="00443EC1">
      <w:pPr>
        <w:spacing w:line="380" w:lineRule="exact"/>
        <w:jc w:val="both"/>
        <w:rPr>
          <w:rFonts w:hint="cs"/>
          <w:b/>
          <w:bCs/>
          <w:rtl/>
          <w:lang w:bidi="ar-MA"/>
        </w:rPr>
      </w:pPr>
      <w:r>
        <w:rPr>
          <w:rFonts w:hint="cs"/>
          <w:b/>
          <w:bCs/>
          <w:rtl/>
          <w:lang w:bidi="ar-MA"/>
        </w:rPr>
        <w:t>دُور الأحداث</w:t>
      </w:r>
    </w:p>
    <w:p w:rsidR="00000000" w:rsidRDefault="00443EC1">
      <w:pPr>
        <w:spacing w:line="380" w:lineRule="exact"/>
        <w:jc w:val="both"/>
        <w:rPr>
          <w:rFonts w:hint="cs"/>
          <w:rtl/>
          <w:lang w:bidi="ar-MA"/>
        </w:rPr>
      </w:pPr>
      <w:r>
        <w:rPr>
          <w:rFonts w:hint="cs"/>
          <w:rtl/>
          <w:lang w:bidi="ar-MA"/>
        </w:rPr>
        <w:t>545-</w:t>
      </w:r>
      <w:r>
        <w:rPr>
          <w:rFonts w:hint="cs"/>
          <w:rtl/>
          <w:lang w:bidi="ar-MA"/>
        </w:rPr>
        <w:tab/>
        <w:t xml:space="preserve"> تدير الحكومة سبع مؤسسات تتولى تقديم التعليم والتدريب ما قبل المهني للأط</w:t>
      </w:r>
      <w:r>
        <w:rPr>
          <w:rFonts w:hint="cs"/>
          <w:rtl/>
          <w:lang w:bidi="ar-MA"/>
        </w:rPr>
        <w:t xml:space="preserve">فال والأحداث الذين يعانون من مشاكل سلوكية أو أسرية. وتلبي هذه المؤسسات أيضا احتياجات الجانحين الشبان. وأعرب المعلقون عن القلق إزاء معاملة الأطفال داخل هذه المؤسسات. </w:t>
      </w:r>
    </w:p>
    <w:p w:rsidR="00000000" w:rsidRDefault="00443EC1">
      <w:pPr>
        <w:spacing w:line="380" w:lineRule="exact"/>
        <w:jc w:val="both"/>
        <w:rPr>
          <w:rFonts w:hint="cs"/>
          <w:rtl/>
          <w:lang w:bidi="ar-MA"/>
        </w:rPr>
      </w:pPr>
      <w:r>
        <w:rPr>
          <w:rFonts w:hint="cs"/>
          <w:rtl/>
          <w:lang w:bidi="ar-MA"/>
        </w:rPr>
        <w:t>546-</w:t>
      </w:r>
      <w:r>
        <w:rPr>
          <w:rFonts w:hint="cs"/>
          <w:rtl/>
          <w:lang w:bidi="ar-MA"/>
        </w:rPr>
        <w:tab/>
        <w:t>وندرك الحاجة إلى إدخال تحسينات على خدمات المؤسسات. وتقوم الحكومة، بالاستناد إلى دراسا</w:t>
      </w:r>
      <w:r>
        <w:rPr>
          <w:rFonts w:hint="cs"/>
          <w:rtl/>
          <w:lang w:bidi="ar-MA"/>
        </w:rPr>
        <w:t>ت هامة أجريت عام 1997</w:t>
      </w:r>
      <w:r>
        <w:rPr>
          <w:rFonts w:hint="cs"/>
          <w:vertAlign w:val="superscript"/>
          <w:rtl/>
          <w:lang w:bidi="ar-MA"/>
        </w:rPr>
        <w:t>(31)</w:t>
      </w:r>
      <w:r>
        <w:rPr>
          <w:rFonts w:hint="cs"/>
          <w:rtl/>
          <w:lang w:bidi="ar-MA"/>
        </w:rPr>
        <w:t>، بما يلي:</w:t>
      </w:r>
    </w:p>
    <w:p w:rsidR="00000000" w:rsidRDefault="00443EC1">
      <w:pPr>
        <w:spacing w:line="380" w:lineRule="exact"/>
        <w:jc w:val="both"/>
        <w:rPr>
          <w:rFonts w:hint="cs"/>
          <w:rtl/>
          <w:lang w:bidi="ar-MA"/>
        </w:rPr>
      </w:pPr>
      <w:r>
        <w:rPr>
          <w:rFonts w:hint="cs"/>
          <w:rtl/>
          <w:lang w:bidi="ar-MA"/>
        </w:rPr>
        <w:tab/>
        <w:t>(أ)</w:t>
      </w:r>
      <w:r>
        <w:rPr>
          <w:rFonts w:hint="cs"/>
          <w:rtl/>
          <w:lang w:bidi="ar-MA"/>
        </w:rPr>
        <w:tab/>
        <w:t>تنظيم حلقات دراسية بشأن مسائل حقوق الإنسان لفائدة المكفولين في المؤسسات وموظفيها؛ كما يحاط المكفولون علما بحقهم في التظلم؛</w:t>
      </w:r>
    </w:p>
    <w:p w:rsidR="00000000" w:rsidRDefault="00443EC1">
      <w:pPr>
        <w:spacing w:line="380" w:lineRule="exact"/>
        <w:jc w:val="both"/>
        <w:rPr>
          <w:rFonts w:hint="cs"/>
          <w:rtl/>
          <w:lang w:bidi="ar-MA"/>
        </w:rPr>
      </w:pPr>
      <w:r>
        <w:rPr>
          <w:rFonts w:hint="cs"/>
          <w:rtl/>
          <w:lang w:bidi="ar-MA"/>
        </w:rPr>
        <w:tab/>
        <w:t>(ب)</w:t>
      </w:r>
      <w:r>
        <w:rPr>
          <w:rFonts w:hint="cs"/>
          <w:rtl/>
          <w:lang w:bidi="ar-MA"/>
        </w:rPr>
        <w:tab/>
        <w:t>ضمان إعلام المكفولين وأهلهم، عند القبول، إعلاما كاملا بحقوقهم، بما في ذلك حقوق التظلم و</w:t>
      </w:r>
      <w:r>
        <w:rPr>
          <w:rFonts w:hint="cs"/>
          <w:rtl/>
          <w:lang w:bidi="ar-MA"/>
        </w:rPr>
        <w:t>الوصول إلى المعلومات والتحرر من أي شكل من أشكال سوء المعاملة؛</w:t>
      </w:r>
    </w:p>
    <w:p w:rsidR="00000000" w:rsidRDefault="00443EC1">
      <w:pPr>
        <w:spacing w:line="380" w:lineRule="exact"/>
        <w:jc w:val="both"/>
        <w:rPr>
          <w:rFonts w:hint="cs"/>
          <w:rtl/>
          <w:lang w:bidi="ar-MA"/>
        </w:rPr>
      </w:pPr>
      <w:r>
        <w:rPr>
          <w:rFonts w:hint="cs"/>
          <w:rtl/>
          <w:lang w:bidi="ar-MA"/>
        </w:rPr>
        <w:tab/>
        <w:t>(ج)</w:t>
      </w:r>
      <w:r>
        <w:rPr>
          <w:rFonts w:hint="cs"/>
          <w:rtl/>
          <w:lang w:bidi="ar-MA"/>
        </w:rPr>
        <w:tab/>
        <w:t>الرقي بمستوى المدرسين وتدعيمه داخل المؤسسات، وإضافة مدرسين متخرجين؛</w:t>
      </w:r>
    </w:p>
    <w:p w:rsidR="00000000" w:rsidRDefault="00443EC1">
      <w:pPr>
        <w:spacing w:line="380" w:lineRule="exact"/>
        <w:jc w:val="both"/>
        <w:rPr>
          <w:rFonts w:hint="cs"/>
          <w:rtl/>
          <w:lang w:bidi="ar-MA"/>
        </w:rPr>
      </w:pPr>
      <w:r>
        <w:rPr>
          <w:rFonts w:hint="cs"/>
          <w:rtl/>
          <w:lang w:bidi="ar-MA"/>
        </w:rPr>
        <w:tab/>
        <w:t>(د)</w:t>
      </w:r>
      <w:r>
        <w:rPr>
          <w:rFonts w:hint="cs"/>
          <w:rtl/>
          <w:lang w:bidi="ar-MA"/>
        </w:rPr>
        <w:tab/>
        <w:t>إدخال تحسينات على البيئة المادية وبرامج التدريب وإدارة المؤسسة والإجراءات العملية.</w:t>
      </w:r>
    </w:p>
    <w:p w:rsidR="00000000" w:rsidRDefault="00443EC1">
      <w:pPr>
        <w:spacing w:line="380" w:lineRule="exact"/>
        <w:jc w:val="both"/>
        <w:rPr>
          <w:rFonts w:hint="cs"/>
          <w:b/>
          <w:bCs/>
          <w:rtl/>
          <w:lang w:bidi="ar-MA"/>
        </w:rPr>
      </w:pPr>
      <w:r>
        <w:rPr>
          <w:rFonts w:hint="cs"/>
          <w:b/>
          <w:bCs/>
          <w:rtl/>
          <w:lang w:bidi="ar-MA"/>
        </w:rPr>
        <w:t>الخدمات المقدمة إلى المسنين الذين</w:t>
      </w:r>
      <w:r>
        <w:rPr>
          <w:rFonts w:hint="cs"/>
          <w:b/>
          <w:bCs/>
          <w:rtl/>
          <w:lang w:bidi="ar-MA"/>
        </w:rPr>
        <w:t xml:space="preserve"> يعيشون داخل الوسط الأسري</w:t>
      </w:r>
    </w:p>
    <w:p w:rsidR="00000000" w:rsidRDefault="00443EC1">
      <w:pPr>
        <w:spacing w:line="380" w:lineRule="exact"/>
        <w:jc w:val="both"/>
        <w:rPr>
          <w:rFonts w:hint="cs"/>
          <w:i/>
          <w:iCs/>
          <w:rtl/>
          <w:lang w:bidi="ar-MA"/>
        </w:rPr>
      </w:pPr>
      <w:r>
        <w:rPr>
          <w:rFonts w:hint="cs"/>
          <w:i/>
          <w:iCs/>
          <w:rtl/>
          <w:lang w:bidi="ar-MA"/>
        </w:rPr>
        <w:t>إعادة هيكلة خدمات الدعم المجتمعي</w:t>
      </w:r>
    </w:p>
    <w:p w:rsidR="00000000" w:rsidRDefault="00443EC1">
      <w:pPr>
        <w:spacing w:line="380" w:lineRule="exact"/>
        <w:jc w:val="both"/>
        <w:rPr>
          <w:rFonts w:hint="cs"/>
          <w:rtl/>
          <w:lang w:bidi="ar-MA"/>
        </w:rPr>
      </w:pPr>
      <w:r>
        <w:rPr>
          <w:rFonts w:hint="cs"/>
          <w:rtl/>
          <w:lang w:bidi="ar-MA"/>
        </w:rPr>
        <w:t>547-</w:t>
      </w:r>
      <w:r>
        <w:rPr>
          <w:rFonts w:hint="cs"/>
          <w:rtl/>
          <w:lang w:bidi="ar-MA"/>
        </w:rPr>
        <w:tab/>
        <w:t xml:space="preserve">خلال الفترة 2001-2002، بدأت جميع مراكز المسنين حديثة الإنشاء في العمل كمراكز مجتمعية لرعاية المسنين على مستوى المقاطعات ومراكز لرعاية المسنين على مستوى الأحياء. وتقدم هذه المراكز على التوالي، </w:t>
      </w:r>
      <w:r>
        <w:rPr>
          <w:rFonts w:hint="cs"/>
          <w:rtl/>
          <w:lang w:bidi="ar-MA"/>
        </w:rPr>
        <w:t>على مستوى أعلى، خدمات مراكز رعاية المسنين المتعددة الخدمات والمراكز الاجتماعية المعنية بالمسنين، التي بينا وظائفها في الفقرة 307 من التقرير الأولي</w:t>
      </w:r>
      <w:r>
        <w:rPr>
          <w:rFonts w:hint="cs"/>
          <w:vertAlign w:val="superscript"/>
          <w:rtl/>
          <w:lang w:bidi="ar-MA"/>
        </w:rPr>
        <w:t>(32)</w:t>
      </w:r>
      <w:r>
        <w:rPr>
          <w:rFonts w:hint="cs"/>
          <w:rtl/>
          <w:lang w:bidi="ar-MA"/>
        </w:rPr>
        <w:t>. وسوف نعمل على النهوض بجميع المراكز القائمة ابتداء من الفترة 2003-2004.</w:t>
      </w:r>
    </w:p>
    <w:p w:rsidR="00000000" w:rsidRDefault="00443EC1">
      <w:pPr>
        <w:spacing w:line="380" w:lineRule="exact"/>
        <w:jc w:val="both"/>
        <w:rPr>
          <w:rFonts w:hint="cs"/>
          <w:rtl/>
          <w:lang w:bidi="ar-MA"/>
        </w:rPr>
      </w:pPr>
      <w:r>
        <w:rPr>
          <w:rFonts w:hint="cs"/>
          <w:rtl/>
          <w:lang w:bidi="ar-MA"/>
        </w:rPr>
        <w:t>548-</w:t>
      </w:r>
      <w:r>
        <w:rPr>
          <w:rFonts w:hint="cs"/>
          <w:rtl/>
          <w:lang w:bidi="ar-MA"/>
        </w:rPr>
        <w:tab/>
        <w:t>وفي شهر نيسان/أبريل 2001، اع</w:t>
      </w:r>
      <w:r>
        <w:rPr>
          <w:rFonts w:hint="cs"/>
          <w:rtl/>
          <w:lang w:bidi="ar-MA"/>
        </w:rPr>
        <w:t>تمدنا برنامج تعزيز خدمات الرعاية المنزلية والمجتمعية، بغية توفير خدمات منزلية وداخلية ملائمة لتلبية احتياجات الرعاية لفرادى المسنين الذين يعانون من مشاكل صحية. ويكمن الهدف في تمكين هؤلاء الناس من العيش أطول فترة ممكنة داخل البيت. وابتداء من شهر نيسان/أبريل</w:t>
      </w:r>
      <w:r>
        <w:rPr>
          <w:rFonts w:hint="cs"/>
          <w:rtl/>
          <w:lang w:bidi="ar-MA"/>
        </w:rPr>
        <w:t xml:space="preserve"> 2003، سترتقي أفرقة المعونة المنزلية القائمة (التي شرحنا دورها في الفقرة 304 من التقرير الأولي) إلى مستوى "أفرقة متكاملة معنية بخدمات الرعاية المنزلية". وستقدم، باعتبارها كذلك، دعما أرقى لتمكين المسنين الأضعف من العيش داخل البيت لمدة أطول مما كان ممكنا. </w:t>
      </w:r>
    </w:p>
    <w:p w:rsidR="00000000" w:rsidRDefault="00443EC1">
      <w:pPr>
        <w:spacing w:line="380" w:lineRule="exact"/>
        <w:jc w:val="both"/>
        <w:rPr>
          <w:rFonts w:hint="cs"/>
          <w:i/>
          <w:iCs/>
          <w:rtl/>
          <w:lang w:bidi="ar-MA"/>
        </w:rPr>
      </w:pPr>
      <w:r>
        <w:rPr>
          <w:rFonts w:hint="cs"/>
          <w:i/>
          <w:iCs/>
          <w:rtl/>
          <w:lang w:bidi="ar-MA"/>
        </w:rPr>
        <w:t>ت</w:t>
      </w:r>
      <w:r>
        <w:rPr>
          <w:rFonts w:hint="cs"/>
          <w:i/>
          <w:iCs/>
          <w:rtl/>
          <w:lang w:bidi="ar-MA"/>
        </w:rPr>
        <w:t>قديم الدعم للمسنين الضعفاء</w:t>
      </w:r>
    </w:p>
    <w:p w:rsidR="00000000" w:rsidRDefault="00443EC1">
      <w:pPr>
        <w:spacing w:line="380" w:lineRule="exact"/>
        <w:jc w:val="both"/>
        <w:rPr>
          <w:rFonts w:hint="cs"/>
          <w:rtl/>
          <w:lang w:bidi="ar-MA"/>
        </w:rPr>
      </w:pPr>
      <w:r>
        <w:rPr>
          <w:rFonts w:hint="cs"/>
          <w:rtl/>
          <w:lang w:bidi="ar-MA"/>
        </w:rPr>
        <w:t>549-</w:t>
      </w:r>
      <w:r>
        <w:rPr>
          <w:rFonts w:hint="cs"/>
          <w:rtl/>
          <w:lang w:bidi="ar-MA"/>
        </w:rPr>
        <w:tab/>
        <w:t xml:space="preserve"> تشمل المبادرات المتخذة في هذا الصدد ما يلي:</w:t>
      </w:r>
    </w:p>
    <w:p w:rsidR="00000000" w:rsidRDefault="00443EC1">
      <w:pPr>
        <w:spacing w:line="380" w:lineRule="exact"/>
        <w:jc w:val="both"/>
        <w:rPr>
          <w:rFonts w:hint="cs"/>
          <w:rtl/>
          <w:lang w:bidi="ar-MA"/>
        </w:rPr>
      </w:pPr>
      <w:r>
        <w:rPr>
          <w:rFonts w:hint="cs"/>
          <w:rtl/>
          <w:lang w:bidi="ar-MA"/>
        </w:rPr>
        <w:tab/>
        <w:t>(أ)</w:t>
      </w:r>
      <w:r>
        <w:rPr>
          <w:rFonts w:hint="cs"/>
          <w:rtl/>
          <w:lang w:bidi="ar-MA"/>
        </w:rPr>
        <w:tab/>
      </w:r>
      <w:r>
        <w:rPr>
          <w:rFonts w:hint="cs"/>
          <w:b/>
          <w:bCs/>
          <w:rtl/>
          <w:lang w:bidi="ar-MA"/>
        </w:rPr>
        <w:t>مشروعين نموذجيين بشأن الوقاية من مشاكل إساءة معاملة المسنين والتصدي لها (بدأ تنفيذهما عام 2001):</w:t>
      </w:r>
      <w:r>
        <w:rPr>
          <w:rFonts w:hint="cs"/>
          <w:rtl/>
          <w:lang w:bidi="ar-MA"/>
        </w:rPr>
        <w:t xml:space="preserve"> سيوفر المشروعان للمسنين، في جملة أمور، التعليم المجتمعي وخط اتصالات مباشراً و</w:t>
      </w:r>
      <w:r>
        <w:rPr>
          <w:rFonts w:hint="cs"/>
          <w:rtl/>
          <w:lang w:bidi="ar-MA"/>
        </w:rPr>
        <w:t>زيارات متطوعين وبرامج لتعزيز الصحة. وسيدومان ثلاث سنوات؛</w:t>
      </w:r>
    </w:p>
    <w:p w:rsidR="00000000" w:rsidRDefault="00443EC1">
      <w:pPr>
        <w:spacing w:line="380" w:lineRule="exact"/>
        <w:jc w:val="both"/>
        <w:rPr>
          <w:rFonts w:hint="cs"/>
          <w:rtl/>
          <w:lang w:bidi="ar-MA"/>
        </w:rPr>
      </w:pPr>
      <w:r>
        <w:rPr>
          <w:rtl/>
          <w:lang w:bidi="ar-MA"/>
        </w:rPr>
        <w:tab/>
      </w:r>
      <w:r>
        <w:rPr>
          <w:rFonts w:hint="cs"/>
          <w:rtl/>
          <w:lang w:bidi="ar-MA"/>
        </w:rPr>
        <w:t>(ب)</w:t>
      </w:r>
      <w:r>
        <w:rPr>
          <w:rFonts w:hint="cs"/>
          <w:rtl/>
          <w:lang w:bidi="ar-MA"/>
        </w:rPr>
        <w:tab/>
      </w:r>
      <w:r>
        <w:rPr>
          <w:rFonts w:hint="cs"/>
          <w:b/>
          <w:bCs/>
          <w:rtl/>
          <w:lang w:bidi="ar-MA"/>
        </w:rPr>
        <w:t>مشروع بحث وبروتوكول (بدأ تنفيذه عام 2002):</w:t>
      </w:r>
      <w:r>
        <w:rPr>
          <w:rFonts w:hint="cs"/>
          <w:rtl/>
          <w:lang w:bidi="ar-MA"/>
        </w:rPr>
        <w:t xml:space="preserve"> سيوفر هذا المشروع بحوثا بشأن ظاهرة إساءة معاملة المسنين في هونغ كونغ. كما سيصوغ برتوكولا مشتركا بين القطاعات المهنية من أجل معالجة الحالات المشبوهة ووض</w:t>
      </w:r>
      <w:r>
        <w:rPr>
          <w:rFonts w:hint="cs"/>
          <w:rtl/>
          <w:lang w:bidi="ar-MA"/>
        </w:rPr>
        <w:t>ع سجل وتقديم تدريب للعاملين المعنيين. وسيستغرق إنجاز المشروع سنتين؛</w:t>
      </w:r>
    </w:p>
    <w:p w:rsidR="00000000" w:rsidRDefault="00443EC1">
      <w:pPr>
        <w:spacing w:line="380" w:lineRule="exact"/>
        <w:jc w:val="both"/>
        <w:rPr>
          <w:rFonts w:hint="cs"/>
          <w:rtl/>
          <w:lang w:bidi="ar-MA"/>
        </w:rPr>
      </w:pPr>
      <w:r>
        <w:rPr>
          <w:rtl/>
          <w:lang w:bidi="ar-MA"/>
        </w:rPr>
        <w:tab/>
      </w:r>
      <w:r>
        <w:rPr>
          <w:rFonts w:hint="cs"/>
          <w:rtl/>
          <w:lang w:bidi="ar-MA"/>
        </w:rPr>
        <w:t>(ج)</w:t>
      </w:r>
      <w:r>
        <w:rPr>
          <w:rFonts w:hint="cs"/>
          <w:rtl/>
          <w:lang w:bidi="ar-MA"/>
        </w:rPr>
        <w:tab/>
      </w:r>
      <w:r>
        <w:rPr>
          <w:rFonts w:hint="cs"/>
          <w:b/>
          <w:bCs/>
          <w:rtl/>
          <w:lang w:bidi="ar-MA"/>
        </w:rPr>
        <w:t>مشروعا مشتركا بشأن منع انتحار المسنين (منتصف عام 2001):</w:t>
      </w:r>
      <w:r>
        <w:rPr>
          <w:rFonts w:hint="cs"/>
          <w:rtl/>
          <w:lang w:bidi="ar-MA"/>
        </w:rPr>
        <w:t xml:space="preserve"> هذا المشروع الذي يدوم ثلاثة أعوام مشروع مشترك بين وزارة الرعاية الاجتماعية ومجلس هونغ كونغ المعني بالخدمات الاجتماعية وجمعية هو</w:t>
      </w:r>
      <w:r>
        <w:rPr>
          <w:rFonts w:hint="cs"/>
          <w:rtl/>
          <w:lang w:bidi="ar-MA"/>
        </w:rPr>
        <w:t>نغ كونغ لأخصائيي الطب النفسي للشيخوخة. ويُنفذ المشروع في مقاطعتين نموذجيتين. وهو يرمي إلى تنمية الوعي بالمسألة وإتاحة خط اتصالات مباشر وتيسير زيارات المتطوعين واستشارة المهنيين وتقديم خدمات العلاج؛</w:t>
      </w:r>
    </w:p>
    <w:p w:rsidR="00000000" w:rsidRDefault="00443EC1">
      <w:pPr>
        <w:spacing w:line="380" w:lineRule="exact"/>
        <w:jc w:val="both"/>
        <w:rPr>
          <w:rFonts w:hint="cs"/>
          <w:rtl/>
          <w:lang w:bidi="ar-MA"/>
        </w:rPr>
      </w:pPr>
      <w:r>
        <w:rPr>
          <w:rtl/>
          <w:lang w:bidi="ar-MA"/>
        </w:rPr>
        <w:tab/>
      </w:r>
      <w:r>
        <w:rPr>
          <w:rFonts w:hint="cs"/>
          <w:rtl/>
          <w:lang w:bidi="ar-MA"/>
        </w:rPr>
        <w:t>(د)</w:t>
      </w:r>
      <w:r>
        <w:rPr>
          <w:rFonts w:hint="cs"/>
          <w:rtl/>
          <w:lang w:bidi="ar-MA"/>
        </w:rPr>
        <w:tab/>
      </w:r>
      <w:r>
        <w:rPr>
          <w:rFonts w:hint="cs"/>
          <w:b/>
          <w:bCs/>
          <w:rtl/>
          <w:lang w:bidi="ar-MA"/>
        </w:rPr>
        <w:t>برنامج منع انتحار المسنين التابع لإدارة المستشفيات (ت</w:t>
      </w:r>
      <w:r>
        <w:rPr>
          <w:rFonts w:hint="cs"/>
          <w:b/>
          <w:bCs/>
          <w:rtl/>
          <w:lang w:bidi="ar-MA"/>
        </w:rPr>
        <w:t xml:space="preserve">شرين الأول/أكتوبر 2002): </w:t>
      </w:r>
      <w:r>
        <w:rPr>
          <w:rFonts w:hint="cs"/>
          <w:rtl/>
          <w:lang w:bidi="ar-MA"/>
        </w:rPr>
        <w:t xml:space="preserve">هذا البرنامج عبارة عن مبادرة وطنية شاملة ترمي إلى إتاحة الكشف المبكر على مستوى المجتمع المحلي وتوفير العلاج المتخصص على أيدي أخصائيين في الطب النفسي للشيخوخة في المصحات الاستعجالية. </w:t>
      </w:r>
    </w:p>
    <w:p w:rsidR="00000000" w:rsidRDefault="00443EC1">
      <w:pPr>
        <w:spacing w:line="380" w:lineRule="exact"/>
        <w:ind w:left="72"/>
        <w:jc w:val="both"/>
        <w:rPr>
          <w:rFonts w:hint="cs"/>
          <w:b/>
          <w:bCs/>
          <w:rtl/>
          <w:lang w:bidi="ar-MA"/>
        </w:rPr>
      </w:pPr>
      <w:r>
        <w:rPr>
          <w:rFonts w:hint="cs"/>
          <w:b/>
          <w:bCs/>
          <w:rtl/>
          <w:lang w:bidi="ar-MA"/>
        </w:rPr>
        <w:t>خدمات الرعاية الصحية المقدمة للمسنين الذين يعيشو</w:t>
      </w:r>
      <w:r>
        <w:rPr>
          <w:rFonts w:hint="cs"/>
          <w:b/>
          <w:bCs/>
          <w:rtl/>
          <w:lang w:bidi="ar-MA"/>
        </w:rPr>
        <w:t>ن داخل المجتمعات المحلية</w:t>
      </w:r>
    </w:p>
    <w:p w:rsidR="00000000" w:rsidRDefault="00443EC1">
      <w:pPr>
        <w:spacing w:line="380" w:lineRule="exact"/>
        <w:ind w:left="72"/>
        <w:jc w:val="both"/>
        <w:rPr>
          <w:rFonts w:hint="cs"/>
          <w:rtl/>
          <w:lang w:bidi="ar-MA"/>
        </w:rPr>
      </w:pPr>
      <w:r>
        <w:rPr>
          <w:rFonts w:hint="cs"/>
          <w:rtl/>
          <w:lang w:bidi="ar-MA"/>
        </w:rPr>
        <w:t>550-</w:t>
      </w:r>
      <w:r>
        <w:rPr>
          <w:rFonts w:hint="cs"/>
          <w:rtl/>
          <w:lang w:bidi="ar-MA"/>
        </w:rPr>
        <w:tab/>
        <w:t xml:space="preserve"> يحيط هذا الفرع اللجنة علما بالمستجدات التي انضافت إلى ما أشير إليه في الفقرات من 308 إلى 310 من التقرير الأولي. وتتمثل في ما يلي:</w:t>
      </w:r>
    </w:p>
    <w:p w:rsidR="00000000" w:rsidRDefault="00443EC1">
      <w:pPr>
        <w:spacing w:line="380" w:lineRule="exact"/>
        <w:jc w:val="both"/>
        <w:rPr>
          <w:rFonts w:hint="cs"/>
          <w:rtl/>
          <w:lang w:bidi="ar-MA"/>
        </w:rPr>
      </w:pPr>
      <w:r>
        <w:rPr>
          <w:rFonts w:hint="cs"/>
          <w:rtl/>
          <w:lang w:bidi="ar-MA"/>
        </w:rPr>
        <w:tab/>
        <w:t>(أ)</w:t>
      </w:r>
      <w:r>
        <w:rPr>
          <w:rFonts w:hint="cs"/>
          <w:rtl/>
          <w:lang w:bidi="ar-MA"/>
        </w:rPr>
        <w:tab/>
      </w:r>
      <w:r>
        <w:rPr>
          <w:rFonts w:hint="cs"/>
          <w:b/>
          <w:bCs/>
          <w:rtl/>
          <w:lang w:bidi="ar-MA"/>
        </w:rPr>
        <w:t>مراكز الصحة المخصصة للمسنين (الفقرة 308 (أ)):</w:t>
      </w:r>
      <w:r>
        <w:rPr>
          <w:rFonts w:hint="cs"/>
          <w:rtl/>
          <w:lang w:bidi="ar-MA"/>
        </w:rPr>
        <w:t xml:space="preserve"> خلال الفترة 1998-1999 والفترة 1999-2000، أنش</w:t>
      </w:r>
      <w:r>
        <w:rPr>
          <w:rFonts w:hint="cs"/>
          <w:rtl/>
          <w:lang w:bidi="ar-MA"/>
        </w:rPr>
        <w:t>أنا 11 مركزا جديدا، ليصل مجموع المراكز إلى 18 مركزا؛</w:t>
      </w:r>
    </w:p>
    <w:p w:rsidR="00000000" w:rsidRDefault="00443EC1">
      <w:pPr>
        <w:spacing w:line="380" w:lineRule="exact"/>
        <w:jc w:val="both"/>
        <w:rPr>
          <w:rFonts w:hint="cs"/>
          <w:rtl/>
          <w:lang w:bidi="ar-MA"/>
        </w:rPr>
      </w:pPr>
      <w:r>
        <w:rPr>
          <w:rFonts w:hint="cs"/>
          <w:rtl/>
          <w:lang w:bidi="ar-MA"/>
        </w:rPr>
        <w:tab/>
        <w:t>(ب)</w:t>
      </w:r>
      <w:r>
        <w:rPr>
          <w:rFonts w:hint="cs"/>
          <w:rtl/>
          <w:lang w:bidi="ar-MA"/>
        </w:rPr>
        <w:tab/>
      </w:r>
      <w:r>
        <w:rPr>
          <w:rFonts w:hint="cs"/>
          <w:b/>
          <w:bCs/>
          <w:rtl/>
          <w:lang w:bidi="ar-MA"/>
        </w:rPr>
        <w:t>أفرقة الزيارات الصحية (الفقرة 309)</w:t>
      </w:r>
      <w:r>
        <w:rPr>
          <w:rFonts w:hint="cs"/>
          <w:rtl/>
          <w:lang w:bidi="ar-MA"/>
        </w:rPr>
        <w:t xml:space="preserve">: بدأ 18 فريقا العمل خلال الفترة 1998-1999 والفترة 1999-2000. وتنشط هذه الفرق في مجال الرعاية الصحية المجتمعية والداخلية. وتقوم هناك بنشر معلومات عن العناية بالصحة </w:t>
      </w:r>
      <w:r>
        <w:rPr>
          <w:rFonts w:hint="cs"/>
          <w:rtl/>
          <w:lang w:bidi="ar-MA"/>
        </w:rPr>
        <w:t>في سن الشيخوخة، وإسداء مشورة مهنية لمقدمي الخدمات، وتوفير الدعم والتدريب للقائمين على الرعاية وتقديم اللقاحات للمسنين الذين يعيشون في دُور الرعاية الداخلية.</w:t>
      </w:r>
    </w:p>
    <w:p w:rsidR="00000000" w:rsidRDefault="00443EC1">
      <w:pPr>
        <w:spacing w:line="380" w:lineRule="exact"/>
        <w:jc w:val="both"/>
        <w:rPr>
          <w:rFonts w:hint="cs"/>
          <w:b/>
          <w:bCs/>
          <w:rtl/>
          <w:lang w:bidi="ar-MA"/>
        </w:rPr>
      </w:pPr>
      <w:r>
        <w:rPr>
          <w:rFonts w:hint="cs"/>
          <w:b/>
          <w:bCs/>
          <w:rtl/>
          <w:lang w:bidi="ar-MA"/>
        </w:rPr>
        <w:t>تمكين المسنين من أن يعيشوا حياة نشطة ومنتجة</w:t>
      </w:r>
    </w:p>
    <w:p w:rsidR="00000000" w:rsidRDefault="00443EC1">
      <w:pPr>
        <w:spacing w:line="380" w:lineRule="exact"/>
        <w:jc w:val="both"/>
        <w:rPr>
          <w:rFonts w:hint="cs"/>
          <w:rtl/>
          <w:lang w:bidi="ar-MA"/>
        </w:rPr>
      </w:pPr>
      <w:r>
        <w:rPr>
          <w:rFonts w:hint="cs"/>
          <w:rtl/>
          <w:lang w:bidi="ar-MA"/>
        </w:rPr>
        <w:t>551-</w:t>
      </w:r>
      <w:r>
        <w:rPr>
          <w:rFonts w:hint="cs"/>
          <w:rtl/>
          <w:lang w:bidi="ar-MA"/>
        </w:rPr>
        <w:tab/>
        <w:t xml:space="preserve">نحن ملتزمون بدعم المحافظة على الصحة والنشاط في سن </w:t>
      </w:r>
      <w:r>
        <w:rPr>
          <w:rFonts w:hint="cs"/>
          <w:rtl/>
          <w:lang w:bidi="ar-MA"/>
        </w:rPr>
        <w:t>الشيخوخة كي يشارك المسنون بنشاط في الأسرة والمجتمع. وتشمل أهم المبادرات ما يلي:</w:t>
      </w:r>
    </w:p>
    <w:p w:rsidR="00000000" w:rsidRDefault="00443EC1">
      <w:pPr>
        <w:spacing w:line="380" w:lineRule="exact"/>
        <w:jc w:val="both"/>
        <w:rPr>
          <w:rFonts w:hint="cs"/>
          <w:rtl/>
          <w:lang w:bidi="ar-MA"/>
        </w:rPr>
      </w:pPr>
      <w:r>
        <w:rPr>
          <w:rFonts w:hint="cs"/>
          <w:rtl/>
          <w:lang w:bidi="ar-MA"/>
        </w:rPr>
        <w:tab/>
        <w:t>(أ)</w:t>
      </w:r>
      <w:r>
        <w:rPr>
          <w:rFonts w:hint="cs"/>
          <w:rtl/>
          <w:lang w:bidi="ar-MA"/>
        </w:rPr>
        <w:tab/>
      </w:r>
      <w:r>
        <w:rPr>
          <w:rFonts w:hint="cs"/>
          <w:b/>
          <w:bCs/>
          <w:rtl/>
          <w:lang w:bidi="ar-MA"/>
        </w:rPr>
        <w:t>حملة العناية بالصحة في سن الشيخوخة</w:t>
      </w:r>
      <w:r>
        <w:rPr>
          <w:rFonts w:hint="cs"/>
          <w:rtl/>
          <w:lang w:bidi="ar-MA"/>
        </w:rPr>
        <w:t>: بدأنا هذه الحملة التي تدوم ثلاث سنوات في الفترة 2000-2001 بالتعاون مع اللجنة المعنية بالمسنين. وتهدف الحملة إلى تعزيز صحة المسنين الجسد</w:t>
      </w:r>
      <w:r>
        <w:rPr>
          <w:rFonts w:hint="cs"/>
          <w:rtl/>
          <w:lang w:bidi="ar-MA"/>
        </w:rPr>
        <w:t xml:space="preserve">ية والنفسية من خلال تدعيم المسؤولية الشخصية والإجراءات المجتمعية وإنشاء بيئة داعمة وتحسين صورة الشيخوخة. وسعينا إلى تحقيق هذه الأهداف بواسطة التثقيف العام ومشاريع الشراكة المجتمعية. ويقوم مشروع إتاحة الفرص للمسنين التابع لوزارة الرعاية الاجتماعية، لمعاضدة </w:t>
      </w:r>
      <w:r>
        <w:rPr>
          <w:rFonts w:hint="cs"/>
          <w:rtl/>
          <w:lang w:bidi="ar-MA"/>
        </w:rPr>
        <w:t>هذه الحملة، بدعم مشاريع مجتمعية ترمي إلى مساعدة المسنين على الوعي بالصحة والاعتداد بالذات؛</w:t>
      </w:r>
    </w:p>
    <w:p w:rsidR="00000000" w:rsidRDefault="00443EC1">
      <w:pPr>
        <w:spacing w:line="380" w:lineRule="exact"/>
        <w:jc w:val="both"/>
        <w:rPr>
          <w:rFonts w:hint="cs"/>
          <w:rtl/>
          <w:lang w:bidi="ar-MA"/>
        </w:rPr>
      </w:pPr>
      <w:r>
        <w:rPr>
          <w:rtl/>
          <w:lang w:bidi="ar-MA"/>
        </w:rPr>
        <w:tab/>
      </w:r>
      <w:r>
        <w:rPr>
          <w:rFonts w:hint="cs"/>
          <w:rtl/>
          <w:lang w:bidi="ar-MA"/>
        </w:rPr>
        <w:t>(ب)</w:t>
      </w:r>
      <w:r>
        <w:rPr>
          <w:rFonts w:hint="cs"/>
          <w:rtl/>
          <w:lang w:bidi="ar-MA"/>
        </w:rPr>
        <w:tab/>
      </w:r>
      <w:r>
        <w:rPr>
          <w:rFonts w:hint="cs"/>
          <w:b/>
          <w:bCs/>
          <w:rtl/>
          <w:lang w:bidi="ar-MA"/>
        </w:rPr>
        <w:t>ندوة بحث التحديات التي تواجه المسنين والفرص المتاحة لهم (حزيران/يونيه 2002):</w:t>
      </w:r>
      <w:r>
        <w:rPr>
          <w:rFonts w:hint="cs"/>
          <w:rtl/>
          <w:lang w:bidi="ar-MA"/>
        </w:rPr>
        <w:t xml:space="preserve"> مثلت هذه الندوة أيضا مبادرة مشتركة بين اللجنة المعنية بالمسنين والحكومة من أجل توعي</w:t>
      </w:r>
      <w:r>
        <w:rPr>
          <w:rFonts w:hint="cs"/>
          <w:rtl/>
          <w:lang w:bidi="ar-MA"/>
        </w:rPr>
        <w:t>ة المجتمعات المحلية بالجوانب الإيجابية المتصلة بالشيخوخة؛</w:t>
      </w:r>
    </w:p>
    <w:p w:rsidR="00000000" w:rsidRDefault="00443EC1">
      <w:pPr>
        <w:spacing w:line="380" w:lineRule="exact"/>
        <w:jc w:val="both"/>
        <w:rPr>
          <w:rFonts w:hint="cs"/>
          <w:rtl/>
          <w:lang w:bidi="ar-MA"/>
        </w:rPr>
      </w:pPr>
      <w:r>
        <w:rPr>
          <w:rtl/>
          <w:lang w:bidi="ar-MA"/>
        </w:rPr>
        <w:tab/>
      </w:r>
      <w:r>
        <w:rPr>
          <w:rFonts w:hint="cs"/>
          <w:rtl/>
          <w:lang w:bidi="ar-MA"/>
        </w:rPr>
        <w:t>(ج)</w:t>
      </w:r>
      <w:r>
        <w:rPr>
          <w:rFonts w:hint="cs"/>
          <w:rtl/>
          <w:lang w:bidi="ar-MA"/>
        </w:rPr>
        <w:tab/>
      </w:r>
      <w:r>
        <w:rPr>
          <w:rFonts w:hint="cs"/>
          <w:b/>
          <w:bCs/>
          <w:rtl/>
          <w:lang w:bidi="ar-MA"/>
        </w:rPr>
        <w:t>دورات تثقيف المسنين:</w:t>
      </w:r>
      <w:r>
        <w:rPr>
          <w:rFonts w:hint="cs"/>
          <w:rtl/>
          <w:lang w:bidi="ar-MA"/>
        </w:rPr>
        <w:t xml:space="preserve"> تتيح منظمات غير حكومية مدعومة من الحكومة للمسنين فرص التعلم مدى الحياة والمحافظة على النشاط. وتوفر وزارة الرعاية الاجتماعية، علاوة على ذلك، تدريبا مجانيا في مجال الحاسوب/ال</w:t>
      </w:r>
      <w:r>
        <w:rPr>
          <w:rFonts w:hint="cs"/>
          <w:rtl/>
          <w:lang w:bidi="ar-MA"/>
        </w:rPr>
        <w:t>إنترنت في مراكز الخدمات المقدمة إلى المسنين؛</w:t>
      </w:r>
    </w:p>
    <w:p w:rsidR="00000000" w:rsidRDefault="00443EC1">
      <w:pPr>
        <w:spacing w:line="380" w:lineRule="exact"/>
        <w:jc w:val="both"/>
        <w:rPr>
          <w:rFonts w:hint="cs"/>
          <w:rtl/>
          <w:lang w:bidi="ar-MA"/>
        </w:rPr>
      </w:pPr>
      <w:r>
        <w:rPr>
          <w:rtl/>
          <w:lang w:bidi="ar-MA"/>
        </w:rPr>
        <w:tab/>
      </w:r>
      <w:r>
        <w:rPr>
          <w:rFonts w:hint="cs"/>
          <w:rtl/>
          <w:lang w:bidi="ar-MA"/>
        </w:rPr>
        <w:t>(د)</w:t>
      </w:r>
      <w:r>
        <w:rPr>
          <w:rFonts w:hint="cs"/>
          <w:rtl/>
          <w:lang w:bidi="ar-MA"/>
        </w:rPr>
        <w:tab/>
      </w:r>
      <w:r>
        <w:rPr>
          <w:rFonts w:hint="cs"/>
          <w:b/>
          <w:bCs/>
          <w:rtl/>
          <w:lang w:bidi="ar-MA"/>
        </w:rPr>
        <w:t>خدمات الدعم المجتمعي</w:t>
      </w:r>
      <w:r>
        <w:rPr>
          <w:rFonts w:hint="cs"/>
          <w:rtl/>
          <w:lang w:bidi="ar-MA"/>
        </w:rPr>
        <w:t>: ترمي هذه المبادرة الحكومية الهامة إلى تقديم الرعاية والدعم الشاملين إلى المسنين الذين يعيشون داخل المجتمع المحلي، كما ترمي في جملة أمور إلى تشجيع المسنين على تشكيل مجموعات المساعدة الذ</w:t>
      </w:r>
      <w:r>
        <w:rPr>
          <w:rFonts w:hint="cs"/>
          <w:rtl/>
          <w:lang w:bidi="ar-MA"/>
        </w:rPr>
        <w:t>اتية والدعم المتبادل ومواصلة الإسهام في المجتمع؛</w:t>
      </w:r>
    </w:p>
    <w:p w:rsidR="00000000" w:rsidRDefault="00443EC1">
      <w:pPr>
        <w:spacing w:line="380" w:lineRule="exact"/>
        <w:jc w:val="both"/>
        <w:rPr>
          <w:rFonts w:hint="cs"/>
          <w:rtl/>
          <w:lang w:bidi="ar-MA"/>
        </w:rPr>
      </w:pPr>
      <w:r>
        <w:rPr>
          <w:rtl/>
          <w:lang w:bidi="ar-MA"/>
        </w:rPr>
        <w:tab/>
      </w:r>
      <w:r>
        <w:rPr>
          <w:rFonts w:hint="cs"/>
          <w:rtl/>
          <w:lang w:bidi="ar-MA"/>
        </w:rPr>
        <w:t>(</w:t>
      </w:r>
      <w:r>
        <w:rPr>
          <w:rFonts w:hint="cs"/>
          <w:rtl/>
        </w:rPr>
        <w:t>ه‍</w:t>
      </w:r>
      <w:r>
        <w:rPr>
          <w:rFonts w:hint="cs"/>
          <w:rtl/>
          <w:lang w:bidi="ar-MA"/>
        </w:rPr>
        <w:t>)</w:t>
      </w:r>
      <w:r>
        <w:rPr>
          <w:rFonts w:hint="cs"/>
          <w:rtl/>
          <w:lang w:bidi="ar-MA"/>
        </w:rPr>
        <w:tab/>
      </w:r>
      <w:r>
        <w:rPr>
          <w:rFonts w:hint="cs"/>
          <w:b/>
          <w:bCs/>
          <w:rtl/>
          <w:lang w:bidi="ar-MA"/>
        </w:rPr>
        <w:t>تطوع المسنين:</w:t>
      </w:r>
      <w:r>
        <w:rPr>
          <w:rFonts w:hint="cs"/>
          <w:rtl/>
          <w:lang w:bidi="ar-MA"/>
        </w:rPr>
        <w:t xml:space="preserve"> تدعم وزارة الرعاية الاجتماعية "أفرقة الدعم المعنية بالمسنين" بغية تشجيع المسنين على المشاركة في العمل التطوعي. وبحلول كانون الأول/ديسمبر 2002، كان أكثر من 500 9 مسن قد رفع هذا التحدي. </w:t>
      </w:r>
    </w:p>
    <w:p w:rsidR="00000000" w:rsidRDefault="00443EC1">
      <w:pPr>
        <w:spacing w:line="380" w:lineRule="exact"/>
        <w:jc w:val="both"/>
        <w:rPr>
          <w:rFonts w:hint="cs"/>
          <w:b/>
          <w:bCs/>
          <w:rtl/>
          <w:lang w:bidi="ar-MA"/>
        </w:rPr>
      </w:pPr>
      <w:r>
        <w:rPr>
          <w:rFonts w:hint="cs"/>
          <w:b/>
          <w:bCs/>
          <w:rtl/>
          <w:lang w:bidi="ar-MA"/>
        </w:rPr>
        <w:t>ال</w:t>
      </w:r>
      <w:r>
        <w:rPr>
          <w:rFonts w:hint="cs"/>
          <w:b/>
          <w:bCs/>
          <w:rtl/>
          <w:lang w:bidi="ar-MA"/>
        </w:rPr>
        <w:t>دعم المالي المقدم إلى المسنين</w:t>
      </w:r>
    </w:p>
    <w:p w:rsidR="00000000" w:rsidRDefault="00443EC1">
      <w:pPr>
        <w:spacing w:line="380" w:lineRule="exact"/>
        <w:jc w:val="both"/>
        <w:rPr>
          <w:rFonts w:hint="cs"/>
          <w:rtl/>
          <w:lang w:bidi="ar-MA"/>
        </w:rPr>
      </w:pPr>
      <w:r>
        <w:rPr>
          <w:rFonts w:hint="cs"/>
          <w:rtl/>
          <w:lang w:bidi="ar-MA"/>
        </w:rPr>
        <w:t>552-</w:t>
      </w:r>
      <w:r>
        <w:rPr>
          <w:rFonts w:hint="cs"/>
          <w:rtl/>
          <w:lang w:bidi="ar-MA"/>
        </w:rPr>
        <w:tab/>
        <w:t>باستطاعة المسنين الذين يحتاجون إلى مساعدة مالية أن يطلبوا المعونة من نظام المساعدة الشامل في إطار الضمان الاجتماعي (انظر الفقرة 447 أعلاه في ما يتصل بالمادة 9). كما يمكنهم أن يطلبوا الحصول على بدل الشيخوخة، الذي تطرقنا إل</w:t>
      </w:r>
      <w:r>
        <w:rPr>
          <w:rFonts w:hint="cs"/>
          <w:rtl/>
          <w:lang w:bidi="ar-MA"/>
        </w:rPr>
        <w:t>يه في الفقرتين 157 و158 من التقرير الأولي. وفي نهاية كانون الأول/ديسمبر 2002، كان نحو 000 170 مستفيد من نظام المساعدة الشاملة (قرابة 36.5 في المائة من مجموع المستفيدين) في سن 60 عاما فما فوق، ونحو 000 456 شخص من البالغين 65 عاما فما فوق يتلقون منحة الشيخوخ</w:t>
      </w:r>
      <w:r>
        <w:rPr>
          <w:rFonts w:hint="cs"/>
          <w:rtl/>
          <w:lang w:bidi="ar-MA"/>
        </w:rPr>
        <w:t>ة. وإجمالا، كان قرابة 000 626 شخص من البالغين 60 عاما فما فوق (حوالي 61 في المائة من الفئة العمرية)</w:t>
      </w:r>
      <w:r>
        <w:rPr>
          <w:rFonts w:hint="cs"/>
          <w:vertAlign w:val="superscript"/>
          <w:rtl/>
          <w:lang w:bidi="ar-MA"/>
        </w:rPr>
        <w:t>(33)</w:t>
      </w:r>
      <w:r>
        <w:rPr>
          <w:rFonts w:hint="cs"/>
          <w:rtl/>
          <w:lang w:bidi="ar-MA"/>
        </w:rPr>
        <w:t xml:space="preserve"> يتلقون مدفوعات في إطار نظام المساعدة الشاملة وبدل الشيخوخة. وخلال السنة المالية 2002-2003، سننفق مبلغا إجماليا يقدر بنحو 11.8 مليارا من الدولارات على ال</w:t>
      </w:r>
      <w:r>
        <w:rPr>
          <w:rFonts w:hint="cs"/>
          <w:rtl/>
          <w:lang w:bidi="ar-MA"/>
        </w:rPr>
        <w:t xml:space="preserve">مساعدة المالية المقدمة إلى المسنين في إطار النظامين. </w:t>
      </w:r>
    </w:p>
    <w:p w:rsidR="00000000" w:rsidRDefault="00443EC1">
      <w:pPr>
        <w:spacing w:line="380" w:lineRule="exact"/>
        <w:jc w:val="both"/>
        <w:rPr>
          <w:rFonts w:hint="cs"/>
          <w:rtl/>
          <w:lang w:bidi="ar-MA"/>
        </w:rPr>
      </w:pPr>
      <w:r>
        <w:rPr>
          <w:rFonts w:hint="cs"/>
          <w:rtl/>
          <w:lang w:bidi="ar-MA"/>
        </w:rPr>
        <w:t>553-</w:t>
      </w:r>
      <w:r>
        <w:rPr>
          <w:rFonts w:hint="cs"/>
          <w:rtl/>
          <w:lang w:bidi="ar-MA"/>
        </w:rPr>
        <w:tab/>
        <w:t>وقد قمنا باستعراض نظم الضمان الاجتماعي القائمة الخاصة بالمسنين في ضوء شيخوخة السكان وتغير ظروف المسنين في هونغ كونغ. ويتمثل هدفنا على المدى الطويل في وضع نظام مستدام لتقديم الدعم المالي للمسنين، با</w:t>
      </w:r>
      <w:r>
        <w:rPr>
          <w:rFonts w:hint="cs"/>
          <w:rtl/>
          <w:lang w:bidi="ar-MA"/>
        </w:rPr>
        <w:t xml:space="preserve">لاستناد إلى نهج الدعائم الثلاث إزاء حماية المسنين من الناحية المالية، الذي يعتمده البنك الدولي. وتتسم المسائل بالتعقيد، ولسوف نحتاج إلى وقت للتعمق في بحثها. </w:t>
      </w:r>
    </w:p>
    <w:p w:rsidR="00000000" w:rsidRDefault="00443EC1">
      <w:pPr>
        <w:spacing w:line="380" w:lineRule="exact"/>
        <w:jc w:val="both"/>
        <w:rPr>
          <w:rFonts w:hint="cs"/>
          <w:b/>
          <w:bCs/>
          <w:rtl/>
          <w:lang w:bidi="ar-MA"/>
        </w:rPr>
      </w:pPr>
      <w:r>
        <w:rPr>
          <w:rFonts w:hint="cs"/>
          <w:b/>
          <w:bCs/>
          <w:rtl/>
          <w:lang w:bidi="ar-MA"/>
        </w:rPr>
        <w:t>خدمات الرعاية الداخلية المقدمة للمسنين</w:t>
      </w:r>
    </w:p>
    <w:p w:rsidR="00000000" w:rsidRDefault="00443EC1">
      <w:pPr>
        <w:spacing w:line="380" w:lineRule="exact"/>
        <w:jc w:val="both"/>
        <w:rPr>
          <w:rFonts w:hint="cs"/>
          <w:rtl/>
          <w:lang w:bidi="ar-MA"/>
        </w:rPr>
      </w:pPr>
      <w:r>
        <w:rPr>
          <w:rFonts w:hint="cs"/>
          <w:rtl/>
          <w:lang w:bidi="ar-MA"/>
        </w:rPr>
        <w:t>554-</w:t>
      </w:r>
      <w:r>
        <w:rPr>
          <w:rFonts w:hint="cs"/>
          <w:rtl/>
          <w:lang w:bidi="ar-MA"/>
        </w:rPr>
        <w:tab/>
        <w:t>في نهاية عام 2002، كنا نوفر ما يزيد على 000 20 مكان مد</w:t>
      </w:r>
      <w:r>
        <w:rPr>
          <w:rFonts w:hint="cs"/>
          <w:rtl/>
          <w:lang w:bidi="ar-MA"/>
        </w:rPr>
        <w:t>عوم داخل دور الرعاية</w:t>
      </w:r>
      <w:r>
        <w:rPr>
          <w:rFonts w:hint="cs"/>
          <w:vertAlign w:val="superscript"/>
          <w:rtl/>
          <w:lang w:bidi="ar-MA"/>
        </w:rPr>
        <w:t>(34)</w:t>
      </w:r>
      <w:r>
        <w:rPr>
          <w:rFonts w:hint="cs"/>
          <w:rtl/>
          <w:lang w:bidi="ar-MA"/>
        </w:rPr>
        <w:t xml:space="preserve">. كما كان هناك أيضا ما يزيد على 000 43 مكان في دور الرعاية الخاصة (اشترت منها الحكومة 800 5 مكان)، وما يربو على 900 2 مكان ذاتي التمويل في دور الرعاية الذاتية ودور الرعاية والعناية. وما زلنا نوفر أماكن تمريض لمن يحتاجون إلى الرعاية </w:t>
      </w:r>
      <w:r>
        <w:rPr>
          <w:rFonts w:hint="cs"/>
          <w:rtl/>
          <w:lang w:bidi="ar-MA"/>
        </w:rPr>
        <w:t xml:space="preserve">الطبية والتمريضية. </w:t>
      </w:r>
    </w:p>
    <w:p w:rsidR="00000000" w:rsidRDefault="00443EC1">
      <w:pPr>
        <w:spacing w:line="380" w:lineRule="exact"/>
        <w:jc w:val="both"/>
        <w:rPr>
          <w:rFonts w:hint="cs"/>
          <w:rtl/>
          <w:lang w:bidi="ar-MA"/>
        </w:rPr>
      </w:pPr>
      <w:r>
        <w:rPr>
          <w:rFonts w:hint="cs"/>
          <w:rtl/>
          <w:lang w:bidi="ar-MA"/>
        </w:rPr>
        <w:t>555-</w:t>
      </w:r>
      <w:r>
        <w:rPr>
          <w:rFonts w:hint="cs"/>
          <w:rtl/>
          <w:lang w:bidi="ar-MA"/>
        </w:rPr>
        <w:tab/>
        <w:t>وسنقوم تدريجيا، بغية ترشيد استخدام الموارد المجتمعية، بإزالة دور الرعاية الذاتية الخاصة بالمسنين، كي نركز على العناية بالمسنين الذين يحتاجون إلى الرعاية. وسنستجيب إلى احتياجات السكن من خلال برنامج الإسكان والاحتياجات النفسية الاجتم</w:t>
      </w:r>
      <w:r>
        <w:rPr>
          <w:rFonts w:hint="cs"/>
          <w:rtl/>
          <w:lang w:bidi="ar-MA"/>
        </w:rPr>
        <w:t xml:space="preserve">اعية من خلال خدمات الدعم المجتمعي. ويتوافق ذلك مع استراتيجية تشجيع المسنين ومساعدتهم على العيش في بيوتهم أطول فترة ممكنة والبقاء داخل الوسط المجتمعي. </w:t>
      </w:r>
    </w:p>
    <w:p w:rsidR="00000000" w:rsidRDefault="00443EC1">
      <w:pPr>
        <w:spacing w:line="380" w:lineRule="exact"/>
        <w:jc w:val="both"/>
        <w:rPr>
          <w:rFonts w:hint="cs"/>
          <w:rtl/>
          <w:lang w:bidi="ar-MA"/>
        </w:rPr>
      </w:pPr>
      <w:r>
        <w:rPr>
          <w:rFonts w:hint="cs"/>
          <w:rtl/>
          <w:lang w:bidi="ar-MA"/>
        </w:rPr>
        <w:t>556-</w:t>
      </w:r>
      <w:r>
        <w:rPr>
          <w:rFonts w:hint="cs"/>
          <w:rtl/>
          <w:lang w:bidi="ar-MA"/>
        </w:rPr>
        <w:tab/>
        <w:t>ونحن بصدد دمج مختلف مستويات الرعاية طويلة المدى التي اعتادت تقديمها مؤسسات شتى، بغية تلبية الاحتياجا</w:t>
      </w:r>
      <w:r>
        <w:rPr>
          <w:rFonts w:hint="cs"/>
          <w:rtl/>
          <w:lang w:bidi="ar-MA"/>
        </w:rPr>
        <w:t>ت المتغيرة للمسنين الذين لا يحظون بالرعاية الكافية في البيت. ونستند في ذلك إلى الخبرة المكتسبة في المشروع النموذجي المشار إليه في الفقرة 321 من التقرير الأولي ومن خلال تأجير المواقع (انظر الفقرة 557 أدناه). والغرض من ذلك تمكين نوع بعينه من دور الرعاية من ت</w:t>
      </w:r>
      <w:r>
        <w:rPr>
          <w:rFonts w:hint="cs"/>
          <w:rtl/>
          <w:lang w:bidi="ar-MA"/>
        </w:rPr>
        <w:t>قديم مجموعة مسترسلة من الخدمات، بما يحد من اضطرار المسنين إلى تغيير الخدمات عندما تتدهور صحتهم.</w:t>
      </w:r>
    </w:p>
    <w:p w:rsidR="00000000" w:rsidRDefault="00443EC1">
      <w:pPr>
        <w:spacing w:line="380" w:lineRule="exact"/>
        <w:jc w:val="both"/>
        <w:rPr>
          <w:rFonts w:hint="cs"/>
          <w:rtl/>
          <w:lang w:bidi="ar-MA"/>
        </w:rPr>
      </w:pPr>
      <w:r>
        <w:rPr>
          <w:rFonts w:hint="cs"/>
          <w:rtl/>
          <w:lang w:bidi="ar-MA"/>
        </w:rPr>
        <w:t>557-</w:t>
      </w:r>
      <w:r>
        <w:rPr>
          <w:rFonts w:hint="cs"/>
          <w:rtl/>
          <w:lang w:bidi="ar-MA"/>
        </w:rPr>
        <w:tab/>
        <w:t>ودعما لتحسين الخدمات، سنواصل تشجيع المنظمات غير الحكومية والقطاع الخاص على تقديم مزيج من الخدمات. ونقوم حاليا بانتقاء المشغلين عن طريق العروض العلنية، وذلك</w:t>
      </w:r>
      <w:r>
        <w:rPr>
          <w:rFonts w:hint="cs"/>
          <w:rtl/>
          <w:lang w:bidi="ar-MA"/>
        </w:rPr>
        <w:t xml:space="preserve"> بإشراك المنظمات غير الحكومية والقطاع الخاص على حد سواء. وتسند العقود بالتركيز على النوعية أكثر منه على التكلفة. وسيخضع المشغلون للرصد عن كثب لضمان امتثالهم لشروط العقد ومعايير الأداء المتفق عليها. </w:t>
      </w:r>
    </w:p>
    <w:p w:rsidR="00000000" w:rsidRDefault="00443EC1">
      <w:pPr>
        <w:spacing w:line="380" w:lineRule="exact"/>
        <w:jc w:val="both"/>
        <w:rPr>
          <w:rFonts w:hint="cs"/>
          <w:rtl/>
          <w:lang w:bidi="ar-MA"/>
        </w:rPr>
      </w:pPr>
      <w:r>
        <w:rPr>
          <w:rFonts w:hint="cs"/>
          <w:rtl/>
          <w:lang w:bidi="ar-MA"/>
        </w:rPr>
        <w:t>558-</w:t>
      </w:r>
      <w:r>
        <w:rPr>
          <w:rFonts w:hint="cs"/>
          <w:rtl/>
          <w:lang w:bidi="ar-MA"/>
        </w:rPr>
        <w:tab/>
        <w:t xml:space="preserve">وفي منتصف عام 2002، أمرنا بإجراء دراسة استشارية على </w:t>
      </w:r>
      <w:r>
        <w:rPr>
          <w:rFonts w:hint="cs"/>
          <w:rtl/>
          <w:lang w:bidi="ar-MA"/>
        </w:rPr>
        <w:t xml:space="preserve">مدى سنتين بخصوص إنشاء نظام اعتماد يتعلق بدور رعاية المسنين. والهدف من ذلك الرقي بنوعية الخدمات. </w:t>
      </w:r>
    </w:p>
    <w:p w:rsidR="00000000" w:rsidRDefault="00443EC1">
      <w:pPr>
        <w:spacing w:line="380" w:lineRule="exact"/>
        <w:jc w:val="center"/>
        <w:rPr>
          <w:rFonts w:hint="cs"/>
          <w:b/>
          <w:bCs/>
          <w:rtl/>
        </w:rPr>
      </w:pPr>
      <w:r>
        <w:rPr>
          <w:rFonts w:hint="cs"/>
          <w:b/>
          <w:bCs/>
          <w:rtl/>
        </w:rPr>
        <w:t>كاف - المادة 11</w:t>
      </w:r>
    </w:p>
    <w:p w:rsidR="00000000" w:rsidRDefault="00443EC1">
      <w:pPr>
        <w:spacing w:line="380" w:lineRule="exact"/>
        <w:jc w:val="center"/>
        <w:rPr>
          <w:rFonts w:hint="cs"/>
          <w:b/>
          <w:bCs/>
          <w:rtl/>
        </w:rPr>
      </w:pPr>
      <w:r>
        <w:rPr>
          <w:rFonts w:hint="cs"/>
          <w:b/>
          <w:bCs/>
          <w:rtl/>
        </w:rPr>
        <w:t>الحق في مستوى معيشي لائق</w:t>
      </w:r>
    </w:p>
    <w:p w:rsidR="00000000" w:rsidRDefault="00443EC1">
      <w:pPr>
        <w:spacing w:line="380" w:lineRule="exact"/>
        <w:jc w:val="both"/>
        <w:rPr>
          <w:i/>
          <w:iCs/>
          <w:rtl/>
        </w:rPr>
      </w:pPr>
      <w:r>
        <w:rPr>
          <w:rFonts w:hint="cs"/>
          <w:i/>
          <w:iCs/>
          <w:rtl/>
        </w:rPr>
        <w:t>المؤشرات الاقتصادية</w:t>
      </w:r>
    </w:p>
    <w:p w:rsidR="00000000" w:rsidRDefault="00443EC1">
      <w:pPr>
        <w:spacing w:line="380" w:lineRule="exact"/>
        <w:jc w:val="both"/>
        <w:rPr>
          <w:rFonts w:hint="cs"/>
          <w:spacing w:val="2"/>
          <w:rtl/>
        </w:rPr>
      </w:pPr>
      <w:r>
        <w:rPr>
          <w:rFonts w:hint="cs"/>
          <w:spacing w:val="2"/>
          <w:rtl/>
        </w:rPr>
        <w:t>559-</w:t>
      </w:r>
      <w:r>
        <w:rPr>
          <w:rFonts w:hint="cs"/>
          <w:spacing w:val="2"/>
          <w:rtl/>
        </w:rPr>
        <w:tab/>
        <w:t>عانى الاقتصاد في هونغ كونغ من انتكاسة واضحة في عامي 1998 و1999 نتيجة للأزمة المالية الآسيوية،</w:t>
      </w:r>
      <w:r>
        <w:rPr>
          <w:rFonts w:hint="cs"/>
          <w:spacing w:val="2"/>
          <w:rtl/>
        </w:rPr>
        <w:t xml:space="preserve"> كما عانى من هذه الانتكاسة في النصف الأخير من عام 2001 بسبب الاتجاه التنازلي المتزامن الذي شهده الاقتصاد العالمي. وقد انخفض مجموع صادرات السلع بشكل ملحوظ خلال هاتين الفترتين. وتراجع الطلب المحلي كذلك. كما انخفض إنفاق المستهلكين بخاصة في خضمّ ارتفاع البطالة</w:t>
      </w:r>
      <w:r>
        <w:rPr>
          <w:rFonts w:hint="cs"/>
          <w:spacing w:val="2"/>
          <w:rtl/>
        </w:rPr>
        <w:t xml:space="preserve"> والحد من زيادة الأجور واستمرار انخفاض أسعار الأصول، في حين تراجعت نفقات الاستثمار بسبب الانكماش الاقتصادي والتوقعات التجارية الغامضة.</w:t>
      </w:r>
    </w:p>
    <w:p w:rsidR="00000000" w:rsidRDefault="00443EC1">
      <w:pPr>
        <w:spacing w:line="380" w:lineRule="exact"/>
        <w:jc w:val="both"/>
        <w:rPr>
          <w:rFonts w:hint="cs"/>
          <w:rtl/>
        </w:rPr>
      </w:pPr>
      <w:r>
        <w:rPr>
          <w:rFonts w:hint="cs"/>
          <w:rtl/>
        </w:rPr>
        <w:t>560-</w:t>
      </w:r>
      <w:r>
        <w:rPr>
          <w:rFonts w:hint="cs"/>
          <w:rtl/>
        </w:rPr>
        <w:tab/>
        <w:t xml:space="preserve">وعلى الرغم من ذلك، ارتفع النمو الاقتصادي في هونغ كونغ على مدى عام 2002، وساعده على ذلك </w:t>
      </w:r>
      <w:r>
        <w:rPr>
          <w:rFonts w:hint="cs"/>
          <w:spacing w:val="4"/>
          <w:rtl/>
        </w:rPr>
        <w:t xml:space="preserve">الأداء الجيد للقطاع الخارجي. </w:t>
      </w:r>
      <w:r>
        <w:rPr>
          <w:rFonts w:hint="cs"/>
          <w:spacing w:val="4"/>
          <w:rtl/>
        </w:rPr>
        <w:t xml:space="preserve">كما ارتفع الناتج المحلي الإجمالي بنسبة 2.3 في المائة بالقيمة الحقيقية في عام 2002، </w:t>
      </w:r>
      <w:r>
        <w:rPr>
          <w:rFonts w:hint="cs"/>
          <w:rtl/>
        </w:rPr>
        <w:t>متجاوزاً بذلك الارتفاع الذي شهده عام 2001 والذي بلغ نسبة 0.6 في المائة. وارتفع الناتج المحلي الإجمالي، مقارنة مع عام 1992، بمتوسط سنوي بلغ 4 في المائة بالقيمة الحقيقية، متجا</w:t>
      </w:r>
      <w:r>
        <w:rPr>
          <w:rFonts w:hint="cs"/>
          <w:rtl/>
        </w:rPr>
        <w:t>وزا بذلك المتوسط السنوي الذي شهدته كل البلدان الأعضاء في منظمة التعاون والتنمية في الميدان الاقتصادي والذي بلغ 3 في المائة. وبقي الناتج المحلي الإجمالي الفردي، الذي بلغ في عام 2002 مقدار 300 187 دولار من دولارات هونغ كونغ (أي ما يعادل 010 24 دولار من دولار</w:t>
      </w:r>
      <w:r>
        <w:rPr>
          <w:rFonts w:hint="cs"/>
          <w:rtl/>
        </w:rPr>
        <w:t>ات الولايات المتحدة) في عام 2002، من أعلى النواتج المحلية الإجمالية الفردية في آسيا.</w:t>
      </w:r>
    </w:p>
    <w:p w:rsidR="00000000" w:rsidRDefault="00443EC1">
      <w:pPr>
        <w:spacing w:line="380" w:lineRule="exact"/>
        <w:jc w:val="both"/>
        <w:rPr>
          <w:rFonts w:hint="cs"/>
          <w:rtl/>
        </w:rPr>
      </w:pPr>
      <w:r>
        <w:rPr>
          <w:rFonts w:hint="cs"/>
          <w:rtl/>
        </w:rPr>
        <w:t>561-</w:t>
      </w:r>
      <w:r>
        <w:rPr>
          <w:rFonts w:hint="cs"/>
          <w:rtl/>
        </w:rPr>
        <w:tab/>
        <w:t>وما انفكت أسعار الاستهلاك تنخفض منذ أواخر عام 1998، تحت تأثير مزيج من تردّي ظروف الطلب في الاقتصاد المحلي وخفض أسعار الواردات عموماً. كما ساهمت تدابير الإعانات التي ن</w:t>
      </w:r>
      <w:r>
        <w:rPr>
          <w:rFonts w:hint="cs"/>
          <w:rtl/>
        </w:rPr>
        <w:t>فذتها الحكومة في السنتين الماضيتين في هذا الوضع. وفي عام 2002، انخفض الرقم القياسي لأسعار الاستهلاك المركب بنسبة 3.0 في المائة.</w:t>
      </w:r>
    </w:p>
    <w:p w:rsidR="00000000" w:rsidRDefault="00443EC1">
      <w:pPr>
        <w:spacing w:line="380" w:lineRule="exact"/>
        <w:jc w:val="both"/>
        <w:rPr>
          <w:rFonts w:hint="cs"/>
          <w:rtl/>
        </w:rPr>
      </w:pPr>
      <w:r>
        <w:rPr>
          <w:rFonts w:hint="cs"/>
          <w:rtl/>
        </w:rPr>
        <w:t>562-</w:t>
      </w:r>
      <w:r>
        <w:rPr>
          <w:rFonts w:hint="cs"/>
          <w:rtl/>
        </w:rPr>
        <w:tab/>
        <w:t xml:space="preserve">وظلت سوق العمالة راكدة في معظم الأوقات في السنوات الأخيرة. وشهد </w:t>
      </w:r>
      <w:r>
        <w:rPr>
          <w:rtl/>
        </w:rPr>
        <w:t xml:space="preserve">معدل البطالة </w:t>
      </w:r>
      <w:r>
        <w:rPr>
          <w:rFonts w:hint="cs"/>
          <w:rtl/>
        </w:rPr>
        <w:t>المعدّل موسمياً ارتفاعاً بنسبة 7.8 في المائة ف</w:t>
      </w:r>
      <w:r>
        <w:rPr>
          <w:rFonts w:hint="cs"/>
          <w:rtl/>
        </w:rPr>
        <w:t>ي منتصف عام 2002. إلا أنه تراجع مؤخراً إلى 7.2 في الشهور الثلاثة المنتهية في كانون الثاني/يناير 2003. وعلى الرغم من أن ارتفاع البطالة شهدته جميع الفئات المهنية تقريباً، إلا أنه كان جلياً بالخصوص في صفوف أقل العمال تعليماً ومهارة.</w:t>
      </w:r>
    </w:p>
    <w:p w:rsidR="00000000" w:rsidRDefault="00443EC1">
      <w:pPr>
        <w:spacing w:line="380" w:lineRule="exact"/>
        <w:jc w:val="both"/>
        <w:rPr>
          <w:rFonts w:hint="cs"/>
          <w:rtl/>
        </w:rPr>
      </w:pPr>
      <w:r>
        <w:rPr>
          <w:rFonts w:hint="cs"/>
          <w:rtl/>
        </w:rPr>
        <w:t>563-</w:t>
      </w:r>
      <w:r>
        <w:rPr>
          <w:rFonts w:hint="cs"/>
          <w:rtl/>
        </w:rPr>
        <w:tab/>
        <w:t>وظل دخل العمل يسير في</w:t>
      </w:r>
      <w:r>
        <w:rPr>
          <w:rFonts w:hint="cs"/>
          <w:rtl/>
        </w:rPr>
        <w:t xml:space="preserve"> اتجاه متوسط. ففي أيلول/سبتمبر 2002، انخفضت أجور العمل بمعدل 1.5 في المائة حسب القيمة النقدية منذ ما يزيد على العام، بعدما شهدت ارتفاعا بسيطا في عام 2001 بمعدل 0.8 في المائة. بيد أنه وبعد احتساب انخفاض أسعار الاستهلاك، استمرت أجور العمل في الارتفاع بنسبة 2</w:t>
      </w:r>
      <w:r>
        <w:rPr>
          <w:rFonts w:hint="cs"/>
          <w:rtl/>
        </w:rPr>
        <w:t>.8 في المائة بالقيمة الحقيقية في أيلول/سبتمبر 2002 منذ ما يزيد على العام، على الرغم من أن نسبة هذا الارتفاع تقل عن تلك التي شهدها عام 2001 والتي بلغت 3.4 في المائة.</w:t>
      </w:r>
    </w:p>
    <w:p w:rsidR="00000000" w:rsidRDefault="00443EC1">
      <w:pPr>
        <w:spacing w:line="380" w:lineRule="exact"/>
        <w:jc w:val="both"/>
        <w:rPr>
          <w:rtl/>
        </w:rPr>
      </w:pPr>
      <w:r>
        <w:rPr>
          <w:rFonts w:hint="cs"/>
          <w:rtl/>
        </w:rPr>
        <w:t>564-</w:t>
      </w:r>
      <w:r>
        <w:rPr>
          <w:rFonts w:hint="cs"/>
          <w:rtl/>
        </w:rPr>
        <w:tab/>
        <w:t>ويُتوقَّع أن يرتفع الناتج المحلي الإجمالي، على المدى القصير، بنسبة 3 في المائة بالقيمة</w:t>
      </w:r>
      <w:r>
        <w:rPr>
          <w:rFonts w:hint="cs"/>
          <w:rtl/>
        </w:rPr>
        <w:t xml:space="preserve"> الحقيقية في عام 2003. وستظل القوة الدافعة للنمو تأتي من قطاع الصادرات، في أعقاب انخفاض الدولار الأمريكي، وكذا نتيجة للنمو الاقتصادي الجيد والمطرد في الصين القارية وبفضل المزيد من الانتعاش في الاقتصادات الأخرى لبلدان شرقي آسيا. كما يُتوقع أن يتقوى الطلب ال</w:t>
      </w:r>
      <w:r>
        <w:rPr>
          <w:rFonts w:hint="cs"/>
          <w:rtl/>
        </w:rPr>
        <w:t>محلي بعض الشيء في عام 2003، بما أن الآثار التي يخلفها نمو الصادرات على الدخل تتسرب تدريجيا لتمس القطاع المحلي.</w:t>
      </w:r>
    </w:p>
    <w:p w:rsidR="00000000" w:rsidRDefault="00443EC1">
      <w:pPr>
        <w:spacing w:line="380" w:lineRule="exact"/>
        <w:jc w:val="both"/>
        <w:rPr>
          <w:rFonts w:hint="cs"/>
          <w:i/>
          <w:iCs/>
          <w:rtl/>
        </w:rPr>
      </w:pPr>
      <w:r>
        <w:rPr>
          <w:rFonts w:hint="cs"/>
          <w:i/>
          <w:iCs/>
          <w:rtl/>
        </w:rPr>
        <w:t>إعادة تنظيم الهيكل الاقتصادي</w:t>
      </w:r>
    </w:p>
    <w:p w:rsidR="00000000" w:rsidRDefault="00443EC1">
      <w:pPr>
        <w:spacing w:line="380" w:lineRule="exact"/>
        <w:jc w:val="both"/>
        <w:rPr>
          <w:rFonts w:hint="cs"/>
          <w:rtl/>
        </w:rPr>
      </w:pPr>
      <w:r>
        <w:rPr>
          <w:rFonts w:hint="cs"/>
          <w:rtl/>
        </w:rPr>
        <w:t>565-</w:t>
      </w:r>
      <w:r>
        <w:rPr>
          <w:rFonts w:hint="cs"/>
          <w:rtl/>
        </w:rPr>
        <w:tab/>
        <w:t>ما انفك اقتصاد هونغ كونغ يتحول إلى اقتصاد يعتمد على توفير الخدمات، كما ينم على ذلك الارتفاع المستمر في حصة قطاع</w:t>
      </w:r>
      <w:r>
        <w:rPr>
          <w:rFonts w:hint="cs"/>
          <w:rtl/>
        </w:rPr>
        <w:t xml:space="preserve">ات الخدمات في الناتج المحلي الإجمالي، التي ارتفعت من 67 في المائة في عام 1981 لتصل إلى 77 في المائة في عام 1991 ثم إلى 87 في المائة في عام 2001. وقد وفرت سياسة الباب المفتوح وسياسة الإصلاحات الاقتصادية في الصين القارية لأصحاب الصناعات في هونغ كونغ إنتاجاً </w:t>
      </w:r>
      <w:r>
        <w:rPr>
          <w:rFonts w:hint="cs"/>
          <w:rtl/>
        </w:rPr>
        <w:t>هائلاً في الأراضي الداخلية ومنفذاً للأسواق. وأدى ذلك إلى انتقال عمليات الإنتاج كثيفة العمالة خارج الحدود، إلا أن ذلك خلق أيضا فرصاً كثيرة في مجموعة واسعة من أنشطة الخدمات في هونغ كونغ. وانطوى ذلك على الشحن ونقل المسافرين والسفر والسياحة والتوزيع وخدمات الم</w:t>
      </w:r>
      <w:r>
        <w:rPr>
          <w:rFonts w:hint="cs"/>
          <w:rtl/>
        </w:rPr>
        <w:t>طاعم والأعمال المصرفية والتأمين والأنشطة العقارية والخدمات المهنية، من قبيل الخدمات المالية والقانونية وخدمات المحاسبة.</w:t>
      </w:r>
    </w:p>
    <w:p w:rsidR="00000000" w:rsidRDefault="00443EC1">
      <w:pPr>
        <w:spacing w:line="380" w:lineRule="exact"/>
        <w:jc w:val="both"/>
        <w:rPr>
          <w:rFonts w:hint="cs"/>
          <w:rtl/>
        </w:rPr>
      </w:pPr>
      <w:r>
        <w:rPr>
          <w:rFonts w:hint="cs"/>
          <w:rtl/>
        </w:rPr>
        <w:t>566-</w:t>
      </w:r>
      <w:r>
        <w:rPr>
          <w:rFonts w:hint="cs"/>
          <w:rtl/>
        </w:rPr>
        <w:tab/>
        <w:t>ومن المتوقع أن ينبع مصدر القوة الدافعة للنمو في هونغ كونغ أكثر فأكثر في المستقبل من القطاعات من قبيل الخدمات المالية والنقل والإمدا</w:t>
      </w:r>
      <w:r>
        <w:rPr>
          <w:rFonts w:hint="cs"/>
          <w:rtl/>
        </w:rPr>
        <w:t>د والسياحة وخدمات الإنتاج والخدمات المهنية. كما ستواصل قطاعات أخرى نموها، وقد ترفع من سلسلة القيم. كما أن تطور هذه القطاعات سيخلق فرصاً للعمل لفئات مختلفة من القوة العاملة المحلية.</w:t>
      </w:r>
    </w:p>
    <w:p w:rsidR="00000000" w:rsidRDefault="00443EC1">
      <w:pPr>
        <w:spacing w:line="380" w:lineRule="exact"/>
        <w:jc w:val="both"/>
        <w:rPr>
          <w:rFonts w:hint="cs"/>
          <w:i/>
          <w:iCs/>
          <w:rtl/>
        </w:rPr>
      </w:pPr>
      <w:r>
        <w:rPr>
          <w:i/>
          <w:iCs/>
          <w:rtl/>
        </w:rPr>
        <w:t>توزيع الدخل</w:t>
      </w:r>
    </w:p>
    <w:p w:rsidR="00000000" w:rsidRDefault="00443EC1">
      <w:pPr>
        <w:spacing w:line="380" w:lineRule="exact"/>
        <w:jc w:val="both"/>
        <w:rPr>
          <w:rFonts w:hint="cs"/>
          <w:rtl/>
        </w:rPr>
      </w:pPr>
      <w:r>
        <w:rPr>
          <w:rFonts w:hint="cs"/>
          <w:rtl/>
        </w:rPr>
        <w:t>567-</w:t>
      </w:r>
      <w:r>
        <w:rPr>
          <w:rFonts w:hint="cs"/>
          <w:rtl/>
        </w:rPr>
        <w:tab/>
        <w:t xml:space="preserve">ارتفع </w:t>
      </w:r>
      <w:r>
        <w:rPr>
          <w:rtl/>
        </w:rPr>
        <w:t>معامل جيني لهونغ كونغ</w:t>
      </w:r>
      <w:r>
        <w:rPr>
          <w:rFonts w:hint="cs"/>
          <w:rtl/>
        </w:rPr>
        <w:t>، استناداً إلى نتائج التعداد ال</w:t>
      </w:r>
      <w:r>
        <w:rPr>
          <w:rFonts w:hint="cs"/>
          <w:rtl/>
        </w:rPr>
        <w:t>سكاني لعام 2001، ليصل إلى 0.525 في عام 2001، بعدما ارتفع من 0.476 في عام 1991 ثم إلى 0.518 في عام 1996. وقد ارتبط التفاوت الكبير في الدخل جزئيا بإعادة تنظيم الهيكل الاقتصادي بعمق في هونغ كونغ، والابتعاد عن التصنيع المحلي والاتجاه إلى أنشطة الخدمات طيلة الع</w:t>
      </w:r>
      <w:r>
        <w:rPr>
          <w:rFonts w:hint="cs"/>
          <w:rtl/>
        </w:rPr>
        <w:t>قدين السابقين، والاتجاه أكثر، خلال السنوات الأخيرة، إلى الأنشطة القائمة على المعارف والتي تعتمد على قيم مضافة عالية. وقد أدى ذلك إلى تغير في تشكيلة شروط القوة العاملة لصالح العمال ذوي المهارات العالية والحاصلين على أفضل مستوى من التعليم والخبرة. بيد أن هذه</w:t>
      </w:r>
      <w:r>
        <w:rPr>
          <w:rFonts w:hint="cs"/>
          <w:rtl/>
        </w:rPr>
        <w:t xml:space="preserve"> الاتجاهات الاقتصادية الكلية، وبفعل الانتكاسات الاقتصادية الأخيرة، قد أثرت سلباً على الطلب على العمال الأقل مهارة وعلى وضعهم الاقتصادي.</w:t>
      </w:r>
    </w:p>
    <w:p w:rsidR="00000000" w:rsidRDefault="00443EC1">
      <w:pPr>
        <w:spacing w:line="380" w:lineRule="exact"/>
        <w:jc w:val="both"/>
        <w:rPr>
          <w:rFonts w:hint="cs"/>
          <w:rtl/>
        </w:rPr>
      </w:pPr>
      <w:r>
        <w:rPr>
          <w:rFonts w:hint="cs"/>
          <w:rtl/>
        </w:rPr>
        <w:t>568-</w:t>
      </w:r>
      <w:r>
        <w:rPr>
          <w:rFonts w:hint="cs"/>
          <w:rtl/>
        </w:rPr>
        <w:tab/>
        <w:t>ولا تنفرد هونغ كونغ لوحدها بهذا الوضع. إذ لوحظت الاتجاهات إلى ارتفاع التفاوت في الدخل إبان الانتقال إلى الاقتصاد ال</w:t>
      </w:r>
      <w:r>
        <w:rPr>
          <w:rFonts w:hint="cs"/>
          <w:rtl/>
        </w:rPr>
        <w:t>قائم على المعارف في العديد من الاقتصادات الأخرى، بما في ذلك في أستراليا وكندا والولايات المتحدة والمملكة المتحدة وسنغافورة.</w:t>
      </w:r>
    </w:p>
    <w:p w:rsidR="00000000" w:rsidRDefault="00443EC1">
      <w:pPr>
        <w:spacing w:line="380" w:lineRule="exact"/>
        <w:jc w:val="both"/>
        <w:rPr>
          <w:rFonts w:hint="cs"/>
          <w:rtl/>
        </w:rPr>
      </w:pPr>
      <w:r>
        <w:rPr>
          <w:rFonts w:hint="cs"/>
          <w:rtl/>
        </w:rPr>
        <w:t>569-</w:t>
      </w:r>
      <w:r>
        <w:rPr>
          <w:rFonts w:hint="cs"/>
          <w:rtl/>
        </w:rPr>
        <w:tab/>
        <w:t xml:space="preserve">كما ينبغي، عند القيام بمقارنة دولية بين </w:t>
      </w:r>
      <w:r>
        <w:rPr>
          <w:rtl/>
        </w:rPr>
        <w:t>معامل جيني</w:t>
      </w:r>
      <w:r>
        <w:rPr>
          <w:rFonts w:hint="cs"/>
          <w:rtl/>
        </w:rPr>
        <w:t>، استحضار أن اقتصاد هونغ كونغ هو اقتصاد مدينة واحدة تتكتل فيها أنشطة قطاع الخ</w:t>
      </w:r>
      <w:r>
        <w:rPr>
          <w:rFonts w:hint="cs"/>
          <w:rtl/>
        </w:rPr>
        <w:t>دمات. وتشهد هذه الأنشطة تطوراً كبيراً وتنوعاً جيداً، وتستخدم أشخاصاً تتعدد تجاربهم ومهاراتهم. ويعكس هذا الواقع الدور الذي تضطلع به هونغ كونغ باعتبارها محورا للأنشطة المالية والتجارية في خدمة الصين القارية ومنطقة شرقي آسيا على العموم. وفي ظل هذه الظروف، يمي</w:t>
      </w:r>
      <w:r>
        <w:rPr>
          <w:rFonts w:hint="cs"/>
          <w:rtl/>
        </w:rPr>
        <w:t>ل التفاوت في الدخل في هونغ كونغ، وبحكم الفعل، إلى أن يفوق التفاوت الحاصل في الاقتصادات الوطنية التي تسود فيها الأنشطة الصناعية والزراعية.</w:t>
      </w:r>
    </w:p>
    <w:p w:rsidR="00000000" w:rsidRDefault="00443EC1">
      <w:pPr>
        <w:spacing w:line="380" w:lineRule="exact"/>
        <w:jc w:val="both"/>
        <w:rPr>
          <w:rFonts w:hint="cs"/>
          <w:rtl/>
        </w:rPr>
      </w:pPr>
      <w:r>
        <w:rPr>
          <w:rFonts w:hint="cs"/>
          <w:rtl/>
        </w:rPr>
        <w:t>570-</w:t>
      </w:r>
      <w:r>
        <w:rPr>
          <w:rFonts w:hint="cs"/>
          <w:rtl/>
        </w:rPr>
        <w:tab/>
        <w:t>ويعد النمو الاقتصادي المستدام العامل الرئيسي للرفع من مستوى المعيشة العام. ويتيح اقتصاد هونغ كونغ الحر، مبدئيا، ل</w:t>
      </w:r>
      <w:r>
        <w:rPr>
          <w:rFonts w:hint="cs"/>
          <w:rtl/>
        </w:rPr>
        <w:t>كل شخص فرصة للارتقاء، من خلال إعمال المواهب والعمل الدؤوب. ولهذا السبب، فإننا نرى أن الطريقة الأكثر فعالية للنهوض بالنمو الاقتصادي ومن ثم التخفيف من حدة الفقر وتقليص أوجه التباين في الدخل هي الاستثمار في الموارد البشرية، من خلال الرفع من قدرة القوة العاملة</w:t>
      </w:r>
      <w:r>
        <w:rPr>
          <w:rFonts w:hint="cs"/>
          <w:rtl/>
        </w:rPr>
        <w:t xml:space="preserve"> ومن إنتاجيتها. لذلك تقوم الاستراتيجية التي اعتمدناها على التحسين المستدام للبيئة التجارية بغية تسهيل الاستثمار وخلق المزيد من فرص العمل. واستكملنا ذلك بالاستثمار الهائل في التعليم والتدريب وإعادة التدريب لمساعدة العمال على مجاراة التغيرات الهيكلية الحاصلة</w:t>
      </w:r>
      <w:r>
        <w:rPr>
          <w:rFonts w:hint="cs"/>
          <w:rtl/>
        </w:rPr>
        <w:t xml:space="preserve">. ويستطيع كل من يواجه أزمة مالية حقيقية الوصول إلى </w:t>
      </w:r>
      <w:r>
        <w:rPr>
          <w:rtl/>
        </w:rPr>
        <w:t>نظام المساعدة الشامل في إطار الضمان الاجتماعي</w:t>
      </w:r>
      <w:r>
        <w:rPr>
          <w:rFonts w:hint="cs"/>
          <w:rtl/>
        </w:rPr>
        <w:t>، وإلى نظام الإسكان العام المدعوم، كما يستطيع الحصول على الرعاية الصحية وعلى خدمات الرعاية (انظر الفقرات من 445 إلى 459 أعلاه والفقرات من 596 إلى 599 أدناه).</w:t>
      </w:r>
    </w:p>
    <w:p w:rsidR="00000000" w:rsidRDefault="00443EC1">
      <w:pPr>
        <w:spacing w:line="380" w:lineRule="exact"/>
        <w:jc w:val="both"/>
        <w:rPr>
          <w:i/>
          <w:iCs/>
          <w:rtl/>
        </w:rPr>
      </w:pPr>
      <w:r>
        <w:rPr>
          <w:i/>
          <w:iCs/>
          <w:rtl/>
        </w:rPr>
        <w:t>تو</w:t>
      </w:r>
      <w:r>
        <w:rPr>
          <w:rFonts w:hint="cs"/>
          <w:i/>
          <w:iCs/>
          <w:rtl/>
        </w:rPr>
        <w:t>في</w:t>
      </w:r>
      <w:r>
        <w:rPr>
          <w:i/>
          <w:iCs/>
          <w:rtl/>
        </w:rPr>
        <w:t>ر الغذاء</w:t>
      </w:r>
    </w:p>
    <w:p w:rsidR="00000000" w:rsidRDefault="00443EC1">
      <w:pPr>
        <w:spacing w:line="380" w:lineRule="exact"/>
        <w:jc w:val="both"/>
        <w:rPr>
          <w:rFonts w:hint="cs"/>
          <w:rtl/>
        </w:rPr>
      </w:pPr>
      <w:r>
        <w:rPr>
          <w:rFonts w:hint="cs"/>
          <w:rtl/>
        </w:rPr>
        <w:t>571-</w:t>
      </w:r>
      <w:r>
        <w:rPr>
          <w:rFonts w:hint="cs"/>
          <w:rtl/>
        </w:rPr>
        <w:tab/>
        <w:t>لا يزال الوضع، بشكل أساسي، على النحو الوارد وصفه في الفقرات من 335 إلى 343 من التقرير الأولي. ويتجلى التطور الأخير في إزالة نظام الحصص والوكيل الوحيد، في عام 2002، الذي نقلت من خلاله السلطات في الصين القارية الضوابط المفروضة مسبقا على تصدير</w:t>
      </w:r>
      <w:r>
        <w:rPr>
          <w:rFonts w:hint="cs"/>
          <w:rtl/>
        </w:rPr>
        <w:t xml:space="preserve"> اللحوم والدواجن إلى هونغ كونغ. وتعمل السلطات في هونغ كونغ وفي الصين القارية اليوم جنبا إلى جنب لكفالة سلسلة إمدادات صحية مكونة من المَزَارع والمنتجين والمستوردين والموزعين والتجار. ومن المنتظر أن تساعد هذه التطورات على تخفيض الرقم القياسي لأسعار الاستهلاك</w:t>
      </w:r>
      <w:r>
        <w:rPr>
          <w:rFonts w:hint="cs"/>
          <w:rtl/>
        </w:rPr>
        <w:t xml:space="preserve"> المركب بما يقدّر بما بين 0.6 و0.7 في المائة.</w:t>
      </w:r>
    </w:p>
    <w:p w:rsidR="00000000" w:rsidRDefault="00443EC1">
      <w:pPr>
        <w:spacing w:line="380" w:lineRule="exact"/>
        <w:jc w:val="both"/>
        <w:rPr>
          <w:rFonts w:hint="cs"/>
          <w:rtl/>
        </w:rPr>
      </w:pPr>
      <w:r>
        <w:rPr>
          <w:rFonts w:hint="cs"/>
          <w:rtl/>
        </w:rPr>
        <w:t>572-</w:t>
      </w:r>
      <w:r>
        <w:rPr>
          <w:rFonts w:hint="cs"/>
          <w:rtl/>
        </w:rPr>
        <w:tab/>
        <w:t>ولقد ذكرت اللجنة في الفقرة 14 من ملاحظاتها الختامية لعام 2001:</w:t>
      </w:r>
    </w:p>
    <w:p w:rsidR="00000000" w:rsidRDefault="00443EC1">
      <w:pPr>
        <w:spacing w:line="380" w:lineRule="exact"/>
        <w:ind w:left="720"/>
        <w:jc w:val="both"/>
        <w:rPr>
          <w:rFonts w:hint="cs"/>
          <w:rtl/>
        </w:rPr>
      </w:pPr>
      <w:r>
        <w:rPr>
          <w:rFonts w:hint="cs"/>
          <w:rtl/>
        </w:rPr>
        <w:t>"أن السياسات الاقتصادية ل</w:t>
      </w:r>
      <w:r>
        <w:rPr>
          <w:rFonts w:hint="eastAsia"/>
          <w:rtl/>
        </w:rPr>
        <w:t>منطقة</w:t>
      </w:r>
      <w:r>
        <w:t xml:space="preserve"> </w:t>
      </w:r>
      <w:r>
        <w:rPr>
          <w:rtl/>
        </w:rPr>
        <w:t xml:space="preserve">هونغ كونغ </w:t>
      </w:r>
      <w:r>
        <w:rPr>
          <w:rFonts w:hint="eastAsia"/>
          <w:rtl/>
        </w:rPr>
        <w:t>الإدارية</w:t>
      </w:r>
      <w:r>
        <w:t xml:space="preserve"> </w:t>
      </w:r>
      <w:r>
        <w:rPr>
          <w:rtl/>
        </w:rPr>
        <w:t>الخاصة</w:t>
      </w:r>
      <w:r>
        <w:rPr>
          <w:rFonts w:hint="cs"/>
          <w:rtl/>
        </w:rPr>
        <w:t>، التي تقوم بصفة جوهرية على فلسفة ’عدم التدخل الإيجابي‘، أي إبقاء الضرائب منخفضة والإن</w:t>
      </w:r>
      <w:r>
        <w:rPr>
          <w:rFonts w:hint="cs"/>
          <w:rtl/>
        </w:rPr>
        <w:t>فاق الحكومي مقتصراً على تقديم الخدمات الأساسية، وفقاً للمادة 5 من القانون الأساسي، التي تكفل حرية التجارة وحرية رأس المال الخاص وتدني الضرائب لفترة لا تقل عن 50 عاماً، كان لها أثر سلبي في إعمال وتمتع سكان هونغ كونغ بحقوقهم الاقتصادية والاجتماعية والثقافية،</w:t>
      </w:r>
      <w:r>
        <w:rPr>
          <w:rFonts w:hint="cs"/>
          <w:rtl/>
        </w:rPr>
        <w:t xml:space="preserve"> الأمر الذي ازداد تفاقماً بفعل العولمة".</w:t>
      </w:r>
    </w:p>
    <w:p w:rsidR="00000000" w:rsidRDefault="00443EC1">
      <w:pPr>
        <w:spacing w:line="380" w:lineRule="exact"/>
        <w:jc w:val="both"/>
        <w:rPr>
          <w:rFonts w:hint="cs"/>
          <w:rtl/>
        </w:rPr>
      </w:pPr>
      <w:r>
        <w:rPr>
          <w:rFonts w:hint="cs"/>
          <w:rtl/>
        </w:rPr>
        <w:t>وأشارت اللجنة إلى هذه المسألة باعتبارها "عاملاً وصعوبة يعوقان تنفيذ العهد".</w:t>
      </w:r>
    </w:p>
    <w:p w:rsidR="00000000" w:rsidRDefault="00443EC1">
      <w:pPr>
        <w:spacing w:line="380" w:lineRule="exact"/>
        <w:jc w:val="both"/>
        <w:rPr>
          <w:rFonts w:hint="cs"/>
          <w:rtl/>
        </w:rPr>
      </w:pPr>
      <w:r>
        <w:rPr>
          <w:rFonts w:hint="cs"/>
          <w:rtl/>
        </w:rPr>
        <w:t>573-</w:t>
      </w:r>
      <w:r>
        <w:rPr>
          <w:rFonts w:hint="cs"/>
          <w:rtl/>
        </w:rPr>
        <w:tab/>
        <w:t>وبالنظر إلى الفقرة 14 من الملاحظات الختامية، جاء في التعليق العام رقم 3 الذي أبدته اللجنة ما يلي:</w:t>
      </w:r>
    </w:p>
    <w:p w:rsidR="00000000" w:rsidRDefault="00443EC1">
      <w:pPr>
        <w:spacing w:line="380" w:lineRule="exact"/>
        <w:ind w:left="720"/>
        <w:jc w:val="both"/>
        <w:rPr>
          <w:rFonts w:hint="cs"/>
          <w:rtl/>
        </w:rPr>
      </w:pPr>
      <w:r>
        <w:rPr>
          <w:rFonts w:hint="cs"/>
          <w:rtl/>
        </w:rPr>
        <w:t>"</w:t>
      </w:r>
      <w:r>
        <w:rPr>
          <w:rtl/>
        </w:rPr>
        <w:t>وعليه، فإن العهد محايد من حيث النظم</w:t>
      </w:r>
      <w:r>
        <w:rPr>
          <w:rtl/>
        </w:rPr>
        <w:t xml:space="preserve"> السياسية والاقتصادية، ولا يمكن وصف مبادئه وصفا</w:t>
      </w:r>
      <w:r>
        <w:rPr>
          <w:rFonts w:hint="cs"/>
          <w:rtl/>
        </w:rPr>
        <w:t>ً</w:t>
      </w:r>
      <w:r>
        <w:rPr>
          <w:rtl/>
        </w:rPr>
        <w:t xml:space="preserve"> دقيقا</w:t>
      </w:r>
      <w:r>
        <w:rPr>
          <w:rFonts w:hint="cs"/>
          <w:rtl/>
        </w:rPr>
        <w:t>ً</w:t>
      </w:r>
      <w:r>
        <w:rPr>
          <w:rtl/>
        </w:rPr>
        <w:t xml:space="preserve"> بأنها تقوم حصرا على ضرورة أو استصواب إقامة نظام اشتراكي أو رأسمالي، أو اقتصاد مختلط أو مخطط مركزيا أو حر، أو على أي نهج معين آخر</w:t>
      </w:r>
      <w:r>
        <w:rPr>
          <w:rFonts w:hint="cs"/>
          <w:rtl/>
        </w:rPr>
        <w:t>".</w:t>
      </w:r>
    </w:p>
    <w:p w:rsidR="00000000" w:rsidRDefault="00443EC1">
      <w:pPr>
        <w:spacing w:line="380" w:lineRule="exact"/>
        <w:jc w:val="both"/>
        <w:rPr>
          <w:rFonts w:hint="cs"/>
          <w:rtl/>
        </w:rPr>
      </w:pPr>
      <w:r>
        <w:rPr>
          <w:rFonts w:hint="cs"/>
          <w:rtl/>
        </w:rPr>
        <w:t>ونحن لا نوافق على الرأي القائل بأن السياسات الاقتصادية ل</w:t>
      </w:r>
      <w:r>
        <w:rPr>
          <w:rFonts w:hint="eastAsia"/>
          <w:rtl/>
        </w:rPr>
        <w:t>منطقة</w:t>
      </w:r>
      <w:r>
        <w:t xml:space="preserve"> </w:t>
      </w:r>
      <w:r>
        <w:rPr>
          <w:rtl/>
        </w:rPr>
        <w:t>هونغ كو</w:t>
      </w:r>
      <w:r>
        <w:rPr>
          <w:rtl/>
        </w:rPr>
        <w:t xml:space="preserve">نغ </w:t>
      </w:r>
      <w:r>
        <w:rPr>
          <w:rFonts w:hint="cs"/>
          <w:rtl/>
        </w:rPr>
        <w:t>تخلِّف أثراً سلبيا على إعمال الحقوق الاقتصادية والاجتماعية والثقافية في هونغ كونغ وتمتع سكان المنطقة بها. فالسياسات الاقتصادية لهونغ كونغ تقوم على مبادئ حرية رأس المال الخاص وحرية التجارة والتدخل الأدنى للحكومة. وقد كانت هذه المبادئ بمثابة حجر الأساس ال</w:t>
      </w:r>
      <w:r>
        <w:rPr>
          <w:rFonts w:hint="cs"/>
          <w:rtl/>
        </w:rPr>
        <w:t>ذي يقوم عليه النجاح الاقتصادي لهونغ كونغ والذي قام بدور هام في تمكين هذه المنطقة من أن تصبح مجتمعا عادلا يكفل الرعاية. وينبغي الإقرار بأن هونغ كونغ قد قطعت شوطاً كبيرا في سبيل تحقيق إطار اجتماعي أكثر إنصافا كما تدل على ذلك الإنجازات العديدة التي حققناها في</w:t>
      </w:r>
      <w:r>
        <w:rPr>
          <w:rFonts w:hint="cs"/>
          <w:rtl/>
        </w:rPr>
        <w:t xml:space="preserve"> مجال الإسكان والرعاية الطبية والضمان الاجتماعي وغير ذلك من المجالات. ونحن نسلِّم بأن ثمة مجالات يجب علينا أن نطورها، كما نعي بأن العولمة وإعادة تنظيم الهيكل الاقتصادي تطرحان أمامنا تحديات جديدة. إلا أننا سنتصدى لهذه التحديات وسنعمل حثيثاً وحرصاً على مُضي </w:t>
      </w:r>
      <w:r>
        <w:rPr>
          <w:rFonts w:hint="cs"/>
          <w:rtl/>
        </w:rPr>
        <w:t>شعب هونغ كونغ في التمتع بحقوقه الاقتصادية والاجتماعية والثقافية.</w:t>
      </w:r>
    </w:p>
    <w:p w:rsidR="00000000" w:rsidRDefault="00443EC1">
      <w:pPr>
        <w:spacing w:line="380" w:lineRule="exact"/>
        <w:jc w:val="both"/>
        <w:rPr>
          <w:rFonts w:hint="cs"/>
          <w:b/>
          <w:bCs/>
          <w:rtl/>
        </w:rPr>
      </w:pPr>
      <w:r>
        <w:rPr>
          <w:rFonts w:hint="cs"/>
          <w:b/>
          <w:bCs/>
          <w:rtl/>
        </w:rPr>
        <w:t>الإسكان</w:t>
      </w:r>
    </w:p>
    <w:p w:rsidR="00000000" w:rsidRDefault="00443EC1">
      <w:pPr>
        <w:spacing w:line="380" w:lineRule="exact"/>
        <w:jc w:val="both"/>
        <w:rPr>
          <w:rFonts w:hint="cs"/>
          <w:i/>
          <w:iCs/>
          <w:rtl/>
        </w:rPr>
      </w:pPr>
      <w:r>
        <w:rPr>
          <w:rFonts w:hint="cs"/>
          <w:i/>
          <w:iCs/>
          <w:rtl/>
        </w:rPr>
        <w:t>الاحتياجات السكنية</w:t>
      </w:r>
    </w:p>
    <w:p w:rsidR="00000000" w:rsidRDefault="00443EC1">
      <w:pPr>
        <w:spacing w:line="380" w:lineRule="exact"/>
        <w:jc w:val="both"/>
        <w:rPr>
          <w:rFonts w:hint="cs"/>
          <w:rtl/>
        </w:rPr>
      </w:pPr>
      <w:r>
        <w:rPr>
          <w:rFonts w:hint="cs"/>
          <w:rtl/>
        </w:rPr>
        <w:t>574-</w:t>
      </w:r>
      <w:r>
        <w:rPr>
          <w:rFonts w:hint="cs"/>
          <w:rtl/>
        </w:rPr>
        <w:tab/>
        <w:t>كان زهاء 000 179 أسرة معيشية (000 460 شخص) تعيش في مساكن غير لائقة في الربع الأول من عام 1997. ومع حلول الربع الأول من عام 2002، انخفض هذا العدد بحوالي 000 100</w:t>
      </w:r>
      <w:r>
        <w:rPr>
          <w:rFonts w:hint="cs"/>
          <w:rtl/>
        </w:rPr>
        <w:t xml:space="preserve"> أسرة معيشية</w:t>
      </w:r>
      <w:r>
        <w:rPr>
          <w:rtl/>
        </w:rPr>
        <w:br/>
      </w:r>
      <w:r>
        <w:rPr>
          <w:rFonts w:hint="cs"/>
          <w:rtl/>
        </w:rPr>
        <w:t xml:space="preserve">(000 274 شخص). </w:t>
      </w:r>
      <w:r>
        <w:rPr>
          <w:rtl/>
        </w:rPr>
        <w:t>وتنطبق عبارة "</w:t>
      </w:r>
      <w:r>
        <w:rPr>
          <w:rFonts w:hint="cs"/>
          <w:rtl/>
        </w:rPr>
        <w:t>ال</w:t>
      </w:r>
      <w:r>
        <w:rPr>
          <w:rtl/>
        </w:rPr>
        <w:t xml:space="preserve">عيش في مساكن غير لائقة" على </w:t>
      </w:r>
      <w:r>
        <w:rPr>
          <w:rFonts w:hint="cs"/>
          <w:rtl/>
        </w:rPr>
        <w:t>الأ</w:t>
      </w:r>
      <w:r>
        <w:rPr>
          <w:rtl/>
        </w:rPr>
        <w:t xml:space="preserve">شخاص </w:t>
      </w:r>
      <w:r>
        <w:rPr>
          <w:rFonts w:hint="cs"/>
          <w:rtl/>
        </w:rPr>
        <w:t xml:space="preserve">الذين </w:t>
      </w:r>
      <w:r>
        <w:rPr>
          <w:rtl/>
        </w:rPr>
        <w:t xml:space="preserve">يعيشون في مناطق مستقطنة على أرض تملكها الحكومة، أو في مساكن مؤقتة، أو في مناطق أكواخ، أو في شقق غير مستقلة، أو على أسطح المباني، أو في مساكن يتقاسمونها من المساكن </w:t>
      </w:r>
      <w:r>
        <w:rPr>
          <w:rFonts w:hint="cs"/>
          <w:rtl/>
        </w:rPr>
        <w:t>التي يم</w:t>
      </w:r>
      <w:r>
        <w:rPr>
          <w:rFonts w:hint="cs"/>
          <w:rtl/>
        </w:rPr>
        <w:t>لكها ا</w:t>
      </w:r>
      <w:r>
        <w:rPr>
          <w:rtl/>
        </w:rPr>
        <w:t>لقطاع الخاص</w:t>
      </w:r>
      <w:r>
        <w:rPr>
          <w:rFonts w:hint="cs"/>
          <w:rtl/>
        </w:rPr>
        <w:t>.</w:t>
      </w:r>
    </w:p>
    <w:p w:rsidR="00000000" w:rsidRDefault="00443EC1">
      <w:pPr>
        <w:spacing w:line="380" w:lineRule="exact"/>
        <w:jc w:val="both"/>
        <w:rPr>
          <w:rFonts w:hint="cs"/>
          <w:i/>
          <w:iCs/>
          <w:rtl/>
        </w:rPr>
      </w:pPr>
      <w:r>
        <w:rPr>
          <w:rFonts w:hint="cs"/>
          <w:i/>
          <w:iCs/>
          <w:rtl/>
        </w:rPr>
        <w:t>سياسة الإسكان: التزام الحكومة</w:t>
      </w:r>
    </w:p>
    <w:p w:rsidR="00000000" w:rsidRDefault="00443EC1">
      <w:pPr>
        <w:spacing w:line="380" w:lineRule="exact"/>
        <w:jc w:val="both"/>
        <w:rPr>
          <w:rFonts w:hint="cs"/>
          <w:rtl/>
        </w:rPr>
      </w:pPr>
      <w:r>
        <w:rPr>
          <w:rFonts w:hint="cs"/>
          <w:rtl/>
        </w:rPr>
        <w:t>575-</w:t>
      </w:r>
      <w:r>
        <w:rPr>
          <w:rFonts w:hint="cs"/>
          <w:rtl/>
        </w:rPr>
        <w:tab/>
        <w:t>لا يزال توفير المساكن ذات الإيجار المدعوم للأسر المحتاجة إلى ذلك يشكل الهدف الأساسي لاستراتيجية الإسكان الحكومية. وتسترشد سياسة الإسكان التي نعتمدها بالمبادئ الثلاثة الرئيسية التالية الذكر:</w:t>
      </w:r>
    </w:p>
    <w:p w:rsidR="00000000" w:rsidRDefault="00443EC1">
      <w:pPr>
        <w:spacing w:line="380" w:lineRule="exact"/>
        <w:jc w:val="both"/>
        <w:rPr>
          <w:rFonts w:hint="cs"/>
          <w:rtl/>
        </w:rPr>
      </w:pPr>
      <w:r>
        <w:rPr>
          <w:rFonts w:hint="cs"/>
          <w:rtl/>
        </w:rPr>
        <w:tab/>
        <w:t>(أ)</w:t>
      </w:r>
      <w:r>
        <w:rPr>
          <w:rFonts w:hint="cs"/>
          <w:rtl/>
        </w:rPr>
        <w:tab/>
        <w:t>تتجه سي</w:t>
      </w:r>
      <w:r>
        <w:rPr>
          <w:rFonts w:hint="cs"/>
          <w:rtl/>
        </w:rPr>
        <w:t>اسة الإسكان المدعومة التي نعتمدها نحو مساعدة الأسر ذات الدخل المنخفض التي لا تقدر على تحمّل إيجار المساكن الخاصة؛</w:t>
      </w:r>
    </w:p>
    <w:p w:rsidR="00000000" w:rsidRDefault="00443EC1">
      <w:pPr>
        <w:spacing w:line="380" w:lineRule="exact"/>
        <w:jc w:val="both"/>
        <w:rPr>
          <w:rFonts w:hint="cs"/>
          <w:rtl/>
        </w:rPr>
      </w:pPr>
      <w:r>
        <w:rPr>
          <w:rFonts w:hint="cs"/>
          <w:rtl/>
        </w:rPr>
        <w:tab/>
        <w:t>(ب)</w:t>
      </w:r>
      <w:r>
        <w:rPr>
          <w:rFonts w:hint="cs"/>
          <w:rtl/>
        </w:rPr>
        <w:tab/>
        <w:t>يركز دورنا أساساً على توفير الأراضي للإسكان العمومي؛</w:t>
      </w:r>
    </w:p>
    <w:p w:rsidR="00000000" w:rsidRDefault="00443EC1">
      <w:pPr>
        <w:spacing w:line="380" w:lineRule="exact"/>
        <w:jc w:val="both"/>
        <w:rPr>
          <w:rFonts w:hint="cs"/>
          <w:rtl/>
        </w:rPr>
      </w:pPr>
      <w:r>
        <w:rPr>
          <w:rFonts w:hint="cs"/>
          <w:rtl/>
        </w:rPr>
        <w:tab/>
        <w:t>(ج)</w:t>
      </w:r>
      <w:r>
        <w:rPr>
          <w:rFonts w:hint="cs"/>
          <w:rtl/>
        </w:rPr>
        <w:tab/>
        <w:t>تحافظ الحكومة على بيئة ملائمة عادلة ومستقرة للتمكن من تنمية سوق العقارات الخاصة</w:t>
      </w:r>
      <w:r>
        <w:rPr>
          <w:rFonts w:hint="cs"/>
          <w:rtl/>
        </w:rPr>
        <w:t xml:space="preserve"> تنمية مستدامة وصحية. كما تكفل الحكومة توفير القدر الكافي من الأراضي إلى جانب توفير الهيكل الأساسي الداعم اللازم للاستجابة إلى طلبات السوق. أما حجم الإنتاج السكني الخاص فهو مسألة تبقى الكلمة الأخيرة فيها للسوق لا غير.</w:t>
      </w:r>
    </w:p>
    <w:p w:rsidR="00000000" w:rsidRDefault="00443EC1">
      <w:pPr>
        <w:spacing w:line="380" w:lineRule="exact"/>
        <w:jc w:val="both"/>
        <w:rPr>
          <w:rFonts w:hint="cs"/>
          <w:rtl/>
        </w:rPr>
      </w:pPr>
      <w:r>
        <w:rPr>
          <w:rFonts w:hint="cs"/>
          <w:rtl/>
        </w:rPr>
        <w:t>576-</w:t>
      </w:r>
      <w:r>
        <w:rPr>
          <w:rFonts w:hint="cs"/>
          <w:rtl/>
        </w:rPr>
        <w:tab/>
        <w:t>وفي تشرين الثاني/نوفمبر 2002، واس</w:t>
      </w:r>
      <w:r>
        <w:rPr>
          <w:rFonts w:hint="cs"/>
          <w:rtl/>
        </w:rPr>
        <w:t xml:space="preserve">تجابة للاهتمام الذي شاع بين عامة الناس بحالة سوق العقارات، أصدرت الحكومة مجموعة من السياسات السكنية الشاملة والواضحة (انظر المرفق 11 ألف). وموازاة مع ذلك، أدرجنا تدابير استثنائية إلا أنها شديدة التركيز لإصلاح الخلل الحاصل بين العرض والطلب في سوق العقارات. </w:t>
      </w:r>
      <w:r>
        <w:rPr>
          <w:rFonts w:hint="cs"/>
          <w:rtl/>
        </w:rPr>
        <w:t>ويرد موجز لهذه التدابير أيضاً في المرفق 11 ألف.</w:t>
      </w:r>
    </w:p>
    <w:p w:rsidR="00000000" w:rsidRDefault="00443EC1">
      <w:pPr>
        <w:spacing w:line="380" w:lineRule="exact"/>
        <w:jc w:val="both"/>
        <w:rPr>
          <w:rFonts w:hint="cs"/>
          <w:i/>
          <w:iCs/>
          <w:rtl/>
        </w:rPr>
      </w:pPr>
      <w:r>
        <w:rPr>
          <w:rFonts w:hint="cs"/>
          <w:i/>
          <w:iCs/>
          <w:rtl/>
        </w:rPr>
        <w:t>توفير المساكن ذات الإيجار المدعوم</w:t>
      </w:r>
    </w:p>
    <w:p w:rsidR="00000000" w:rsidRDefault="00443EC1">
      <w:pPr>
        <w:spacing w:line="380" w:lineRule="exact"/>
        <w:jc w:val="both"/>
        <w:rPr>
          <w:rFonts w:hint="cs"/>
          <w:rtl/>
        </w:rPr>
      </w:pPr>
      <w:r>
        <w:rPr>
          <w:rFonts w:hint="cs"/>
          <w:rtl/>
        </w:rPr>
        <w:t>577-</w:t>
      </w:r>
      <w:r>
        <w:rPr>
          <w:rFonts w:hint="cs"/>
          <w:rtl/>
        </w:rPr>
        <w:tab/>
        <w:t xml:space="preserve">نظراً للاستثمار المتواصل من قبل الحكومة، اتخذت </w:t>
      </w:r>
      <w:r>
        <w:rPr>
          <w:rFonts w:hint="eastAsia"/>
          <w:rtl/>
        </w:rPr>
        <w:t>منطقة</w:t>
      </w:r>
      <w:r>
        <w:t xml:space="preserve"> </w:t>
      </w:r>
      <w:r>
        <w:rPr>
          <w:rtl/>
        </w:rPr>
        <w:t xml:space="preserve">هونغ كونغ </w:t>
      </w:r>
      <w:r>
        <w:rPr>
          <w:rFonts w:hint="eastAsia"/>
          <w:rtl/>
        </w:rPr>
        <w:t>الإدارية</w:t>
      </w:r>
      <w:r>
        <w:t xml:space="preserve"> </w:t>
      </w:r>
      <w:r>
        <w:rPr>
          <w:rtl/>
        </w:rPr>
        <w:t>الخاصة</w:t>
      </w:r>
      <w:r>
        <w:rPr>
          <w:rFonts w:hint="cs"/>
          <w:rtl/>
        </w:rPr>
        <w:t xml:space="preserve"> الكثير من التدابير لتقليص عدد الأسر المعيشية المسجلة</w:t>
      </w:r>
      <w:r>
        <w:rPr>
          <w:rtl/>
        </w:rPr>
        <w:t xml:space="preserve"> </w:t>
      </w:r>
      <w:r>
        <w:rPr>
          <w:rFonts w:hint="cs"/>
          <w:rtl/>
        </w:rPr>
        <w:t xml:space="preserve">أسماؤها </w:t>
      </w:r>
      <w:r>
        <w:rPr>
          <w:rtl/>
        </w:rPr>
        <w:t>في قائمة انتظار الحصول على مس</w:t>
      </w:r>
      <w:r>
        <w:rPr>
          <w:rtl/>
        </w:rPr>
        <w:t>اكن عامة بإيجار</w:t>
      </w:r>
      <w:r>
        <w:rPr>
          <w:rFonts w:hint="cs"/>
          <w:rtl/>
        </w:rPr>
        <w:t>: إذ انخفض هذا العدد من 000 150 أسرة في عام 1997 إلى حوالي 000</w:t>
      </w:r>
      <w:r>
        <w:rPr>
          <w:rFonts w:hint="eastAsia"/>
          <w:rtl/>
        </w:rPr>
        <w:t xml:space="preserve"> 90 </w:t>
      </w:r>
      <w:r>
        <w:rPr>
          <w:rFonts w:hint="cs"/>
          <w:rtl/>
        </w:rPr>
        <w:t xml:space="preserve">أسرة </w:t>
      </w:r>
      <w:r>
        <w:rPr>
          <w:rFonts w:hint="eastAsia"/>
          <w:rtl/>
        </w:rPr>
        <w:t>في أواخر عام 2002.</w:t>
      </w:r>
      <w:r>
        <w:rPr>
          <w:rFonts w:hint="cs"/>
          <w:rtl/>
        </w:rPr>
        <w:t xml:space="preserve"> وتقل فترة الانتظار المتوسطة في الوقت الحاضر عن ثلاث سنوات، أي أقل مما كان يُعرف في عام 1997 حيث كانت هذه الفترة تفوق ست سنوات. وسوف تستمر الحكومة في تو</w:t>
      </w:r>
      <w:r>
        <w:rPr>
          <w:rFonts w:hint="cs"/>
          <w:rtl/>
        </w:rPr>
        <w:t>فير المرافق ذات الإيجار المدعوم للأسر ذات الدخل المنخفض التي لا تستطيع تحمُّل إيجار المساكن الخاصة. وسنسعى جاهدين كي تستقر فترة الانتظار المتوسطة عند ثلاث سنوات.</w:t>
      </w:r>
    </w:p>
    <w:p w:rsidR="00000000" w:rsidRDefault="00443EC1">
      <w:pPr>
        <w:spacing w:line="380" w:lineRule="exact"/>
        <w:jc w:val="both"/>
        <w:rPr>
          <w:rFonts w:hint="cs"/>
          <w:i/>
          <w:iCs/>
          <w:rtl/>
        </w:rPr>
      </w:pPr>
      <w:r>
        <w:rPr>
          <w:rFonts w:hint="cs"/>
          <w:i/>
          <w:iCs/>
          <w:rtl/>
        </w:rPr>
        <w:t>التشريعات السكنية</w:t>
      </w:r>
    </w:p>
    <w:p w:rsidR="00000000" w:rsidRDefault="00443EC1">
      <w:pPr>
        <w:spacing w:line="380" w:lineRule="exact"/>
        <w:jc w:val="both"/>
        <w:rPr>
          <w:rFonts w:hint="cs"/>
          <w:rtl/>
        </w:rPr>
      </w:pPr>
      <w:r>
        <w:rPr>
          <w:rFonts w:hint="cs"/>
          <w:rtl/>
        </w:rPr>
        <w:t>578-</w:t>
      </w:r>
      <w:r>
        <w:rPr>
          <w:rFonts w:hint="cs"/>
          <w:rtl/>
        </w:rPr>
        <w:tab/>
        <w:t>لا يزال الوضع بشكل أساسي على النحو الوارد وصفه بإيجاز في المرفق 23 من ا</w:t>
      </w:r>
      <w:r>
        <w:rPr>
          <w:rFonts w:hint="cs"/>
          <w:rtl/>
        </w:rPr>
        <w:t>لتقرير الأولي، الذي أعيد إخراجه وتحديثه في شكل المرفق 11 باء لتسهيل الرجوع إليه.</w:t>
      </w:r>
    </w:p>
    <w:p w:rsidR="00000000" w:rsidRDefault="00443EC1">
      <w:pPr>
        <w:spacing w:line="380" w:lineRule="exact"/>
        <w:jc w:val="both"/>
        <w:rPr>
          <w:rFonts w:hint="cs"/>
          <w:i/>
          <w:iCs/>
          <w:rtl/>
        </w:rPr>
      </w:pPr>
      <w:r>
        <w:rPr>
          <w:i/>
          <w:iCs/>
          <w:rtl/>
        </w:rPr>
        <w:t>المجموعات ذات الاحتياجات الخاصة</w:t>
      </w:r>
    </w:p>
    <w:p w:rsidR="00000000" w:rsidRDefault="00443EC1">
      <w:pPr>
        <w:spacing w:line="380" w:lineRule="exact"/>
        <w:jc w:val="both"/>
        <w:rPr>
          <w:rFonts w:hint="cs"/>
          <w:rtl/>
        </w:rPr>
      </w:pPr>
      <w:r>
        <w:rPr>
          <w:rFonts w:hint="cs"/>
          <w:rtl/>
        </w:rPr>
        <w:t>579-</w:t>
      </w:r>
      <w:r>
        <w:rPr>
          <w:rFonts w:hint="cs"/>
          <w:rtl/>
        </w:rPr>
        <w:tab/>
        <w:t xml:space="preserve">تخضع الأسر التي تطلب أي شكل من أشكال المساعدة السكنية العامة للمبدأ الأساسي القائم على </w:t>
      </w:r>
      <w:r>
        <w:rPr>
          <w:rtl/>
        </w:rPr>
        <w:t>مراعاة القدرة على تحمل التكاليف</w:t>
      </w:r>
      <w:r>
        <w:rPr>
          <w:rFonts w:hint="cs"/>
          <w:rtl/>
        </w:rPr>
        <w:t>. وسعيا وراء كفالة ا</w:t>
      </w:r>
      <w:r>
        <w:rPr>
          <w:rFonts w:hint="cs"/>
          <w:rtl/>
        </w:rPr>
        <w:t xml:space="preserve">لاستخدام العادل والفعال للموارد المحدودة، تُخصّص للأسر التي تطلب المساعدة السكنية العامة شقق أو إعانات بحسب الترتيب الذي قدموا فيه طلباتهم. ونحن لا نشجع على عدم احترام قوائم الانتظار أو على تفشي مجموعات </w:t>
      </w:r>
      <w:r>
        <w:rPr>
          <w:rtl/>
        </w:rPr>
        <w:t>`</w:t>
      </w:r>
      <w:r>
        <w:rPr>
          <w:rFonts w:hint="cs"/>
          <w:rtl/>
        </w:rPr>
        <w:t>المصالح الخاصة</w:t>
      </w:r>
      <w:r>
        <w:rPr>
          <w:rtl/>
        </w:rPr>
        <w:t>`</w:t>
      </w:r>
      <w:r>
        <w:rPr>
          <w:rFonts w:hint="cs"/>
          <w:rtl/>
        </w:rPr>
        <w:t xml:space="preserve"> التي تطالب بمنحها الأولوية. ويعامل ك</w:t>
      </w:r>
      <w:r>
        <w:rPr>
          <w:rFonts w:hint="cs"/>
          <w:rtl/>
        </w:rPr>
        <w:t>بار السن على أنهم أهم استثناء ويحظون بأولوية منفصلة وعالية بموجب مخططات متعددة.</w:t>
      </w:r>
    </w:p>
    <w:p w:rsidR="00000000" w:rsidRDefault="00443EC1">
      <w:pPr>
        <w:spacing w:line="380" w:lineRule="exact"/>
        <w:jc w:val="both"/>
        <w:rPr>
          <w:rFonts w:hint="cs"/>
          <w:rtl/>
        </w:rPr>
      </w:pPr>
      <w:r>
        <w:rPr>
          <w:rFonts w:hint="cs"/>
          <w:rtl/>
        </w:rPr>
        <w:t>580-</w:t>
      </w:r>
      <w:r>
        <w:rPr>
          <w:rFonts w:hint="cs"/>
          <w:rtl/>
        </w:rPr>
        <w:tab/>
        <w:t>ومع تجهيز مناطق المساكن المؤقتة العتيقة ومناطق الأكواخ وكذلك التقليل من مستوى السكن غير اللائق على العموم، تمكنا، بصفة عامة، من حل مشاكل السكن بالنسبة للمجموعات التي تُعرف</w:t>
      </w:r>
      <w:r>
        <w:rPr>
          <w:rFonts w:hint="cs"/>
          <w:rtl/>
        </w:rPr>
        <w:t xml:space="preserve"> عنها حاجتها لتلقي معاملة خاصة. ومع على ذلك، نحن نعي أن ثمة احتياجات سكنية بالنسبة للعدد المتزايد من الأسر التي تعيش في مرافق غير لائقة، لا سيما في المناطق الحضرية العتيقة. وإدراكاً منا لهذه الاحتياجات، نقوم بما يلي:</w:t>
      </w:r>
    </w:p>
    <w:p w:rsidR="00000000" w:rsidRDefault="00443EC1">
      <w:pPr>
        <w:spacing w:line="380" w:lineRule="exact"/>
        <w:jc w:val="both"/>
        <w:rPr>
          <w:rFonts w:hint="cs"/>
          <w:rtl/>
        </w:rPr>
      </w:pPr>
      <w:r>
        <w:rPr>
          <w:rFonts w:hint="cs"/>
          <w:rtl/>
        </w:rPr>
        <w:tab/>
        <w:t>(أ)</w:t>
      </w:r>
      <w:r>
        <w:rPr>
          <w:rFonts w:hint="cs"/>
          <w:rtl/>
        </w:rPr>
        <w:tab/>
        <w:t xml:space="preserve">تشجيع الأسر المؤهلة ومساعدتها على </w:t>
      </w:r>
      <w:r>
        <w:rPr>
          <w:rFonts w:hint="cs"/>
          <w:rtl/>
        </w:rPr>
        <w:t xml:space="preserve">تسجيل أسمائها في </w:t>
      </w:r>
      <w:r>
        <w:rPr>
          <w:rtl/>
        </w:rPr>
        <w:t>قائمة انتظار الحصول على مساكن عامة بإيجار</w:t>
      </w:r>
      <w:r>
        <w:rPr>
          <w:rFonts w:hint="cs"/>
          <w:rtl/>
        </w:rPr>
        <w:t>؛</w:t>
      </w:r>
    </w:p>
    <w:p w:rsidR="00000000" w:rsidRDefault="00443EC1">
      <w:pPr>
        <w:spacing w:line="380" w:lineRule="exact"/>
        <w:jc w:val="both"/>
        <w:rPr>
          <w:rFonts w:hint="cs"/>
          <w:rtl/>
        </w:rPr>
      </w:pPr>
      <w:r>
        <w:rPr>
          <w:rFonts w:hint="cs"/>
          <w:rtl/>
        </w:rPr>
        <w:tab/>
        <w:t>(ب)</w:t>
      </w:r>
      <w:r>
        <w:rPr>
          <w:rFonts w:hint="cs"/>
          <w:rtl/>
        </w:rPr>
        <w:tab/>
        <w:t>توفير برامج لإعادة الإسكان الفوري بدافع الرحمة؛</w:t>
      </w:r>
    </w:p>
    <w:p w:rsidR="00000000" w:rsidRDefault="00443EC1">
      <w:pPr>
        <w:spacing w:line="380" w:lineRule="exact"/>
        <w:jc w:val="both"/>
        <w:rPr>
          <w:rFonts w:hint="cs"/>
          <w:rtl/>
        </w:rPr>
      </w:pPr>
      <w:r>
        <w:rPr>
          <w:rFonts w:hint="cs"/>
          <w:rtl/>
        </w:rPr>
        <w:tab/>
        <w:t>(ج)</w:t>
      </w:r>
      <w:r>
        <w:rPr>
          <w:rFonts w:hint="cs"/>
          <w:rtl/>
        </w:rPr>
        <w:tab/>
        <w:t>إنفاذ المعايير الدنيا للأمان والإدارة في القطاع الخاص؛</w:t>
      </w:r>
    </w:p>
    <w:p w:rsidR="00000000" w:rsidRDefault="00443EC1">
      <w:pPr>
        <w:spacing w:line="380" w:lineRule="exact"/>
        <w:jc w:val="both"/>
        <w:rPr>
          <w:rFonts w:hint="cs"/>
          <w:rtl/>
        </w:rPr>
      </w:pPr>
      <w:r>
        <w:rPr>
          <w:rFonts w:hint="cs"/>
          <w:rtl/>
        </w:rPr>
        <w:tab/>
        <w:t>(د)</w:t>
      </w:r>
      <w:r>
        <w:rPr>
          <w:rFonts w:hint="cs"/>
          <w:rtl/>
        </w:rPr>
        <w:tab/>
        <w:t>تنفيذ برنامج شامل للتجديد الحضري وإعادة التنمية.</w:t>
      </w:r>
    </w:p>
    <w:p w:rsidR="00000000" w:rsidRDefault="00443EC1">
      <w:pPr>
        <w:spacing w:line="380" w:lineRule="exact"/>
        <w:jc w:val="both"/>
        <w:rPr>
          <w:i/>
          <w:iCs/>
          <w:rtl/>
        </w:rPr>
      </w:pPr>
      <w:r>
        <w:rPr>
          <w:i/>
          <w:iCs/>
          <w:rtl/>
        </w:rPr>
        <w:t>الأشخاص الذين ينامون في الشوا</w:t>
      </w:r>
      <w:r>
        <w:rPr>
          <w:i/>
          <w:iCs/>
          <w:rtl/>
        </w:rPr>
        <w:t>رع</w:t>
      </w:r>
    </w:p>
    <w:p w:rsidR="00000000" w:rsidRDefault="00443EC1">
      <w:pPr>
        <w:spacing w:line="380" w:lineRule="exact"/>
        <w:jc w:val="both"/>
        <w:rPr>
          <w:rFonts w:hint="cs"/>
          <w:rtl/>
        </w:rPr>
      </w:pPr>
      <w:r>
        <w:rPr>
          <w:rFonts w:hint="cs"/>
          <w:rtl/>
        </w:rPr>
        <w:t>581-</w:t>
      </w:r>
      <w:r>
        <w:rPr>
          <w:rFonts w:hint="cs"/>
          <w:rtl/>
        </w:rPr>
        <w:tab/>
        <w:t>يتوصل سجل الأشخاص الذين ينامون في الشوارع الذي تحتفظ به وزارة الرعاية الاجتماعية بإحصاءات ومعلومات أخرى من الموظفين الميدانيين الذين لهم اتصال مباشر مع من ينامون في الشوارع. وتشير الأرقام التي ترد في هذا السجل إلى أن عدد النائمين في الشوارع قد تناق</w:t>
      </w:r>
      <w:r>
        <w:rPr>
          <w:rFonts w:hint="cs"/>
          <w:rtl/>
        </w:rPr>
        <w:t>ص من 320 1 شخصاً في كانون الأول/ديسمبر 2001 إلى 785 شخصا في كانون الأول/ديسمبر 2002.</w:t>
      </w:r>
    </w:p>
    <w:p w:rsidR="00000000" w:rsidRDefault="00443EC1">
      <w:pPr>
        <w:spacing w:line="380" w:lineRule="exact"/>
        <w:jc w:val="both"/>
        <w:rPr>
          <w:rFonts w:hint="cs"/>
          <w:rtl/>
        </w:rPr>
      </w:pPr>
      <w:r>
        <w:rPr>
          <w:rFonts w:hint="cs"/>
          <w:rtl/>
        </w:rPr>
        <w:t>582-</w:t>
      </w:r>
      <w:r>
        <w:rPr>
          <w:rFonts w:hint="cs"/>
          <w:rtl/>
        </w:rPr>
        <w:tab/>
        <w:t>وتقدم مراكز خدمات الأسرة/مراكز خدمات الأسرة المتكاملة التابعة للوزارة وأفرقة الاتصال والمراكز والأفرقة التي تديرها المنظمات غير الحكومية خدمات لرعاية الأشخاص الذين ين</w:t>
      </w:r>
      <w:r>
        <w:rPr>
          <w:rFonts w:hint="cs"/>
          <w:rtl/>
        </w:rPr>
        <w:t>امون في الشوارع. وتشمل هذه الخدمات تقديم المشورة والمساعدة المالية والسكنية، والإحالة من أجل الحصول على العلاج الطبي/الأدوية، وما إلى ذلك من خدمات الدعم. ومن المأمول أن تتم مساعدتهم على التخلي عن النوم في الشوارع والاندماج من جديد في المجتمع. ولقد عمدنا، م</w:t>
      </w:r>
      <w:r>
        <w:rPr>
          <w:rFonts w:hint="cs"/>
          <w:rtl/>
        </w:rPr>
        <w:t>نذ نيسان/أبريل 2001، إلى توفير المزيد من الموارد إلى ثلاث منظمات غير حكومية بهدف تفعيل "خطة عمل لمدة ثلاث سنوات لمساعدة الأشخاص الذين ينامون في الشوارع". وتشتمل الخطة على مجموعة من الخدمات المتكاملة، من قبيل الزيارات الليلية لتقديم المساعدة، واحتضانهم الفو</w:t>
      </w:r>
      <w:r>
        <w:rPr>
          <w:rFonts w:hint="cs"/>
          <w:rtl/>
        </w:rPr>
        <w:t>ري في الملاجئ/دور الضيافة، وتقديم المشورة والمساعدة على العمالة والتمويل الطارئ والإسكان طويل الأجل. وتستهدف الخطة أساساً الشباب العاطلين عن العمل الذين توجهوا إلى النوم في الشوارع نظراً لظروفهم المالية القاسية. ولقد تم إمداد حوالي 473 شخصا ثم حوالي 348 شخ</w:t>
      </w:r>
      <w:r>
        <w:rPr>
          <w:rFonts w:hint="cs"/>
          <w:rtl/>
        </w:rPr>
        <w:t>صا من الذين ينامون في الشوارع بمساكن في الفترتين المتراوحتين بين 2001 و2002 ثم 2002 و2003 على التوالي.</w:t>
      </w:r>
    </w:p>
    <w:p w:rsidR="00000000" w:rsidRDefault="00443EC1">
      <w:pPr>
        <w:spacing w:line="380" w:lineRule="exact"/>
        <w:jc w:val="both"/>
        <w:rPr>
          <w:i/>
          <w:iCs/>
          <w:rtl/>
        </w:rPr>
      </w:pPr>
      <w:r>
        <w:rPr>
          <w:i/>
          <w:iCs/>
          <w:rtl/>
        </w:rPr>
        <w:t>التجديد الحضري</w:t>
      </w:r>
    </w:p>
    <w:p w:rsidR="00000000" w:rsidRDefault="00443EC1">
      <w:pPr>
        <w:spacing w:line="380" w:lineRule="exact"/>
        <w:jc w:val="both"/>
        <w:rPr>
          <w:rFonts w:hint="cs"/>
          <w:rtl/>
        </w:rPr>
      </w:pPr>
      <w:r>
        <w:rPr>
          <w:rFonts w:hint="cs"/>
          <w:rtl/>
        </w:rPr>
        <w:t>583-</w:t>
      </w:r>
      <w:r>
        <w:rPr>
          <w:rFonts w:hint="cs"/>
          <w:rtl/>
        </w:rPr>
        <w:tab/>
        <w:t xml:space="preserve">تكمن الأهداف التي تتوخاها الحكومة من سياسة التجديد الحضري، التي وضعتها، في القضاء على مشكلة التلف الحضري بغية الرقي بالظروف المعيشية </w:t>
      </w:r>
      <w:r>
        <w:rPr>
          <w:rFonts w:hint="cs"/>
          <w:rtl/>
        </w:rPr>
        <w:t>للمقيمين في المناطق الحضرية العتيقة والنهوض بالمستقبل الحضري. وفي أيار/مايو 2001، أنشأنا هيئة التجديد الحضري - بموجب قانون هيئة التجديد الحضري (الفصل 563) بغية بلوغ تلك الأهداف. ويشتمل "التجديد الحضري"، بموجب القانون، على إعادة التنمية والإصلاح وحفظ التراث</w:t>
      </w:r>
      <w:r>
        <w:rPr>
          <w:rFonts w:hint="cs"/>
          <w:rtl/>
        </w:rPr>
        <w:t>. وستنظر الهيئة، أثناء اضطلاعها بأي مشروع يدخل ضمن اختصاصها، في جميع العوامل ذات الصلة، بما في ذلك عمر وحالة هدم المباني المعنية، والحالة العامة لهذه المباني فيما يتعلق بالسلامة من الحرائق والمرافق الصحية، وفيما يتصل بما إذا كان من الممكن إصلاح هذه المباني</w:t>
      </w:r>
      <w:r>
        <w:rPr>
          <w:rFonts w:hint="cs"/>
          <w:rtl/>
        </w:rPr>
        <w:t>. ولقد تزامن الانتهاء من إعداد هذا التقرير مع شروع الهيئة في وضع ستة مشاريع.</w:t>
      </w:r>
    </w:p>
    <w:p w:rsidR="00000000" w:rsidRDefault="00443EC1">
      <w:pPr>
        <w:spacing w:line="380" w:lineRule="exact"/>
        <w:jc w:val="both"/>
        <w:rPr>
          <w:rFonts w:hint="cs"/>
          <w:rtl/>
        </w:rPr>
      </w:pPr>
      <w:r>
        <w:rPr>
          <w:rFonts w:hint="cs"/>
          <w:rtl/>
        </w:rPr>
        <w:t>584-</w:t>
      </w:r>
      <w:r>
        <w:rPr>
          <w:rFonts w:hint="cs"/>
          <w:rtl/>
        </w:rPr>
        <w:tab/>
        <w:t>وسيحصل مالكو العقارات الذين تضرروا نتيجة مشاريع إعادة التنمية على تعويضات مناسبة. وتنص المادة 105 من القانون الأساسي على أن التعويض المُقدّم جراء تجريد أي شخص من ملكيته بطريق</w:t>
      </w:r>
      <w:r>
        <w:rPr>
          <w:rFonts w:hint="cs"/>
          <w:rtl/>
        </w:rPr>
        <w:t xml:space="preserve">ة مشروعة يستند إلى القيمة الحقيقية للملكية، ويُدفع لهذا الشخص هذه القيمة </w:t>
      </w:r>
      <w:r>
        <w:rPr>
          <w:rFonts w:hint="cs"/>
          <w:rtl/>
          <w:lang w:eastAsia="en-US"/>
        </w:rPr>
        <w:t xml:space="preserve">دون </w:t>
      </w:r>
      <w:r>
        <w:rPr>
          <w:rFonts w:hint="cs"/>
          <w:rtl/>
        </w:rPr>
        <w:t>تأخير لا مسوغ لـه. والحقوق المشروعة لملاك ومستأجري العقارات المتضررين بالحماية يحميها قانون استرداد الأرض (المادة 124) والقانون</w:t>
      </w:r>
      <w:r>
        <w:rPr>
          <w:rtl/>
        </w:rPr>
        <w:t xml:space="preserve"> (الموحد) الخاص بملاك ومستأجري الأراضي (</w:t>
      </w:r>
      <w:r>
        <w:rPr>
          <w:rFonts w:hint="cs"/>
          <w:rtl/>
        </w:rPr>
        <w:t xml:space="preserve">المادة </w:t>
      </w:r>
      <w:r>
        <w:rPr>
          <w:rtl/>
        </w:rPr>
        <w:t>7)</w:t>
      </w:r>
      <w:r>
        <w:rPr>
          <w:rFonts w:hint="cs"/>
          <w:rtl/>
        </w:rPr>
        <w:t>. و</w:t>
      </w:r>
      <w:r>
        <w:rPr>
          <w:rFonts w:hint="cs"/>
          <w:rtl/>
        </w:rPr>
        <w:t>ترد تفاصيل عن التعويضات المقدمة لملاك ومستأجري العقارات في المرفق 11 جيم.</w:t>
      </w:r>
    </w:p>
    <w:p w:rsidR="00000000" w:rsidRDefault="00443EC1">
      <w:pPr>
        <w:spacing w:line="380" w:lineRule="exact"/>
        <w:jc w:val="both"/>
        <w:rPr>
          <w:rFonts w:hint="cs"/>
          <w:rtl/>
        </w:rPr>
      </w:pPr>
      <w:r>
        <w:rPr>
          <w:rFonts w:hint="cs"/>
          <w:rtl/>
        </w:rPr>
        <w:t>585-</w:t>
      </w:r>
      <w:r>
        <w:rPr>
          <w:rFonts w:hint="cs"/>
          <w:rtl/>
        </w:rPr>
        <w:tab/>
        <w:t>وسعيا وراء حماية المصالح المشروعة لملاك ومستأجري العقارات، قد تحال المنازعات التي تنشأ بشأن مبالغ التعويضات القانونية</w:t>
      </w:r>
      <w:r>
        <w:rPr>
          <w:rtl/>
        </w:rPr>
        <w:t xml:space="preserve"> إلى </w:t>
      </w:r>
      <w:r>
        <w:rPr>
          <w:rFonts w:hint="cs"/>
          <w:rtl/>
        </w:rPr>
        <w:t>ال</w:t>
      </w:r>
      <w:r>
        <w:rPr>
          <w:rtl/>
        </w:rPr>
        <w:t>محكمة ا</w:t>
      </w:r>
      <w:r>
        <w:rPr>
          <w:rFonts w:hint="cs"/>
          <w:rtl/>
        </w:rPr>
        <w:t>لعقارية.</w:t>
      </w:r>
    </w:p>
    <w:p w:rsidR="00000000" w:rsidRDefault="00443EC1">
      <w:pPr>
        <w:spacing w:line="380" w:lineRule="exact"/>
        <w:jc w:val="both"/>
        <w:rPr>
          <w:rFonts w:hint="cs"/>
          <w:i/>
          <w:iCs/>
          <w:rtl/>
        </w:rPr>
      </w:pPr>
      <w:r>
        <w:rPr>
          <w:rFonts w:hint="cs"/>
          <w:i/>
          <w:iCs/>
          <w:rtl/>
        </w:rPr>
        <w:t>تخطيط المدن</w:t>
      </w:r>
    </w:p>
    <w:p w:rsidR="00000000" w:rsidRDefault="00443EC1">
      <w:pPr>
        <w:spacing w:line="380" w:lineRule="exact"/>
        <w:jc w:val="both"/>
        <w:rPr>
          <w:rFonts w:hint="cs"/>
          <w:rtl/>
        </w:rPr>
      </w:pPr>
      <w:r>
        <w:rPr>
          <w:rFonts w:hint="cs"/>
          <w:rtl/>
        </w:rPr>
        <w:t>586-</w:t>
      </w:r>
      <w:r>
        <w:rPr>
          <w:rFonts w:hint="cs"/>
          <w:rtl/>
        </w:rPr>
        <w:tab/>
        <w:t>في عام 1996، وبعد ال</w:t>
      </w:r>
      <w:r>
        <w:rPr>
          <w:rFonts w:hint="cs"/>
          <w:rtl/>
        </w:rPr>
        <w:t>تسليم بضرورة وضع تشريعات جديدة للتخطيط، نشرنا مشروع قانون أبيض</w:t>
      </w:r>
      <w:r>
        <w:rPr>
          <w:rFonts w:hint="cs"/>
          <w:vertAlign w:val="superscript"/>
          <w:rtl/>
        </w:rPr>
        <w:t>(35)</w:t>
      </w:r>
      <w:r>
        <w:rPr>
          <w:rFonts w:hint="cs"/>
          <w:rtl/>
        </w:rPr>
        <w:t xml:space="preserve"> لاستشارة الجمهور. ومراعاة للتعليقات التي وصلتنا، أدرجنا مشروع قانون تخطيط المدن (المنقح) لعام 2000 في المجلس التشريعي. إلا أن التعديلات المدخلة استتبعت مسائل معقدة ولم تستطع اللجنة المعنية </w:t>
      </w:r>
      <w:r>
        <w:rPr>
          <w:rFonts w:hint="cs"/>
          <w:rtl/>
        </w:rPr>
        <w:t>بمشاريع القوانين أن تستكمل النظر في مشروع القانون خلال الدورة التشريعية لعام 2000. وعملا بالاقتراحات التي حظيت بالموافقة العامة والتي من شأنها أن تعود بالنفع على المجتمع في المستقبل القريب، نسعى إلى إدراج مشروع قانون منقح في عام 2003 سيركز على تبسيط وتقليص</w:t>
      </w:r>
      <w:r>
        <w:rPr>
          <w:rFonts w:hint="cs"/>
          <w:rtl/>
        </w:rPr>
        <w:t xml:space="preserve"> مدة عمليات تخطيط المدن، والتشجيع على مشاركة العامة من الناس، وتعزيز ضوابط الإنفاذ المفروضة على المشاريع غير المسموح بها في المناطق الريفية.</w:t>
      </w:r>
    </w:p>
    <w:p w:rsidR="00000000" w:rsidRDefault="00443EC1">
      <w:pPr>
        <w:spacing w:line="380" w:lineRule="exact"/>
        <w:jc w:val="both"/>
        <w:rPr>
          <w:i/>
          <w:iCs/>
          <w:rtl/>
        </w:rPr>
      </w:pPr>
      <w:r>
        <w:rPr>
          <w:i/>
          <w:iCs/>
          <w:rtl/>
        </w:rPr>
        <w:t>المدن الجديدة</w:t>
      </w:r>
    </w:p>
    <w:p w:rsidR="00000000" w:rsidRDefault="00443EC1">
      <w:pPr>
        <w:spacing w:line="380" w:lineRule="exact"/>
        <w:jc w:val="both"/>
        <w:rPr>
          <w:rFonts w:hint="cs"/>
          <w:rtl/>
        </w:rPr>
      </w:pPr>
      <w:r>
        <w:rPr>
          <w:rFonts w:hint="cs"/>
          <w:rtl/>
        </w:rPr>
        <w:t>587-</w:t>
      </w:r>
      <w:r>
        <w:rPr>
          <w:rFonts w:hint="cs"/>
          <w:rtl/>
        </w:rPr>
        <w:tab/>
        <w:t>لا يزال الوضع على النحو الوارد توضيحه في الفقرتين 404 و405 من التقرير الأولي.</w:t>
      </w:r>
    </w:p>
    <w:p w:rsidR="00000000" w:rsidRDefault="00443EC1">
      <w:pPr>
        <w:spacing w:line="380" w:lineRule="exact"/>
        <w:jc w:val="both"/>
        <w:rPr>
          <w:rFonts w:hint="cs"/>
          <w:i/>
          <w:iCs/>
          <w:rtl/>
        </w:rPr>
      </w:pPr>
      <w:r>
        <w:rPr>
          <w:rFonts w:hint="cs"/>
          <w:i/>
          <w:iCs/>
          <w:rtl/>
        </w:rPr>
        <w:t>هونغ كونغ في عام 2</w:t>
      </w:r>
      <w:r>
        <w:rPr>
          <w:rFonts w:hint="cs"/>
          <w:i/>
          <w:iCs/>
          <w:rtl/>
        </w:rPr>
        <w:t>030: رؤية واستراتيجية تخطيطيتان (دراسة هونغ كونغ لعام 2030)</w:t>
      </w:r>
    </w:p>
    <w:p w:rsidR="00000000" w:rsidRDefault="00443EC1">
      <w:pPr>
        <w:spacing w:line="380" w:lineRule="exact"/>
        <w:jc w:val="both"/>
        <w:rPr>
          <w:rFonts w:hint="cs"/>
          <w:rtl/>
        </w:rPr>
      </w:pPr>
      <w:r>
        <w:rPr>
          <w:rFonts w:hint="cs"/>
          <w:rtl/>
        </w:rPr>
        <w:t>588-</w:t>
      </w:r>
      <w:r>
        <w:rPr>
          <w:rFonts w:hint="cs"/>
          <w:rtl/>
        </w:rPr>
        <w:tab/>
        <w:t xml:space="preserve">أوضحنا، في الفقرتين 406 و407 من التقرير السابق، أن </w:t>
      </w:r>
      <w:r>
        <w:rPr>
          <w:rtl/>
        </w:rPr>
        <w:t xml:space="preserve">استعراض استراتيجية </w:t>
      </w:r>
      <w:r>
        <w:rPr>
          <w:rFonts w:hint="cs"/>
          <w:rtl/>
        </w:rPr>
        <w:t xml:space="preserve">التنمية الإقليمية قد أجري بين عامي 1991 و1998 </w:t>
      </w:r>
      <w:r>
        <w:rPr>
          <w:rtl/>
        </w:rPr>
        <w:t xml:space="preserve">بغية وضع إطار متكامل </w:t>
      </w:r>
      <w:r>
        <w:rPr>
          <w:rFonts w:hint="cs"/>
          <w:rtl/>
        </w:rPr>
        <w:t>للتنمية</w:t>
      </w:r>
      <w:r>
        <w:rPr>
          <w:rtl/>
        </w:rPr>
        <w:t xml:space="preserve"> حتى عام 2011</w:t>
      </w:r>
      <w:r>
        <w:rPr>
          <w:rFonts w:hint="cs"/>
          <w:rtl/>
        </w:rPr>
        <w:t>. ونقوم اليوم بإجراء استعراض آخر ي</w:t>
      </w:r>
      <w:r>
        <w:rPr>
          <w:rFonts w:hint="cs"/>
          <w:rtl/>
        </w:rPr>
        <w:t>طلق عليه: دراسة هونغ كونغ لعام 2030، بغية وضع استراتيجية تنموية مستحدثة ومتكاملة لاستخدام الأراضي والنقل والبيئة لتوجيه تنمية هونغ كونغ حتى عام 2030. ويكمن الهدف من وراء هذه الاستراتيجية في بلوغ التنمية المستدامة من خلال موازنة احتياجات هونغ كونغ الاقتصادي</w:t>
      </w:r>
      <w:r>
        <w:rPr>
          <w:rFonts w:hint="cs"/>
          <w:rtl/>
        </w:rPr>
        <w:t>ة والاجتماعية والسكنية والبيئية على المدى الطويل. وبناء عليه، سنسعى إلى تحسين الصلات البنيوية مع الصين القارية، من خلال ربط صلات عبر الحدود مع الجهة الغربية ل</w:t>
      </w:r>
      <w:r>
        <w:rPr>
          <w:rtl/>
        </w:rPr>
        <w:t>دلتا نهر اللؤلؤ</w:t>
      </w:r>
      <w:r>
        <w:rPr>
          <w:rFonts w:hint="cs"/>
          <w:rtl/>
        </w:rPr>
        <w:t xml:space="preserve"> ومع موانئ إضافية. كما سنحجز الأراضي الكافية لتوفير السكن ولإقامة أنشطة اقتصادية عل</w:t>
      </w:r>
      <w:r>
        <w:rPr>
          <w:rFonts w:hint="cs"/>
          <w:rtl/>
        </w:rPr>
        <w:t>ى المدى الطويل.</w:t>
      </w:r>
    </w:p>
    <w:p w:rsidR="00000000" w:rsidRDefault="00443EC1">
      <w:pPr>
        <w:spacing w:line="380" w:lineRule="exact"/>
        <w:jc w:val="both"/>
        <w:rPr>
          <w:rFonts w:hint="cs"/>
          <w:rtl/>
        </w:rPr>
      </w:pPr>
      <w:r>
        <w:rPr>
          <w:rFonts w:hint="cs"/>
          <w:rtl/>
        </w:rPr>
        <w:t>589-</w:t>
      </w:r>
      <w:r>
        <w:rPr>
          <w:rFonts w:hint="cs"/>
          <w:rtl/>
        </w:rPr>
        <w:tab/>
        <w:t>وفي مطلع عام 2001، استشرنا عامة الناس في الأهداف التخطيطية التي يتعين أن توجِّه دراسة هونغ كونغ لعام 2030 وكذلك في المواضيع الأساسية التي ينبغي تغطيتها. وفي مطلع عام 2002، استشرنا السكان في المسائل التخطيطية الأساسية الحاسمة لوضع خيارا</w:t>
      </w:r>
      <w:r>
        <w:rPr>
          <w:rFonts w:hint="cs"/>
          <w:rtl/>
        </w:rPr>
        <w:t>ت التنمية وتحديد معايير التقييم. ونقوم، في الوقت الحالي، بإعداد سيناريوهات التنمية ووضع الخيارات الأولية وإجراء تقييم تقني واسع للجوانب المتعلقة بالنقل والجوانب البيئية والاقتصادية/المالية لهذه الخيارات. وفي عام 2003، نعتزم استشارة عامة الناس في ما اقترحنا</w:t>
      </w:r>
      <w:r>
        <w:rPr>
          <w:rFonts w:hint="cs"/>
          <w:rtl/>
        </w:rPr>
        <w:t>ه من سيناريوهات وخيارات أولية.</w:t>
      </w:r>
    </w:p>
    <w:p w:rsidR="00000000" w:rsidRDefault="00443EC1">
      <w:pPr>
        <w:spacing w:line="380" w:lineRule="exact"/>
        <w:jc w:val="both"/>
        <w:rPr>
          <w:rFonts w:hint="cs"/>
          <w:i/>
          <w:iCs/>
          <w:rtl/>
        </w:rPr>
      </w:pPr>
      <w:r>
        <w:rPr>
          <w:rFonts w:hint="cs"/>
          <w:i/>
          <w:iCs/>
          <w:rtl/>
        </w:rPr>
        <w:t>قانون</w:t>
      </w:r>
      <w:r>
        <w:rPr>
          <w:i/>
          <w:iCs/>
          <w:rtl/>
        </w:rPr>
        <w:t xml:space="preserve"> حماية الميناء لعام 1997</w:t>
      </w:r>
    </w:p>
    <w:p w:rsidR="00000000" w:rsidRDefault="00443EC1">
      <w:pPr>
        <w:spacing w:line="380" w:lineRule="exact"/>
        <w:jc w:val="both"/>
        <w:rPr>
          <w:rFonts w:hint="cs"/>
          <w:rtl/>
        </w:rPr>
      </w:pPr>
      <w:r>
        <w:rPr>
          <w:rFonts w:hint="cs"/>
          <w:rtl/>
        </w:rPr>
        <w:t>590-</w:t>
      </w:r>
      <w:r>
        <w:rPr>
          <w:rFonts w:hint="cs"/>
          <w:rtl/>
        </w:rPr>
        <w:tab/>
        <w:t>لا يزال الوضع على النحو الوارد وصفه في الفقرتين 408 و409 من التقرير الأولي.</w:t>
      </w:r>
    </w:p>
    <w:p w:rsidR="00000000" w:rsidRDefault="00443EC1">
      <w:pPr>
        <w:spacing w:line="380" w:lineRule="exact"/>
        <w:jc w:val="both"/>
        <w:rPr>
          <w:rFonts w:hint="cs"/>
          <w:i/>
          <w:iCs/>
          <w:rtl/>
        </w:rPr>
      </w:pPr>
      <w:r>
        <w:rPr>
          <w:rFonts w:hint="cs"/>
          <w:i/>
          <w:iCs/>
          <w:rtl/>
        </w:rPr>
        <w:t xml:space="preserve">المستقطنات والغرف المبنية فوق الأسطح والشقق بحجم السرير الواحد أو </w:t>
      </w:r>
      <w:r>
        <w:rPr>
          <w:i/>
          <w:iCs/>
          <w:rtl/>
        </w:rPr>
        <w:t>`</w:t>
      </w:r>
      <w:r>
        <w:rPr>
          <w:rFonts w:hint="cs"/>
          <w:i/>
          <w:iCs/>
          <w:rtl/>
        </w:rPr>
        <w:t>الشقق القفصية</w:t>
      </w:r>
      <w:r>
        <w:rPr>
          <w:i/>
          <w:iCs/>
          <w:rtl/>
        </w:rPr>
        <w:t>`</w:t>
      </w:r>
    </w:p>
    <w:p w:rsidR="00000000" w:rsidRDefault="00443EC1">
      <w:pPr>
        <w:spacing w:line="380" w:lineRule="exact"/>
        <w:jc w:val="both"/>
        <w:rPr>
          <w:rFonts w:hint="cs"/>
          <w:rtl/>
        </w:rPr>
      </w:pPr>
      <w:r>
        <w:rPr>
          <w:rFonts w:hint="cs"/>
          <w:rtl/>
        </w:rPr>
        <w:t>591-</w:t>
      </w:r>
      <w:r>
        <w:rPr>
          <w:rFonts w:hint="cs"/>
          <w:rtl/>
        </w:rPr>
        <w:tab/>
        <w:t>قالت اللجنة، في الفقرة 25 م</w:t>
      </w:r>
      <w:r>
        <w:rPr>
          <w:rFonts w:hint="cs"/>
          <w:rtl/>
        </w:rPr>
        <w:t>ن ملاحظاتها الختامية لعام 2001 وبعد أن أقرّت بأن منطقة هونغ كونغ قد أحرزت تقدما في مجال الإسكان:</w:t>
      </w:r>
    </w:p>
    <w:p w:rsidR="00000000" w:rsidRDefault="00443EC1">
      <w:pPr>
        <w:spacing w:line="380" w:lineRule="exact"/>
        <w:ind w:left="720"/>
        <w:jc w:val="both"/>
        <w:rPr>
          <w:rFonts w:hint="cs"/>
          <w:rtl/>
        </w:rPr>
      </w:pPr>
      <w:r>
        <w:rPr>
          <w:rFonts w:hint="cs"/>
          <w:rtl/>
        </w:rPr>
        <w:t xml:space="preserve">"إن القلق لا يزال يساورها لأن كثيراً من الناس في هونغ كونغ ما زالوا غير متمتعين بحقهم في السكن. وترى اللجنة أن الشقق بحجم السرير الواحد، أو </w:t>
      </w:r>
      <w:r>
        <w:rPr>
          <w:rtl/>
        </w:rPr>
        <w:t>`</w:t>
      </w:r>
      <w:r>
        <w:rPr>
          <w:rFonts w:hint="cs"/>
          <w:rtl/>
        </w:rPr>
        <w:t>الشقق القفصية</w:t>
      </w:r>
      <w:r>
        <w:rPr>
          <w:rtl/>
        </w:rPr>
        <w:t>`</w:t>
      </w:r>
      <w:r>
        <w:rPr>
          <w:rFonts w:hint="cs"/>
          <w:rtl/>
        </w:rPr>
        <w:t>، هي</w:t>
      </w:r>
      <w:r>
        <w:rPr>
          <w:rFonts w:hint="cs"/>
          <w:rtl/>
        </w:rPr>
        <w:t xml:space="preserve"> إهانة لكرامة الإنسان، وأن الغرف التي تُبنى فوق الأسطح تشكل خطراً جسيماً على أرواح السكان وصحتهم".</w:t>
      </w:r>
    </w:p>
    <w:p w:rsidR="00000000" w:rsidRDefault="00443EC1">
      <w:pPr>
        <w:spacing w:line="380" w:lineRule="exact"/>
        <w:jc w:val="both"/>
        <w:rPr>
          <w:rFonts w:hint="cs"/>
          <w:rtl/>
        </w:rPr>
      </w:pPr>
      <w:r>
        <w:rPr>
          <w:rFonts w:hint="cs"/>
          <w:rtl/>
        </w:rPr>
        <w:t>وتهيب اللجنة، في الفقرة 44، بمنطقة هونغ كونغ أن:</w:t>
      </w:r>
    </w:p>
    <w:p w:rsidR="00000000" w:rsidRDefault="00443EC1">
      <w:pPr>
        <w:spacing w:line="380" w:lineRule="exact"/>
        <w:ind w:left="720"/>
        <w:jc w:val="both"/>
        <w:rPr>
          <w:rFonts w:hint="cs"/>
          <w:rtl/>
        </w:rPr>
      </w:pPr>
      <w:r>
        <w:rPr>
          <w:rFonts w:hint="cs"/>
          <w:rtl/>
        </w:rPr>
        <w:t>"تولي اهتماماً عاجلاً لحقوق جميع المقيمين في هونغ كونغ في السكن، بمن فيهم المستقطنون، ومن يعيشون في غرف مبني</w:t>
      </w:r>
      <w:r>
        <w:rPr>
          <w:rFonts w:hint="cs"/>
          <w:rtl/>
        </w:rPr>
        <w:t>ة فوق الأسطح وفي الشقق القفصية. وترجو اللجنة من منطقة هونغ كونغ أن تولي، في تقريرها الدوري القادم، اهتماماً خاصاً لما للسياسات الراهنة من أثر في المستقطنين ومن يعيشون في الغرف المبنية فوق الأسطح وفي الشقق بحجم السرير الواحد أو الشقق القفصية. وتود اللجنة، ع</w:t>
      </w:r>
      <w:r>
        <w:rPr>
          <w:rFonts w:hint="cs"/>
          <w:rtl/>
        </w:rPr>
        <w:t>لى وجه الخصوص، من منطقة هونغ كونغ أن تعلِّق على تنفيذ قانون الشقق بحجم السرير وكفاءته (المادة 447)".</w:t>
      </w:r>
    </w:p>
    <w:p w:rsidR="00000000" w:rsidRDefault="00443EC1">
      <w:pPr>
        <w:spacing w:line="380" w:lineRule="exact"/>
        <w:jc w:val="both"/>
        <w:rPr>
          <w:rFonts w:hint="cs"/>
          <w:rtl/>
        </w:rPr>
      </w:pPr>
      <w:r>
        <w:rPr>
          <w:rFonts w:hint="cs"/>
          <w:rtl/>
        </w:rPr>
        <w:t>592-</w:t>
      </w:r>
      <w:r>
        <w:rPr>
          <w:rFonts w:hint="cs"/>
          <w:rtl/>
        </w:rPr>
        <w:tab/>
      </w:r>
      <w:r>
        <w:rPr>
          <w:rtl/>
        </w:rPr>
        <w:t>ولنتناول ملاحظات اللجنة تباعاً</w:t>
      </w:r>
      <w:r>
        <w:rPr>
          <w:rFonts w:hint="cs"/>
          <w:rtl/>
        </w:rPr>
        <w:t>:</w:t>
      </w:r>
    </w:p>
    <w:p w:rsidR="00000000" w:rsidRDefault="00443EC1">
      <w:pPr>
        <w:spacing w:line="380" w:lineRule="exact"/>
        <w:jc w:val="both"/>
        <w:rPr>
          <w:rFonts w:hint="cs"/>
          <w:rtl/>
        </w:rPr>
      </w:pPr>
      <w:r>
        <w:rPr>
          <w:rFonts w:hint="cs"/>
          <w:rtl/>
        </w:rPr>
        <w:tab/>
        <w:t>(أ)</w:t>
      </w:r>
      <w:r>
        <w:rPr>
          <w:rFonts w:hint="cs"/>
          <w:rtl/>
        </w:rPr>
        <w:tab/>
      </w:r>
      <w:r>
        <w:rPr>
          <w:rFonts w:hint="cs"/>
          <w:b/>
          <w:bCs/>
          <w:rtl/>
        </w:rPr>
        <w:t>الغرف المبنية فوق الأسطح</w:t>
      </w:r>
      <w:r>
        <w:rPr>
          <w:rFonts w:hint="cs"/>
          <w:rtl/>
        </w:rPr>
        <w:t xml:space="preserve">: تدير وزارة المباني برنامجا مرحلياً لإزالة الغرف المبنية على الأسطح في حوالي 500 4 مبنى </w:t>
      </w:r>
      <w:r>
        <w:rPr>
          <w:rFonts w:hint="cs"/>
          <w:rtl/>
        </w:rPr>
        <w:t xml:space="preserve">من المباني ذات السلم الوحيد. وتساعد وزارة الإسكان في إيواء الأشخاص الذين يعيشون في الغرف المبنية فوق الأسطح بطريقة غير مشروعة والمتضررين من عمليات الإزالة هذه، كما اتخذت تدابير لتشجيعهم على تسجيل أسمائهم في </w:t>
      </w:r>
      <w:r>
        <w:rPr>
          <w:rtl/>
        </w:rPr>
        <w:t xml:space="preserve">قائمة انتظار </w:t>
      </w:r>
      <w:r>
        <w:rPr>
          <w:rFonts w:hint="cs"/>
          <w:rtl/>
        </w:rPr>
        <w:t>ل</w:t>
      </w:r>
      <w:r>
        <w:rPr>
          <w:rtl/>
        </w:rPr>
        <w:t>لحصول على مساكن عامة بإيجار</w:t>
      </w:r>
      <w:r>
        <w:rPr>
          <w:rFonts w:hint="cs"/>
          <w:rtl/>
        </w:rPr>
        <w:t>؛</w:t>
      </w:r>
    </w:p>
    <w:p w:rsidR="00000000" w:rsidRDefault="00443EC1">
      <w:pPr>
        <w:spacing w:line="380" w:lineRule="exact"/>
        <w:jc w:val="both"/>
        <w:rPr>
          <w:rFonts w:hint="cs"/>
          <w:rtl/>
        </w:rPr>
      </w:pPr>
      <w:r>
        <w:rPr>
          <w:rFonts w:hint="cs"/>
          <w:rtl/>
        </w:rPr>
        <w:tab/>
        <w:t>(ب)</w:t>
      </w:r>
      <w:r>
        <w:rPr>
          <w:rFonts w:hint="cs"/>
          <w:rtl/>
        </w:rPr>
        <w:tab/>
      </w:r>
      <w:r>
        <w:rPr>
          <w:rFonts w:hint="cs"/>
          <w:b/>
          <w:bCs/>
          <w:rtl/>
        </w:rPr>
        <w:t>ا</w:t>
      </w:r>
      <w:r>
        <w:rPr>
          <w:rFonts w:hint="cs"/>
          <w:b/>
          <w:bCs/>
          <w:rtl/>
        </w:rPr>
        <w:t>لمستقطنون</w:t>
      </w:r>
      <w:r>
        <w:rPr>
          <w:rFonts w:hint="cs"/>
          <w:rtl/>
        </w:rPr>
        <w:t xml:space="preserve">: تقوم سياستنا على إزالة المستقطنات وإيواء الأشخاص الذين يشغلونها إذا ما كانت هذه المباني معرضة لخطر انهيال التربة، أو إذا كانت مخصصة للانتفاع العام بها، أو إذا استدعت الضرورة </w:t>
      </w:r>
      <w:r>
        <w:rPr>
          <w:rtl/>
        </w:rPr>
        <w:t xml:space="preserve">تحسين </w:t>
      </w:r>
      <w:r>
        <w:rPr>
          <w:rFonts w:hint="cs"/>
          <w:rtl/>
        </w:rPr>
        <w:t>البيئة</w:t>
      </w:r>
      <w:r>
        <w:rPr>
          <w:rtl/>
        </w:rPr>
        <w:t xml:space="preserve"> </w:t>
      </w:r>
      <w:r>
        <w:rPr>
          <w:rFonts w:hint="cs"/>
          <w:rtl/>
        </w:rPr>
        <w:t>أ</w:t>
      </w:r>
      <w:r>
        <w:rPr>
          <w:rtl/>
        </w:rPr>
        <w:t>و</w:t>
      </w:r>
      <w:r>
        <w:rPr>
          <w:rFonts w:hint="cs"/>
          <w:rtl/>
        </w:rPr>
        <w:t xml:space="preserve"> </w:t>
      </w:r>
      <w:r>
        <w:rPr>
          <w:rtl/>
        </w:rPr>
        <w:t xml:space="preserve">مستويات </w:t>
      </w:r>
      <w:r>
        <w:rPr>
          <w:rFonts w:hint="cs"/>
          <w:rtl/>
        </w:rPr>
        <w:t>المعيشة في هذه المباني؛</w:t>
      </w:r>
    </w:p>
    <w:p w:rsidR="00000000" w:rsidRDefault="00443EC1">
      <w:pPr>
        <w:spacing w:line="380" w:lineRule="exact"/>
        <w:jc w:val="both"/>
        <w:rPr>
          <w:rFonts w:hint="cs"/>
          <w:rtl/>
        </w:rPr>
      </w:pPr>
      <w:r>
        <w:rPr>
          <w:rFonts w:hint="cs"/>
          <w:rtl/>
        </w:rPr>
        <w:tab/>
        <w:t>(ج)</w:t>
      </w:r>
      <w:r>
        <w:rPr>
          <w:rFonts w:hint="cs"/>
          <w:rtl/>
        </w:rPr>
        <w:tab/>
      </w:r>
      <w:r>
        <w:rPr>
          <w:rFonts w:hint="cs"/>
          <w:b/>
          <w:bCs/>
          <w:rtl/>
        </w:rPr>
        <w:t xml:space="preserve">الشقق بحجم السرير </w:t>
      </w:r>
      <w:r>
        <w:rPr>
          <w:rFonts w:hint="cs"/>
          <w:b/>
          <w:bCs/>
          <w:rtl/>
        </w:rPr>
        <w:t>الواحد</w:t>
      </w:r>
      <w:r>
        <w:rPr>
          <w:rFonts w:hint="cs"/>
          <w:rtl/>
        </w:rPr>
        <w:t>: إننا نتفهم ما يساور اللجنة من قلق إلا أننا نؤمن بأن النهج الذي نسلكه هو النهج السليم. فالأشخاص الذين يقيمون في الشقق بحجم السرير الواحد يختارون ذلك لأن هذا الحل يناسبهم لأسباب اقتصادية وأخرى شخصية. فالمجال مفتوح أمامهم للإقامة في دور الضيافة التابع</w:t>
      </w:r>
      <w:r>
        <w:rPr>
          <w:rFonts w:hint="cs"/>
          <w:rtl/>
        </w:rPr>
        <w:t>ة للحكومة، وهي دور نظيفة وآمنة ومدارة بطريقة جيدة ويمكنها أن تتسع للعدد القليل نسبيا ممن يقيم في هذه الشقق. إلا أن دور الضيافة هذه تبقى قليلة الاستخدام، لأن الأشخاص المستهدفين بشغلها يعيرون، على الأرجح، أهمية أكبر لموقع المباني ولما يلائمهم أكثر من الاهتما</w:t>
      </w:r>
      <w:r>
        <w:rPr>
          <w:rFonts w:hint="cs"/>
          <w:rtl/>
        </w:rPr>
        <w:t xml:space="preserve">م بمعايير بيئة معيشتهم. ولا يليق، من الناحية العملية، التخطيط لتوفير دور ضيافة أو ما إلى ذلك من أشكال أماكن الإقامة العامة استناداً إلى المكان الذي يفضل الأفراد العيش فيه، لا سيما وأن الاختيار يقع دائما على المناطق الحضرية التي تقِلّ فيها أماكن السكن. فلا </w:t>
      </w:r>
      <w:r>
        <w:rPr>
          <w:rFonts w:hint="cs"/>
          <w:rtl/>
        </w:rPr>
        <w:t>يمكننا إجبار الأشخاص على قبول المباني العامة إذا ما رغبوا عن ذلك. كما أننا لا نرى أنه من المعقول القضاء على شكل من أشكال مباني القطاع الخاص التي وإن كان الطلب عليها قليلا إلا أنه طلب ثابت. وبناء عليه، عمدنا بسياستنا إلى تعزيز النهوض بالظروف في الأماكن التي</w:t>
      </w:r>
      <w:r>
        <w:rPr>
          <w:rFonts w:hint="cs"/>
          <w:rtl/>
        </w:rPr>
        <w:t xml:space="preserve"> توفّر شققاً بحجم السرير الواحد. واليوم، تخضع جميع هذه الشقق لإجراءات تنظيمية بموجب نظام قانوني للترخيص</w:t>
      </w:r>
      <w:r>
        <w:rPr>
          <w:rFonts w:hint="cs"/>
          <w:vertAlign w:val="superscript"/>
          <w:rtl/>
        </w:rPr>
        <w:t>(36)</w:t>
      </w:r>
      <w:r>
        <w:rPr>
          <w:rFonts w:hint="cs"/>
          <w:rtl/>
        </w:rPr>
        <w:t xml:space="preserve"> يلزم أن تحترم هذه الشقق معايير السلامة الخاصة بالحرائق والمباني. ولاحترام هذه المعايير اضطر المسؤولون عن هذه المباني إلى توسيع المساحة المخصصة لكل س</w:t>
      </w:r>
      <w:r>
        <w:rPr>
          <w:rFonts w:hint="cs"/>
          <w:rtl/>
        </w:rPr>
        <w:t>رير، حتى لا تكون هذه الشقق مكتظة بالأسرة كسابق عهدها. ولقد سعينا، في هذا الصدد، إلى احترام الاختيار الشخصي للأشخاص المقيمين في هذه المباني، في الوقت الذي سعينا فيه إلى إدخال تحسينات جوهرية على مستوى بيئتهم المعيشية وإلى مدِّهم ببدائل حقيقية في القطاع الخاص</w:t>
      </w:r>
      <w:r>
        <w:rPr>
          <w:rFonts w:hint="cs"/>
          <w:rtl/>
        </w:rPr>
        <w:t>.</w:t>
      </w:r>
    </w:p>
    <w:p w:rsidR="00000000" w:rsidRDefault="00443EC1">
      <w:pPr>
        <w:spacing w:line="380" w:lineRule="exact"/>
        <w:jc w:val="both"/>
        <w:rPr>
          <w:rFonts w:hint="cs"/>
          <w:rtl/>
        </w:rPr>
      </w:pPr>
      <w:r>
        <w:rPr>
          <w:rFonts w:hint="cs"/>
          <w:rtl/>
        </w:rPr>
        <w:t>593-</w:t>
      </w:r>
      <w:r>
        <w:rPr>
          <w:rFonts w:hint="cs"/>
          <w:rtl/>
        </w:rPr>
        <w:tab/>
        <w:t>وتقوم سياستنا على مبدأ أن ما من أحد يبقى بلا مأوى نتيجة لعمليات الإزالة التي تقوم بها الحكومة.</w:t>
      </w:r>
    </w:p>
    <w:p w:rsidR="00000000" w:rsidRDefault="00443EC1">
      <w:pPr>
        <w:spacing w:line="380" w:lineRule="exact"/>
        <w:jc w:val="both"/>
        <w:rPr>
          <w:rFonts w:hint="cs"/>
          <w:b/>
          <w:bCs/>
          <w:rtl/>
        </w:rPr>
      </w:pPr>
      <w:r>
        <w:rPr>
          <w:rFonts w:hint="cs"/>
          <w:b/>
          <w:bCs/>
          <w:rtl/>
        </w:rPr>
        <w:t>الفقر</w:t>
      </w:r>
    </w:p>
    <w:p w:rsidR="00000000" w:rsidRDefault="00443EC1">
      <w:pPr>
        <w:spacing w:line="380" w:lineRule="exact"/>
        <w:jc w:val="both"/>
        <w:rPr>
          <w:rFonts w:hint="cs"/>
          <w:rtl/>
        </w:rPr>
      </w:pPr>
      <w:r>
        <w:rPr>
          <w:rFonts w:hint="cs"/>
          <w:rtl/>
        </w:rPr>
        <w:t>594-</w:t>
      </w:r>
      <w:r>
        <w:rPr>
          <w:rFonts w:hint="cs"/>
          <w:rtl/>
        </w:rPr>
        <w:tab/>
        <w:t xml:space="preserve">أعربت اللجنة، في الفقرة 18 من ملاحظاتها الختامية لعام 2001، عن بالغ قلقها "لاتساع انتشار الفقر إلى حد غير مقبول في منطقة هونغ كونغ". كما أعربت </w:t>
      </w:r>
      <w:r>
        <w:rPr>
          <w:rFonts w:hint="cs"/>
          <w:rtl/>
        </w:rPr>
        <w:t>عن قلقها بوجه خاص إزاء كبر عدد المسنين الذين ما زالوا يعيشون في الفقر دون أن تتاح لهم فعلاً إمكانية الحصول على الخدمات الاجتماعية. وأعربت اللجنة، في الفقرة 19، عن شديد القلق "لأن منطقة هونغ كونغ تفتقر إلى الترتيبات المؤسسية الوافية اللازمة لصياغة استراتيجي</w:t>
      </w:r>
      <w:r>
        <w:rPr>
          <w:rFonts w:hint="cs"/>
          <w:rtl/>
        </w:rPr>
        <w:t>ات شاملة ومتكاملة ومتسقة وفعالة لمكافحة الفقر، ولوضع هذه الاستراتيجيات موضع التنفيذ". وحثت اللجنة، في الفقرة 38، هذه المنطقة "على أن تنشئ إما وحدة مشتركة بين الإدارات لمكافحة الفقر أو لجنة مستقلة لمكافحة الفقر، تتولى إجراء البحوث ذات الصلة ووضع استراتيجيات</w:t>
      </w:r>
      <w:r>
        <w:rPr>
          <w:rFonts w:hint="cs"/>
          <w:rtl/>
        </w:rPr>
        <w:t xml:space="preserve"> لمكافحة الفقر ورصد جميع السياسات لتحديد ما لها من أثر في الفقر". وفي الفقرة 39، حثت اللجنة منطقة هونغ كونغ "على أن تكفل أن مستويات المساعدة الشاملة المقدمة في إطار الضمان الاجتماعي تتيح لمتلقيها مستوى معيشياً معقولاً بما يتمشى وأحكام المادتين 9 و11 من الع</w:t>
      </w:r>
      <w:r>
        <w:rPr>
          <w:rFonts w:hint="cs"/>
          <w:rtl/>
        </w:rPr>
        <w:t>هد". وقد أورد المعلقون المحليّون أوجه القلق هذه وطالب البعض منهم الحكومة بتحديد خط فقر رسمي.</w:t>
      </w:r>
    </w:p>
    <w:p w:rsidR="00000000" w:rsidRDefault="00443EC1">
      <w:pPr>
        <w:spacing w:line="380" w:lineRule="exact"/>
        <w:jc w:val="both"/>
        <w:rPr>
          <w:rFonts w:hint="cs"/>
          <w:rtl/>
        </w:rPr>
      </w:pPr>
      <w:r>
        <w:rPr>
          <w:rFonts w:hint="cs"/>
          <w:rtl/>
        </w:rPr>
        <w:t>595-</w:t>
      </w:r>
      <w:r>
        <w:rPr>
          <w:rFonts w:hint="cs"/>
          <w:rtl/>
        </w:rPr>
        <w:tab/>
        <w:t xml:space="preserve">والنهج الذي نسلكه هو ذلك الذي توضحه الفقرات من 567 إلى 570 أعلاه فيما يتعلق بتوزيع الدخل. أي أننا نرى أن ثمة صلة بين مسألتي التفاوت في الدخل والفقر، لذلك فإن </w:t>
      </w:r>
      <w:r>
        <w:rPr>
          <w:rFonts w:hint="cs"/>
          <w:rtl/>
        </w:rPr>
        <w:t>الاستراتيجية التي نعتمدها فيما يتعلق بهاتين المسألتين تركز على ما يلي:</w:t>
      </w:r>
    </w:p>
    <w:p w:rsidR="00000000" w:rsidRDefault="00443EC1">
      <w:pPr>
        <w:spacing w:line="380" w:lineRule="exact"/>
        <w:jc w:val="both"/>
        <w:rPr>
          <w:rFonts w:hint="cs"/>
          <w:rtl/>
        </w:rPr>
      </w:pPr>
      <w:r>
        <w:rPr>
          <w:rFonts w:hint="cs"/>
          <w:rtl/>
        </w:rPr>
        <w:tab/>
        <w:t>(أ)</w:t>
      </w:r>
      <w:r>
        <w:rPr>
          <w:rFonts w:hint="cs"/>
          <w:rtl/>
        </w:rPr>
        <w:tab/>
        <w:t>النمو الاقتصادي؛</w:t>
      </w:r>
    </w:p>
    <w:p w:rsidR="00000000" w:rsidRDefault="00443EC1">
      <w:pPr>
        <w:spacing w:line="380" w:lineRule="exact"/>
        <w:jc w:val="both"/>
        <w:rPr>
          <w:rFonts w:hint="cs"/>
          <w:rtl/>
        </w:rPr>
      </w:pPr>
      <w:r>
        <w:rPr>
          <w:rFonts w:hint="cs"/>
          <w:rtl/>
        </w:rPr>
        <w:tab/>
        <w:t>(ب)</w:t>
      </w:r>
      <w:r>
        <w:rPr>
          <w:rFonts w:hint="cs"/>
          <w:rtl/>
        </w:rPr>
        <w:tab/>
        <w:t>التنمية البشرية؛</w:t>
      </w:r>
    </w:p>
    <w:p w:rsidR="00000000" w:rsidRDefault="00443EC1">
      <w:pPr>
        <w:spacing w:line="380" w:lineRule="exact"/>
        <w:jc w:val="both"/>
        <w:rPr>
          <w:rFonts w:hint="cs"/>
          <w:rtl/>
        </w:rPr>
      </w:pPr>
      <w:r>
        <w:rPr>
          <w:rFonts w:hint="cs"/>
          <w:rtl/>
        </w:rPr>
        <w:tab/>
        <w:t>(ج)</w:t>
      </w:r>
      <w:r>
        <w:rPr>
          <w:rFonts w:hint="cs"/>
          <w:rtl/>
        </w:rPr>
        <w:tab/>
        <w:t>الاستثمارات الاجتماعية.</w:t>
      </w:r>
    </w:p>
    <w:p w:rsidR="00000000" w:rsidRDefault="00443EC1">
      <w:pPr>
        <w:spacing w:line="380" w:lineRule="exact"/>
        <w:jc w:val="both"/>
        <w:rPr>
          <w:rFonts w:hint="cs"/>
          <w:rtl/>
        </w:rPr>
      </w:pPr>
      <w:r>
        <w:rPr>
          <w:rFonts w:hint="cs"/>
          <w:rtl/>
        </w:rPr>
        <w:t>وبناء عليه، تتجلى أولى أولوياتنا في مساعدة الأشخاص المستضعفين اجتماعيا على تحسين أوضاعهم، لا سيما الأشخاص ذوو ال</w:t>
      </w:r>
      <w:r>
        <w:rPr>
          <w:rFonts w:hint="cs"/>
          <w:rtl/>
        </w:rPr>
        <w:t>قدرات المحدودة على الارتقاء. وسعياً وراء تحقيق هذا الهدف، نعمل حثيثاً على اتخاذ مبادرات للزيادة من فرص الشغل، ولخلق فرص للتعليم والتدريب وإعادة التدريب، ولمساعدة العاطلين عن العمل على إيجاد وظائف</w:t>
      </w:r>
      <w:r>
        <w:rPr>
          <w:rFonts w:hint="cs"/>
          <w:vertAlign w:val="superscript"/>
          <w:rtl/>
        </w:rPr>
        <w:t>(37)</w:t>
      </w:r>
      <w:r>
        <w:rPr>
          <w:rFonts w:hint="cs"/>
          <w:rtl/>
        </w:rPr>
        <w:t>.</w:t>
      </w:r>
    </w:p>
    <w:p w:rsidR="00000000" w:rsidRDefault="00443EC1">
      <w:pPr>
        <w:spacing w:line="380" w:lineRule="exact"/>
        <w:jc w:val="both"/>
        <w:rPr>
          <w:rFonts w:hint="cs"/>
          <w:i/>
          <w:iCs/>
          <w:rtl/>
        </w:rPr>
      </w:pPr>
      <w:r>
        <w:rPr>
          <w:rFonts w:hint="cs"/>
          <w:i/>
          <w:iCs/>
          <w:rtl/>
        </w:rPr>
        <w:t>خط فقر رسمي</w:t>
      </w:r>
    </w:p>
    <w:p w:rsidR="00000000" w:rsidRDefault="00443EC1">
      <w:pPr>
        <w:spacing w:line="380" w:lineRule="exact"/>
        <w:jc w:val="both"/>
        <w:rPr>
          <w:rFonts w:hint="cs"/>
          <w:rtl/>
        </w:rPr>
      </w:pPr>
      <w:r>
        <w:rPr>
          <w:rFonts w:hint="cs"/>
          <w:rtl/>
        </w:rPr>
        <w:t>596-</w:t>
      </w:r>
      <w:r>
        <w:rPr>
          <w:rFonts w:hint="cs"/>
          <w:rtl/>
        </w:rPr>
        <w:tab/>
        <w:t>نحن لا نعتقد أن تحديد خط فقر رسمي من ش</w:t>
      </w:r>
      <w:r>
        <w:rPr>
          <w:rFonts w:hint="cs"/>
          <w:rtl/>
        </w:rPr>
        <w:t>أنه أن يحسِّن من وضع المستضعفين. إذ لا توجد تعاريف أو تدابير خاصة بالفقر، وأي محاولة لتعريف الفقر إنما تحمل حتماً بين طياتها أحكاما قيمية ذاتية. ويقوم تعريف الفقر الذي يعتمده كل مجتمع من المجتمعات على معايير هذا المجتمع وعلى قِيمه، كما أنه غالبا ما يتأثر ب</w:t>
      </w:r>
      <w:r>
        <w:rPr>
          <w:rFonts w:hint="cs"/>
          <w:rtl/>
        </w:rPr>
        <w:t>بعض المتغيرات كالزمان والمكان والظروف الاجتماعية السائدة. ويكمن الهدف المشترك، على العموم، في مدّ يد المساعدة للمحرومين من الأشخاص.</w:t>
      </w:r>
    </w:p>
    <w:p w:rsidR="00000000" w:rsidRDefault="00443EC1">
      <w:pPr>
        <w:spacing w:line="380" w:lineRule="exact"/>
        <w:jc w:val="both"/>
        <w:rPr>
          <w:rFonts w:hint="cs"/>
          <w:rtl/>
        </w:rPr>
      </w:pPr>
      <w:r>
        <w:rPr>
          <w:rFonts w:hint="cs"/>
          <w:rtl/>
        </w:rPr>
        <w:t>597-</w:t>
      </w:r>
      <w:r>
        <w:rPr>
          <w:rFonts w:hint="cs"/>
          <w:rtl/>
        </w:rPr>
        <w:tab/>
        <w:t>ونحن على وعي بأن بعض المنظمات غير الحكومية تحدد الفقر بأرقام نسبية، فتحدّد خط الفقر مثلا بنصف الأجر المتوسط، أو نصف الد</w:t>
      </w:r>
      <w:r>
        <w:rPr>
          <w:rFonts w:hint="cs"/>
          <w:rtl/>
        </w:rPr>
        <w:t>خل المتوسط للأسرة، أو ما شابه ذلك من المقاييس. إلا أن هذا النهج يكفل أن تحتضن جميع المجتمعات دوماً، وحتى أكثرها غنى، جماعة من الناس يُنظر إليهم على أنهم "فقراء"، لذلك نرى أنه نهج غير سليم. وثمة منظمات غير حكومية أخرى حددت الفقر استناداً إلى توزيع الدخل. إل</w:t>
      </w:r>
      <w:r>
        <w:rPr>
          <w:rFonts w:hint="cs"/>
          <w:rtl/>
        </w:rPr>
        <w:t>ا أن هذه التحليلات لا تراعي أبداً الدخل الملموس الذي ينشأ من الإنفاق الحكومي على السكن والصحة والتعليم، مما يؤدي إلى التقليل من الفعالية الاقتصادية لخدمات الرعاية في تحسين دخل الأسرة وتوزيعه.</w:t>
      </w:r>
    </w:p>
    <w:p w:rsidR="00000000" w:rsidRDefault="00443EC1">
      <w:pPr>
        <w:spacing w:line="380" w:lineRule="exact"/>
        <w:jc w:val="both"/>
        <w:rPr>
          <w:spacing w:val="2"/>
          <w:rtl/>
        </w:rPr>
      </w:pPr>
      <w:r>
        <w:rPr>
          <w:rFonts w:hint="cs"/>
          <w:spacing w:val="2"/>
          <w:rtl/>
        </w:rPr>
        <w:t>598-</w:t>
      </w:r>
      <w:r>
        <w:rPr>
          <w:rFonts w:hint="cs"/>
          <w:spacing w:val="2"/>
          <w:rtl/>
        </w:rPr>
        <w:tab/>
        <w:t>وفي هونغ كونغ، تحدد معايير الأهلية للاستفادة من المساعدة ال</w:t>
      </w:r>
      <w:r>
        <w:rPr>
          <w:rFonts w:hint="cs"/>
          <w:spacing w:val="2"/>
          <w:rtl/>
        </w:rPr>
        <w:t>شاملة المقدمة في إطار الضمان الاجتماعي الأشخاص المحرومين في المجتمع الذي نرى من الضروري مدّ يد العون والمساعدة لهم للاستجابة لاحتياجاتهم الأساسية والضرورية. كما يتلقى المحتاجون المساعدة في شكل خدمات للرعاية وفي شكل تعليم مجاني أو بتكاليف منخفضة ومساكن مدعو</w:t>
      </w:r>
      <w:r>
        <w:rPr>
          <w:rFonts w:hint="cs"/>
          <w:spacing w:val="2"/>
          <w:rtl/>
        </w:rPr>
        <w:t>مة ورعاية صحية. ويدار كل برنامج بمعايير منصوص عليها تحدد من هو أهل لتلقي الخدمات التي يُقدمها هذا البرنامج، بعد مراعاة اعتبارات السياسة العامة ذات الصلة ومراعاة ظروف محددة. ولعل تحديد خط فقر رسمي لا يضر بهذه المعايير. وبعبارات أخرى، قد يبقى الأشخاص الذي يس</w:t>
      </w:r>
      <w:r>
        <w:rPr>
          <w:rFonts w:hint="cs"/>
          <w:spacing w:val="2"/>
          <w:rtl/>
        </w:rPr>
        <w:t>تحقون الحصول على هذه المساعدة في الوقت الحاضر أهلا للحصول عليها في المستقبل، بصرف النظر عما إذا حُدِّد خط للفقر أم لم يُحدَّد.</w:t>
      </w:r>
    </w:p>
    <w:p w:rsidR="00000000" w:rsidRDefault="00443EC1">
      <w:pPr>
        <w:spacing w:line="380" w:lineRule="exact"/>
        <w:jc w:val="both"/>
        <w:rPr>
          <w:rFonts w:hint="cs"/>
          <w:i/>
          <w:iCs/>
          <w:rtl/>
        </w:rPr>
      </w:pPr>
      <w:r>
        <w:rPr>
          <w:rFonts w:hint="cs"/>
          <w:i/>
          <w:iCs/>
          <w:rtl/>
        </w:rPr>
        <w:t>هيئة مخصصة للفقر</w:t>
      </w:r>
    </w:p>
    <w:p w:rsidR="00000000" w:rsidRDefault="00443EC1">
      <w:pPr>
        <w:spacing w:line="380" w:lineRule="exact"/>
        <w:jc w:val="both"/>
        <w:rPr>
          <w:rFonts w:hint="cs"/>
          <w:rtl/>
        </w:rPr>
      </w:pPr>
      <w:r>
        <w:rPr>
          <w:rFonts w:hint="cs"/>
          <w:rtl/>
        </w:rPr>
        <w:t>599-</w:t>
      </w:r>
      <w:r>
        <w:rPr>
          <w:rFonts w:hint="cs"/>
          <w:rtl/>
        </w:rPr>
        <w:tab/>
        <w:t>نتناول الفقر باعتباره مسألة تشمل عدة قطاعات من خلال إجراء العديد من المنتديات الداخلية وعن طريق التنسيق على</w:t>
      </w:r>
      <w:r>
        <w:rPr>
          <w:rFonts w:hint="cs"/>
          <w:rtl/>
        </w:rPr>
        <w:t xml:space="preserve"> مستويات مختلفة داخل الحكومة المسؤولة أمام الهيئة التشريعية. ورداً على المسألة المحددة المتعلقة بإنشاء هيئة تنسيق تُعنى بالنظر في الفقر، نلاحظ بكل احترام أوجه القلق التي أعربت عنها اللجنة والتوصيات التي أبدتها. إلا أننا نؤمن إيمانا راسخا بأن الترتيبات الجا</w:t>
      </w:r>
      <w:r>
        <w:rPr>
          <w:rFonts w:hint="cs"/>
          <w:rtl/>
        </w:rPr>
        <w:t>رية توفّر الدرجة اللازمة من التنسيق وإسهام المجتمعات المحلية، كما نؤمن بأن لا ميزة هناك من إنشاء هيئة تنسيق مخصصة.</w:t>
      </w:r>
    </w:p>
    <w:p w:rsidR="00000000" w:rsidRDefault="00443EC1">
      <w:pPr>
        <w:spacing w:line="380" w:lineRule="exact"/>
        <w:jc w:val="center"/>
        <w:rPr>
          <w:rFonts w:hint="cs"/>
          <w:b/>
          <w:bCs/>
          <w:rtl/>
        </w:rPr>
      </w:pPr>
      <w:r>
        <w:rPr>
          <w:rFonts w:hint="cs"/>
          <w:b/>
          <w:bCs/>
          <w:rtl/>
        </w:rPr>
        <w:t>لام - المادة 12</w:t>
      </w:r>
    </w:p>
    <w:p w:rsidR="00000000" w:rsidRDefault="00443EC1">
      <w:pPr>
        <w:spacing w:line="380" w:lineRule="exact"/>
        <w:jc w:val="center"/>
        <w:rPr>
          <w:b/>
          <w:bCs/>
          <w:rtl/>
        </w:rPr>
      </w:pPr>
      <w:r>
        <w:rPr>
          <w:b/>
          <w:bCs/>
          <w:rtl/>
        </w:rPr>
        <w:t>الحق في الصحة</w:t>
      </w:r>
    </w:p>
    <w:p w:rsidR="00000000" w:rsidRDefault="00443EC1">
      <w:pPr>
        <w:spacing w:line="380" w:lineRule="exact"/>
        <w:jc w:val="both"/>
        <w:rPr>
          <w:rFonts w:hint="cs"/>
          <w:b/>
          <w:bCs/>
          <w:rtl/>
        </w:rPr>
      </w:pPr>
      <w:r>
        <w:rPr>
          <w:rFonts w:hint="cs"/>
          <w:b/>
          <w:bCs/>
          <w:rtl/>
        </w:rPr>
        <w:t>الصحة والرعاية الصحية</w:t>
      </w:r>
    </w:p>
    <w:p w:rsidR="00000000" w:rsidRDefault="00443EC1">
      <w:pPr>
        <w:spacing w:line="380" w:lineRule="exact"/>
        <w:jc w:val="both"/>
        <w:rPr>
          <w:rFonts w:hint="cs"/>
          <w:rtl/>
        </w:rPr>
      </w:pPr>
      <w:r>
        <w:rPr>
          <w:rFonts w:hint="cs"/>
          <w:rtl/>
        </w:rPr>
        <w:t>600-</w:t>
      </w:r>
      <w:r>
        <w:rPr>
          <w:rFonts w:hint="cs"/>
          <w:rtl/>
        </w:rPr>
        <w:tab/>
        <w:t>لا يزال الوضع، على المستوى الدستوري، على النحو الوارد توضيحه في الفقرة 412 من التقري</w:t>
      </w:r>
      <w:r>
        <w:rPr>
          <w:rFonts w:hint="cs"/>
          <w:rtl/>
        </w:rPr>
        <w:t>ر الأولي.</w:t>
      </w:r>
    </w:p>
    <w:p w:rsidR="00000000" w:rsidRDefault="00443EC1">
      <w:pPr>
        <w:spacing w:line="380" w:lineRule="exact"/>
        <w:jc w:val="both"/>
        <w:rPr>
          <w:rFonts w:hint="cs"/>
          <w:b/>
          <w:bCs/>
          <w:rtl/>
        </w:rPr>
      </w:pPr>
      <w:r>
        <w:rPr>
          <w:rFonts w:hint="cs"/>
          <w:b/>
          <w:bCs/>
          <w:rtl/>
        </w:rPr>
        <w:t>السياسة العامة</w:t>
      </w:r>
    </w:p>
    <w:p w:rsidR="00000000" w:rsidRDefault="00443EC1">
      <w:pPr>
        <w:spacing w:line="380" w:lineRule="exact"/>
        <w:jc w:val="both"/>
        <w:rPr>
          <w:rFonts w:hint="cs"/>
          <w:rtl/>
        </w:rPr>
      </w:pPr>
      <w:r>
        <w:rPr>
          <w:rFonts w:hint="cs"/>
          <w:rtl/>
        </w:rPr>
        <w:t>601-</w:t>
      </w:r>
      <w:r>
        <w:rPr>
          <w:rFonts w:hint="cs"/>
          <w:rtl/>
        </w:rPr>
        <w:tab/>
        <w:t>لا تزال السياسة التي تنهجها الحكومة على النحو الوارد وصفه في الفقرة 413 من التقرير الأولي. وفي الفترة المتراوحة بين عامي 2002 و2003، بلغ الإنفاق العام في مجال الرعاية الصحية 32.5 مليار دولار من دولارات هونغ كونغ (أي ما يعادل 4</w:t>
      </w:r>
      <w:r>
        <w:rPr>
          <w:rFonts w:hint="cs"/>
          <w:rtl/>
        </w:rPr>
        <w:t>.2 مليار دولار من دولارات الولايات المتحدة)، أو ما يعادل 14.8 في المائة من مجموع النفقات العامة المتكررة. وعلى سبيل المقارنة، بلغت نسبة هذه النفقات 14.7 في المائة في الفترة المتراوحة بين عامي 1997 و1998.</w:t>
      </w:r>
    </w:p>
    <w:p w:rsidR="00000000" w:rsidRDefault="00443EC1">
      <w:pPr>
        <w:spacing w:line="380" w:lineRule="exact"/>
        <w:jc w:val="both"/>
        <w:rPr>
          <w:rFonts w:hint="cs"/>
          <w:rtl/>
        </w:rPr>
      </w:pPr>
      <w:r>
        <w:rPr>
          <w:rFonts w:hint="cs"/>
          <w:rtl/>
        </w:rPr>
        <w:t>602-</w:t>
      </w:r>
      <w:r>
        <w:rPr>
          <w:rFonts w:hint="cs"/>
          <w:rtl/>
        </w:rPr>
        <w:tab/>
        <w:t>ويكمِّل القطاع العام والقطاع الخاص بعضهما بعضاً</w:t>
      </w:r>
      <w:r>
        <w:rPr>
          <w:rFonts w:hint="cs"/>
          <w:rtl/>
        </w:rPr>
        <w:t xml:space="preserve"> فيما يتعلق بتوفير الخدمات الصحية. وفي العامين 2000 و2001، قُدِّر مجموع النفقات على الرعاية الصحية في القطاع الخاص بزهاء 37.5 مليار دولار من دولارات هونغ كونغ (أي ما يعادل 4.8 من مليارات دولارات الولايات المتحدة).</w:t>
      </w:r>
    </w:p>
    <w:p w:rsidR="00000000" w:rsidRDefault="00443EC1">
      <w:pPr>
        <w:spacing w:line="380" w:lineRule="exact"/>
        <w:jc w:val="both"/>
        <w:rPr>
          <w:b/>
          <w:bCs/>
          <w:rtl/>
        </w:rPr>
      </w:pPr>
      <w:r>
        <w:rPr>
          <w:b/>
          <w:bCs/>
          <w:rtl/>
        </w:rPr>
        <w:t>الصحة العامة لسكان هونغ كونغ</w:t>
      </w:r>
    </w:p>
    <w:p w:rsidR="00000000" w:rsidRDefault="00443EC1">
      <w:pPr>
        <w:spacing w:line="380" w:lineRule="exact"/>
        <w:jc w:val="both"/>
        <w:rPr>
          <w:rFonts w:hint="cs"/>
          <w:rtl/>
        </w:rPr>
      </w:pPr>
      <w:r>
        <w:rPr>
          <w:rFonts w:hint="cs"/>
          <w:rtl/>
        </w:rPr>
        <w:t>603-</w:t>
      </w:r>
      <w:r>
        <w:rPr>
          <w:rFonts w:hint="cs"/>
          <w:rtl/>
        </w:rPr>
        <w:tab/>
      </w:r>
      <w:r>
        <w:rPr>
          <w:rtl/>
        </w:rPr>
        <w:t xml:space="preserve">لا تزال </w:t>
      </w:r>
      <w:r>
        <w:rPr>
          <w:rtl/>
        </w:rPr>
        <w:t>المؤشرات الصحية لهونغ كونغ إيجابية مقارنة</w:t>
      </w:r>
      <w:r>
        <w:rPr>
          <w:rFonts w:hint="cs"/>
          <w:rtl/>
        </w:rPr>
        <w:t xml:space="preserve"> مع </w:t>
      </w:r>
      <w:r>
        <w:rPr>
          <w:rtl/>
        </w:rPr>
        <w:t>مؤشرات البلدان المتقدمة</w:t>
      </w:r>
      <w:r>
        <w:rPr>
          <w:rFonts w:hint="cs"/>
          <w:rtl/>
        </w:rPr>
        <w:t xml:space="preserve"> كما يوضح ذلك الجدول التالي:</w:t>
      </w:r>
    </w:p>
    <w:p w:rsidR="00000000" w:rsidRDefault="00443EC1">
      <w:pPr>
        <w:spacing w:line="380" w:lineRule="exact"/>
        <w:jc w:val="both"/>
        <w:rPr>
          <w:rFonts w:hint="cs"/>
          <w:rtl/>
        </w:rPr>
      </w:pPr>
    </w:p>
    <w:tbl>
      <w:tblPr>
        <w:bidiVisual/>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12"/>
        <w:gridCol w:w="1750"/>
        <w:gridCol w:w="1974"/>
        <w:gridCol w:w="770"/>
        <w:gridCol w:w="854"/>
      </w:tblGrid>
      <w:tr w:rsidR="00443EC1" w:rsidTr="00443EC1">
        <w:tblPrEx>
          <w:tblCellMar>
            <w:top w:w="0" w:type="dxa"/>
            <w:bottom w:w="0" w:type="dxa"/>
          </w:tblCellMar>
        </w:tblPrEx>
        <w:trPr>
          <w:cantSplit/>
          <w:jc w:val="center"/>
        </w:trPr>
        <w:tc>
          <w:tcPr>
            <w:tcW w:w="4012" w:type="dxa"/>
            <w:vMerge w:val="restart"/>
          </w:tcPr>
          <w:p w:rsidR="00443EC1" w:rsidRDefault="00443EC1">
            <w:pPr>
              <w:spacing w:before="0" w:after="0" w:line="320" w:lineRule="exact"/>
              <w:jc w:val="center"/>
              <w:rPr>
                <w:sz w:val="24"/>
                <w:szCs w:val="24"/>
                <w:rtl/>
              </w:rPr>
            </w:pPr>
          </w:p>
        </w:tc>
        <w:tc>
          <w:tcPr>
            <w:tcW w:w="1750" w:type="dxa"/>
            <w:vMerge w:val="restart"/>
          </w:tcPr>
          <w:p w:rsidR="00443EC1" w:rsidRDefault="00443EC1">
            <w:pPr>
              <w:spacing w:before="0" w:after="0" w:line="320" w:lineRule="exact"/>
              <w:jc w:val="center"/>
              <w:rPr>
                <w:sz w:val="24"/>
                <w:szCs w:val="24"/>
                <w:rtl/>
              </w:rPr>
            </w:pPr>
            <w:r>
              <w:rPr>
                <w:sz w:val="24"/>
                <w:szCs w:val="24"/>
                <w:rtl/>
              </w:rPr>
              <w:t>معدل وفيات الرضع</w:t>
            </w:r>
            <w:r>
              <w:rPr>
                <w:rFonts w:hint="cs"/>
                <w:sz w:val="24"/>
                <w:szCs w:val="24"/>
                <w:rtl/>
              </w:rPr>
              <w:br/>
            </w:r>
            <w:r>
              <w:rPr>
                <w:sz w:val="24"/>
                <w:szCs w:val="24"/>
                <w:rtl/>
              </w:rPr>
              <w:t>(</w:t>
            </w:r>
            <w:r>
              <w:rPr>
                <w:rFonts w:hint="cs"/>
                <w:sz w:val="24"/>
                <w:szCs w:val="24"/>
                <w:rtl/>
              </w:rPr>
              <w:t>لكل ألف</w:t>
            </w:r>
            <w:r>
              <w:rPr>
                <w:sz w:val="24"/>
                <w:szCs w:val="24"/>
                <w:rtl/>
              </w:rPr>
              <w:t xml:space="preserve"> م</w:t>
            </w:r>
            <w:r>
              <w:rPr>
                <w:rFonts w:hint="cs"/>
                <w:sz w:val="24"/>
                <w:szCs w:val="24"/>
                <w:rtl/>
              </w:rPr>
              <w:t>ولود حي</w:t>
            </w:r>
            <w:r>
              <w:rPr>
                <w:sz w:val="24"/>
                <w:szCs w:val="24"/>
                <w:rtl/>
              </w:rPr>
              <w:t>)</w:t>
            </w:r>
          </w:p>
        </w:tc>
        <w:tc>
          <w:tcPr>
            <w:tcW w:w="1974" w:type="dxa"/>
            <w:vMerge w:val="restart"/>
          </w:tcPr>
          <w:p w:rsidR="00443EC1" w:rsidRDefault="00443EC1">
            <w:pPr>
              <w:spacing w:before="0" w:after="0" w:line="320" w:lineRule="exact"/>
              <w:jc w:val="center"/>
              <w:rPr>
                <w:sz w:val="24"/>
                <w:szCs w:val="24"/>
                <w:rtl/>
              </w:rPr>
            </w:pPr>
            <w:r>
              <w:rPr>
                <w:sz w:val="24"/>
                <w:szCs w:val="24"/>
                <w:rtl/>
              </w:rPr>
              <w:t>معدل وفيات الأمهات</w:t>
            </w:r>
            <w:r>
              <w:rPr>
                <w:rFonts w:hint="cs"/>
                <w:sz w:val="24"/>
                <w:szCs w:val="24"/>
                <w:rtl/>
              </w:rPr>
              <w:br/>
            </w:r>
            <w:r>
              <w:rPr>
                <w:sz w:val="24"/>
                <w:szCs w:val="24"/>
                <w:rtl/>
              </w:rPr>
              <w:t>(لكل 000 100 مولود)</w:t>
            </w:r>
          </w:p>
        </w:tc>
        <w:tc>
          <w:tcPr>
            <w:tcW w:w="1624" w:type="dxa"/>
            <w:gridSpan w:val="2"/>
            <w:vAlign w:val="center"/>
          </w:tcPr>
          <w:p w:rsidR="00443EC1" w:rsidRDefault="00443EC1">
            <w:pPr>
              <w:spacing w:before="0" w:after="0" w:line="320" w:lineRule="exact"/>
              <w:jc w:val="center"/>
              <w:rPr>
                <w:sz w:val="24"/>
                <w:szCs w:val="24"/>
                <w:rtl/>
              </w:rPr>
            </w:pPr>
            <w:r>
              <w:rPr>
                <w:sz w:val="24"/>
                <w:szCs w:val="24"/>
                <w:rtl/>
              </w:rPr>
              <w:t>متوسط العمر المتوقع</w:t>
            </w:r>
          </w:p>
        </w:tc>
      </w:tr>
      <w:tr w:rsidR="00443EC1" w:rsidTr="00443EC1">
        <w:tblPrEx>
          <w:tblCellMar>
            <w:top w:w="0" w:type="dxa"/>
            <w:bottom w:w="0" w:type="dxa"/>
          </w:tblCellMar>
        </w:tblPrEx>
        <w:trPr>
          <w:cantSplit/>
          <w:jc w:val="center"/>
        </w:trPr>
        <w:tc>
          <w:tcPr>
            <w:tcW w:w="4012" w:type="dxa"/>
            <w:vMerge/>
          </w:tcPr>
          <w:p w:rsidR="00443EC1" w:rsidRDefault="00443EC1">
            <w:pPr>
              <w:spacing w:before="0" w:after="0" w:line="320" w:lineRule="exact"/>
              <w:jc w:val="center"/>
              <w:rPr>
                <w:sz w:val="24"/>
                <w:szCs w:val="24"/>
                <w:rtl/>
              </w:rPr>
            </w:pPr>
          </w:p>
        </w:tc>
        <w:tc>
          <w:tcPr>
            <w:tcW w:w="1750" w:type="dxa"/>
            <w:vMerge/>
          </w:tcPr>
          <w:p w:rsidR="00443EC1" w:rsidRDefault="00443EC1">
            <w:pPr>
              <w:spacing w:before="0" w:after="0" w:line="320" w:lineRule="exact"/>
              <w:jc w:val="center"/>
              <w:rPr>
                <w:sz w:val="24"/>
                <w:szCs w:val="24"/>
                <w:rtl/>
              </w:rPr>
            </w:pPr>
          </w:p>
        </w:tc>
        <w:tc>
          <w:tcPr>
            <w:tcW w:w="1974" w:type="dxa"/>
            <w:vMerge/>
          </w:tcPr>
          <w:p w:rsidR="00443EC1" w:rsidRDefault="00443EC1">
            <w:pPr>
              <w:spacing w:before="0" w:after="0" w:line="320" w:lineRule="exact"/>
              <w:jc w:val="center"/>
              <w:rPr>
                <w:sz w:val="24"/>
                <w:szCs w:val="24"/>
                <w:rtl/>
              </w:rPr>
            </w:pPr>
          </w:p>
        </w:tc>
        <w:tc>
          <w:tcPr>
            <w:tcW w:w="770" w:type="dxa"/>
            <w:vAlign w:val="center"/>
          </w:tcPr>
          <w:p w:rsidR="00443EC1" w:rsidRDefault="00443EC1">
            <w:pPr>
              <w:spacing w:before="0" w:after="0" w:line="320" w:lineRule="exact"/>
              <w:jc w:val="center"/>
              <w:rPr>
                <w:sz w:val="24"/>
                <w:szCs w:val="24"/>
                <w:rtl/>
              </w:rPr>
            </w:pPr>
            <w:r>
              <w:rPr>
                <w:sz w:val="24"/>
                <w:szCs w:val="24"/>
                <w:rtl/>
              </w:rPr>
              <w:t>ذكور</w:t>
            </w:r>
          </w:p>
        </w:tc>
        <w:tc>
          <w:tcPr>
            <w:tcW w:w="854" w:type="dxa"/>
            <w:vAlign w:val="center"/>
          </w:tcPr>
          <w:p w:rsidR="00443EC1" w:rsidRDefault="00443EC1">
            <w:pPr>
              <w:spacing w:before="0" w:after="0" w:line="320" w:lineRule="exact"/>
              <w:jc w:val="center"/>
              <w:rPr>
                <w:sz w:val="24"/>
                <w:szCs w:val="24"/>
                <w:rtl/>
              </w:rPr>
            </w:pPr>
            <w:r>
              <w:rPr>
                <w:sz w:val="24"/>
                <w:szCs w:val="24"/>
                <w:rtl/>
              </w:rPr>
              <w:t>إناث</w:t>
            </w:r>
          </w:p>
        </w:tc>
      </w:tr>
      <w:tr w:rsidR="00443EC1" w:rsidTr="00443EC1">
        <w:tblPrEx>
          <w:tblCellMar>
            <w:top w:w="0" w:type="dxa"/>
            <w:bottom w:w="0" w:type="dxa"/>
          </w:tblCellMar>
        </w:tblPrEx>
        <w:trPr>
          <w:jc w:val="center"/>
        </w:trPr>
        <w:tc>
          <w:tcPr>
            <w:tcW w:w="4012" w:type="dxa"/>
          </w:tcPr>
          <w:p w:rsidR="00443EC1" w:rsidRDefault="00443EC1">
            <w:pPr>
              <w:spacing w:before="0" w:after="0" w:line="320" w:lineRule="exact"/>
              <w:jc w:val="both"/>
              <w:rPr>
                <w:rFonts w:hint="cs"/>
                <w:sz w:val="24"/>
                <w:szCs w:val="24"/>
                <w:rtl/>
              </w:rPr>
            </w:pPr>
            <w:r>
              <w:rPr>
                <w:sz w:val="24"/>
                <w:szCs w:val="24"/>
                <w:rtl/>
              </w:rPr>
              <w:t>هونغ كونغ (</w:t>
            </w:r>
            <w:r>
              <w:rPr>
                <w:rFonts w:hint="cs"/>
                <w:sz w:val="24"/>
                <w:szCs w:val="24"/>
                <w:rtl/>
              </w:rPr>
              <w:t>2002</w:t>
            </w:r>
            <w:r>
              <w:rPr>
                <w:sz w:val="24"/>
                <w:szCs w:val="24"/>
                <w:rtl/>
              </w:rPr>
              <w:t>)</w:t>
            </w:r>
            <w:r>
              <w:rPr>
                <w:rFonts w:hint="cs"/>
                <w:sz w:val="24"/>
                <w:szCs w:val="24"/>
                <w:rtl/>
              </w:rPr>
              <w:t>*</w:t>
            </w:r>
          </w:p>
        </w:tc>
        <w:tc>
          <w:tcPr>
            <w:tcW w:w="1750" w:type="dxa"/>
          </w:tcPr>
          <w:p w:rsidR="00443EC1" w:rsidRDefault="00443EC1">
            <w:pPr>
              <w:spacing w:before="0" w:after="0" w:line="320" w:lineRule="exact"/>
              <w:jc w:val="center"/>
              <w:rPr>
                <w:rFonts w:hint="cs"/>
                <w:sz w:val="24"/>
                <w:szCs w:val="24"/>
                <w:rtl/>
              </w:rPr>
            </w:pPr>
            <w:r>
              <w:rPr>
                <w:rFonts w:hint="cs"/>
                <w:sz w:val="24"/>
                <w:szCs w:val="24"/>
                <w:rtl/>
              </w:rPr>
              <w:t>2.4</w:t>
            </w:r>
          </w:p>
        </w:tc>
        <w:tc>
          <w:tcPr>
            <w:tcW w:w="1974" w:type="dxa"/>
          </w:tcPr>
          <w:p w:rsidR="00443EC1" w:rsidRDefault="00443EC1">
            <w:pPr>
              <w:spacing w:before="0" w:after="0" w:line="320" w:lineRule="exact"/>
              <w:jc w:val="center"/>
              <w:rPr>
                <w:rFonts w:hint="cs"/>
                <w:sz w:val="24"/>
                <w:szCs w:val="24"/>
                <w:rtl/>
              </w:rPr>
            </w:pPr>
            <w:r>
              <w:rPr>
                <w:rFonts w:hint="cs"/>
                <w:sz w:val="24"/>
                <w:szCs w:val="24"/>
                <w:rtl/>
              </w:rPr>
              <w:t>4.2</w:t>
            </w:r>
          </w:p>
        </w:tc>
        <w:tc>
          <w:tcPr>
            <w:tcW w:w="770" w:type="dxa"/>
          </w:tcPr>
          <w:p w:rsidR="00443EC1" w:rsidRDefault="00443EC1">
            <w:pPr>
              <w:spacing w:before="0" w:after="0" w:line="320" w:lineRule="exact"/>
              <w:jc w:val="center"/>
              <w:rPr>
                <w:rFonts w:hint="cs"/>
                <w:sz w:val="24"/>
                <w:szCs w:val="24"/>
                <w:rtl/>
              </w:rPr>
            </w:pPr>
            <w:r>
              <w:rPr>
                <w:rFonts w:hint="cs"/>
                <w:sz w:val="24"/>
                <w:szCs w:val="24"/>
                <w:rtl/>
              </w:rPr>
              <w:t>78.7</w:t>
            </w:r>
          </w:p>
        </w:tc>
        <w:tc>
          <w:tcPr>
            <w:tcW w:w="854" w:type="dxa"/>
          </w:tcPr>
          <w:p w:rsidR="00443EC1" w:rsidRDefault="00443EC1">
            <w:pPr>
              <w:spacing w:before="0" w:after="0" w:line="320" w:lineRule="exact"/>
              <w:jc w:val="center"/>
              <w:rPr>
                <w:rFonts w:hint="cs"/>
                <w:sz w:val="24"/>
                <w:szCs w:val="24"/>
                <w:rtl/>
              </w:rPr>
            </w:pPr>
            <w:r>
              <w:rPr>
                <w:rFonts w:hint="cs"/>
                <w:sz w:val="24"/>
                <w:szCs w:val="24"/>
                <w:rtl/>
              </w:rPr>
              <w:t>84.7</w:t>
            </w:r>
          </w:p>
        </w:tc>
      </w:tr>
      <w:tr w:rsidR="00443EC1" w:rsidTr="00443EC1">
        <w:tblPrEx>
          <w:tblCellMar>
            <w:top w:w="0" w:type="dxa"/>
            <w:bottom w:w="0" w:type="dxa"/>
          </w:tblCellMar>
        </w:tblPrEx>
        <w:trPr>
          <w:jc w:val="center"/>
        </w:trPr>
        <w:tc>
          <w:tcPr>
            <w:tcW w:w="4012" w:type="dxa"/>
          </w:tcPr>
          <w:p w:rsidR="00443EC1" w:rsidRDefault="00443EC1">
            <w:pPr>
              <w:spacing w:before="0" w:after="0" w:line="320" w:lineRule="exact"/>
              <w:jc w:val="both"/>
              <w:rPr>
                <w:sz w:val="24"/>
                <w:szCs w:val="24"/>
                <w:rtl/>
              </w:rPr>
            </w:pPr>
            <w:r>
              <w:rPr>
                <w:sz w:val="24"/>
                <w:szCs w:val="24"/>
                <w:rtl/>
              </w:rPr>
              <w:t>الولايات المتحدة الأمريكية</w:t>
            </w:r>
            <w:r>
              <w:rPr>
                <w:rFonts w:hint="cs"/>
                <w:sz w:val="24"/>
                <w:szCs w:val="24"/>
                <w:rtl/>
              </w:rPr>
              <w:t xml:space="preserve"> (2000)</w:t>
            </w:r>
          </w:p>
        </w:tc>
        <w:tc>
          <w:tcPr>
            <w:tcW w:w="1750" w:type="dxa"/>
          </w:tcPr>
          <w:p w:rsidR="00443EC1" w:rsidRDefault="00443EC1">
            <w:pPr>
              <w:spacing w:before="0" w:after="0" w:line="320" w:lineRule="exact"/>
              <w:jc w:val="center"/>
              <w:rPr>
                <w:rFonts w:hint="cs"/>
                <w:sz w:val="24"/>
                <w:szCs w:val="24"/>
                <w:rtl/>
              </w:rPr>
            </w:pPr>
            <w:r>
              <w:rPr>
                <w:rFonts w:hint="cs"/>
                <w:sz w:val="24"/>
                <w:szCs w:val="24"/>
                <w:rtl/>
              </w:rPr>
              <w:t>6.9</w:t>
            </w:r>
          </w:p>
        </w:tc>
        <w:tc>
          <w:tcPr>
            <w:tcW w:w="1974" w:type="dxa"/>
          </w:tcPr>
          <w:p w:rsidR="00443EC1" w:rsidRDefault="00443EC1">
            <w:pPr>
              <w:spacing w:before="0" w:after="0" w:line="320" w:lineRule="exact"/>
              <w:jc w:val="center"/>
              <w:rPr>
                <w:rFonts w:hint="cs"/>
                <w:sz w:val="24"/>
                <w:szCs w:val="24"/>
                <w:rtl/>
              </w:rPr>
            </w:pPr>
            <w:r>
              <w:rPr>
                <w:rFonts w:hint="cs"/>
                <w:sz w:val="24"/>
                <w:szCs w:val="24"/>
                <w:rtl/>
              </w:rPr>
              <w:t>9.8</w:t>
            </w:r>
          </w:p>
        </w:tc>
        <w:tc>
          <w:tcPr>
            <w:tcW w:w="770" w:type="dxa"/>
          </w:tcPr>
          <w:p w:rsidR="00443EC1" w:rsidRDefault="00443EC1">
            <w:pPr>
              <w:spacing w:before="0" w:after="0" w:line="320" w:lineRule="exact"/>
              <w:jc w:val="center"/>
              <w:rPr>
                <w:rFonts w:hint="cs"/>
                <w:sz w:val="24"/>
                <w:szCs w:val="24"/>
                <w:rtl/>
              </w:rPr>
            </w:pPr>
            <w:r>
              <w:rPr>
                <w:rFonts w:hint="cs"/>
                <w:sz w:val="24"/>
                <w:szCs w:val="24"/>
                <w:rtl/>
              </w:rPr>
              <w:t>73.9</w:t>
            </w:r>
          </w:p>
        </w:tc>
        <w:tc>
          <w:tcPr>
            <w:tcW w:w="854" w:type="dxa"/>
          </w:tcPr>
          <w:p w:rsidR="00443EC1" w:rsidRDefault="00443EC1">
            <w:pPr>
              <w:spacing w:before="0" w:after="0" w:line="320" w:lineRule="exact"/>
              <w:jc w:val="center"/>
              <w:rPr>
                <w:rFonts w:hint="cs"/>
                <w:sz w:val="24"/>
                <w:szCs w:val="24"/>
                <w:rtl/>
              </w:rPr>
            </w:pPr>
            <w:r>
              <w:rPr>
                <w:rFonts w:hint="cs"/>
                <w:sz w:val="24"/>
                <w:szCs w:val="24"/>
                <w:rtl/>
              </w:rPr>
              <w:t>79.5</w:t>
            </w:r>
          </w:p>
        </w:tc>
      </w:tr>
      <w:tr w:rsidR="00443EC1" w:rsidTr="00443EC1">
        <w:tblPrEx>
          <w:tblCellMar>
            <w:top w:w="0" w:type="dxa"/>
            <w:bottom w:w="0" w:type="dxa"/>
          </w:tblCellMar>
        </w:tblPrEx>
        <w:trPr>
          <w:jc w:val="center"/>
        </w:trPr>
        <w:tc>
          <w:tcPr>
            <w:tcW w:w="4012" w:type="dxa"/>
          </w:tcPr>
          <w:p w:rsidR="00443EC1" w:rsidRDefault="00443EC1">
            <w:pPr>
              <w:spacing w:before="0" w:after="0" w:line="320" w:lineRule="exact"/>
              <w:jc w:val="both"/>
              <w:rPr>
                <w:rFonts w:hint="cs"/>
                <w:spacing w:val="0"/>
                <w:sz w:val="24"/>
                <w:szCs w:val="24"/>
                <w:rtl/>
              </w:rPr>
            </w:pPr>
            <w:r>
              <w:rPr>
                <w:spacing w:val="0"/>
                <w:sz w:val="24"/>
                <w:szCs w:val="24"/>
                <w:rtl/>
              </w:rPr>
              <w:t xml:space="preserve">المملكة المتحدة لبريطانيا العظمى وآيرلندا الشمالية </w:t>
            </w:r>
            <w:r>
              <w:rPr>
                <w:rFonts w:hint="cs"/>
                <w:spacing w:val="0"/>
                <w:sz w:val="24"/>
                <w:szCs w:val="24"/>
                <w:rtl/>
              </w:rPr>
              <w:t>(2000)</w:t>
            </w:r>
          </w:p>
        </w:tc>
        <w:tc>
          <w:tcPr>
            <w:tcW w:w="1750" w:type="dxa"/>
          </w:tcPr>
          <w:p w:rsidR="00443EC1" w:rsidRDefault="00443EC1">
            <w:pPr>
              <w:spacing w:before="0" w:after="0" w:line="320" w:lineRule="exact"/>
              <w:jc w:val="center"/>
              <w:rPr>
                <w:sz w:val="24"/>
                <w:szCs w:val="24"/>
                <w:rtl/>
              </w:rPr>
            </w:pPr>
            <w:r>
              <w:rPr>
                <w:rFonts w:hint="cs"/>
                <w:sz w:val="24"/>
                <w:szCs w:val="24"/>
                <w:rtl/>
              </w:rPr>
              <w:t>5.6</w:t>
            </w:r>
          </w:p>
        </w:tc>
        <w:tc>
          <w:tcPr>
            <w:tcW w:w="1974" w:type="dxa"/>
          </w:tcPr>
          <w:p w:rsidR="00443EC1" w:rsidRDefault="00443EC1">
            <w:pPr>
              <w:spacing w:before="0" w:after="0" w:line="320" w:lineRule="exact"/>
              <w:jc w:val="center"/>
              <w:rPr>
                <w:rFonts w:hint="cs"/>
                <w:sz w:val="24"/>
                <w:szCs w:val="24"/>
                <w:rtl/>
              </w:rPr>
            </w:pPr>
            <w:r>
              <w:rPr>
                <w:rFonts w:hint="cs"/>
                <w:sz w:val="24"/>
                <w:szCs w:val="24"/>
                <w:rtl/>
              </w:rPr>
              <w:t>7.0</w:t>
            </w:r>
          </w:p>
        </w:tc>
        <w:tc>
          <w:tcPr>
            <w:tcW w:w="770" w:type="dxa"/>
          </w:tcPr>
          <w:p w:rsidR="00443EC1" w:rsidRDefault="00443EC1">
            <w:pPr>
              <w:spacing w:before="0" w:after="0" w:line="320" w:lineRule="exact"/>
              <w:jc w:val="center"/>
              <w:rPr>
                <w:rFonts w:hint="cs"/>
                <w:sz w:val="24"/>
                <w:szCs w:val="24"/>
                <w:rtl/>
              </w:rPr>
            </w:pPr>
            <w:r>
              <w:rPr>
                <w:rFonts w:hint="cs"/>
                <w:sz w:val="24"/>
                <w:szCs w:val="24"/>
                <w:rtl/>
              </w:rPr>
              <w:t>74.8</w:t>
            </w:r>
          </w:p>
        </w:tc>
        <w:tc>
          <w:tcPr>
            <w:tcW w:w="854" w:type="dxa"/>
          </w:tcPr>
          <w:p w:rsidR="00443EC1" w:rsidRDefault="00443EC1">
            <w:pPr>
              <w:spacing w:before="0" w:after="0" w:line="320" w:lineRule="exact"/>
              <w:jc w:val="center"/>
              <w:rPr>
                <w:rFonts w:hint="cs"/>
                <w:sz w:val="24"/>
                <w:szCs w:val="24"/>
                <w:rtl/>
              </w:rPr>
            </w:pPr>
            <w:r>
              <w:rPr>
                <w:rFonts w:hint="cs"/>
                <w:sz w:val="24"/>
                <w:szCs w:val="24"/>
                <w:rtl/>
              </w:rPr>
              <w:t>79.9</w:t>
            </w:r>
          </w:p>
        </w:tc>
      </w:tr>
      <w:tr w:rsidR="00443EC1" w:rsidTr="00443EC1">
        <w:tblPrEx>
          <w:tblCellMar>
            <w:top w:w="0" w:type="dxa"/>
            <w:bottom w:w="0" w:type="dxa"/>
          </w:tblCellMar>
        </w:tblPrEx>
        <w:trPr>
          <w:jc w:val="center"/>
        </w:trPr>
        <w:tc>
          <w:tcPr>
            <w:tcW w:w="4012" w:type="dxa"/>
          </w:tcPr>
          <w:p w:rsidR="00443EC1" w:rsidRDefault="00443EC1">
            <w:pPr>
              <w:spacing w:before="0" w:after="0" w:line="320" w:lineRule="exact"/>
              <w:jc w:val="both"/>
              <w:rPr>
                <w:rFonts w:hint="cs"/>
                <w:sz w:val="24"/>
                <w:szCs w:val="24"/>
                <w:rtl/>
              </w:rPr>
            </w:pPr>
            <w:r>
              <w:rPr>
                <w:sz w:val="24"/>
                <w:szCs w:val="24"/>
                <w:rtl/>
              </w:rPr>
              <w:t>اليابان</w:t>
            </w:r>
            <w:r>
              <w:rPr>
                <w:rFonts w:hint="cs"/>
                <w:sz w:val="24"/>
                <w:szCs w:val="24"/>
                <w:rtl/>
              </w:rPr>
              <w:t xml:space="preserve"> (2000)</w:t>
            </w:r>
          </w:p>
        </w:tc>
        <w:tc>
          <w:tcPr>
            <w:tcW w:w="1750" w:type="dxa"/>
          </w:tcPr>
          <w:p w:rsidR="00443EC1" w:rsidRDefault="00443EC1">
            <w:pPr>
              <w:spacing w:before="0" w:after="0" w:line="320" w:lineRule="exact"/>
              <w:jc w:val="center"/>
              <w:rPr>
                <w:rFonts w:hint="cs"/>
                <w:sz w:val="24"/>
                <w:szCs w:val="24"/>
                <w:rtl/>
              </w:rPr>
            </w:pPr>
            <w:r>
              <w:rPr>
                <w:rFonts w:hint="cs"/>
                <w:sz w:val="24"/>
                <w:szCs w:val="24"/>
                <w:rtl/>
              </w:rPr>
              <w:t>3.2</w:t>
            </w:r>
          </w:p>
        </w:tc>
        <w:tc>
          <w:tcPr>
            <w:tcW w:w="1974" w:type="dxa"/>
          </w:tcPr>
          <w:p w:rsidR="00443EC1" w:rsidRDefault="00443EC1">
            <w:pPr>
              <w:spacing w:before="0" w:after="0" w:line="320" w:lineRule="exact"/>
              <w:jc w:val="center"/>
              <w:rPr>
                <w:rFonts w:hint="cs"/>
                <w:sz w:val="24"/>
                <w:szCs w:val="24"/>
                <w:rtl/>
              </w:rPr>
            </w:pPr>
            <w:r>
              <w:rPr>
                <w:rFonts w:hint="cs"/>
                <w:sz w:val="24"/>
                <w:szCs w:val="24"/>
                <w:rtl/>
              </w:rPr>
              <w:t>6.6</w:t>
            </w:r>
          </w:p>
        </w:tc>
        <w:tc>
          <w:tcPr>
            <w:tcW w:w="770" w:type="dxa"/>
          </w:tcPr>
          <w:p w:rsidR="00443EC1" w:rsidRDefault="00443EC1">
            <w:pPr>
              <w:spacing w:before="0" w:after="0" w:line="320" w:lineRule="exact"/>
              <w:jc w:val="center"/>
              <w:rPr>
                <w:rFonts w:hint="cs"/>
                <w:sz w:val="24"/>
                <w:szCs w:val="24"/>
                <w:rtl/>
              </w:rPr>
            </w:pPr>
            <w:r>
              <w:rPr>
                <w:rFonts w:hint="cs"/>
                <w:sz w:val="24"/>
                <w:szCs w:val="24"/>
                <w:rtl/>
              </w:rPr>
              <w:t>77.6</w:t>
            </w:r>
          </w:p>
        </w:tc>
        <w:tc>
          <w:tcPr>
            <w:tcW w:w="854" w:type="dxa"/>
          </w:tcPr>
          <w:p w:rsidR="00443EC1" w:rsidRDefault="00443EC1">
            <w:pPr>
              <w:spacing w:before="0" w:after="0" w:line="320" w:lineRule="exact"/>
              <w:jc w:val="center"/>
              <w:rPr>
                <w:rFonts w:hint="cs"/>
                <w:sz w:val="24"/>
                <w:szCs w:val="24"/>
                <w:rtl/>
              </w:rPr>
            </w:pPr>
            <w:r>
              <w:rPr>
                <w:rFonts w:hint="cs"/>
                <w:sz w:val="24"/>
                <w:szCs w:val="24"/>
                <w:rtl/>
              </w:rPr>
              <w:t>84.6</w:t>
            </w:r>
          </w:p>
        </w:tc>
      </w:tr>
    </w:tbl>
    <w:p w:rsidR="00000000" w:rsidRDefault="00443EC1">
      <w:pPr>
        <w:spacing w:line="380" w:lineRule="exact"/>
        <w:jc w:val="both"/>
        <w:rPr>
          <w:rFonts w:hint="cs"/>
          <w:sz w:val="30"/>
          <w:rtl/>
        </w:rPr>
      </w:pPr>
      <w:r>
        <w:rPr>
          <w:rFonts w:hint="cs"/>
          <w:sz w:val="30"/>
          <w:rtl/>
        </w:rPr>
        <w:tab/>
        <w:t>*</w:t>
      </w:r>
      <w:r>
        <w:rPr>
          <w:rFonts w:hint="cs"/>
          <w:sz w:val="30"/>
          <w:rtl/>
        </w:rPr>
        <w:tab/>
        <w:t>أرقام مؤقتة.</w:t>
      </w:r>
    </w:p>
    <w:p w:rsidR="00000000" w:rsidRDefault="00443EC1">
      <w:pPr>
        <w:spacing w:line="380" w:lineRule="exact"/>
        <w:jc w:val="both"/>
        <w:rPr>
          <w:rFonts w:hint="cs"/>
          <w:rtl/>
        </w:rPr>
      </w:pPr>
      <w:r>
        <w:rPr>
          <w:rFonts w:hint="cs"/>
          <w:rtl/>
        </w:rPr>
        <w:t>604-</w:t>
      </w:r>
      <w:r>
        <w:rPr>
          <w:rFonts w:hint="cs"/>
          <w:rtl/>
        </w:rPr>
        <w:tab/>
        <w:t>لا يزال الوضع بشكل أساسي على النحو الوارد توضيحه في الفقرة 415 من التقرير الأولي،</w:t>
      </w:r>
      <w:r>
        <w:rPr>
          <w:rFonts w:hint="cs"/>
          <w:rtl/>
        </w:rPr>
        <w:t xml:space="preserve"> على الرغم من أن نسبة التحصين ضد الحصبة والنكاف والحصبة الألمانية قد ارتفعت لتتجاوز 86 في المائة بعدما بلغت 82 في المائة في عام 1997. ولا تزال هذه المستويات تشبه المستويات المسجّلة في البلدان المتقدمة.</w:t>
      </w:r>
    </w:p>
    <w:p w:rsidR="00000000" w:rsidRDefault="00443EC1">
      <w:pPr>
        <w:spacing w:line="380" w:lineRule="exact"/>
        <w:jc w:val="both"/>
        <w:rPr>
          <w:rFonts w:hint="cs"/>
          <w:b/>
          <w:bCs/>
          <w:rtl/>
        </w:rPr>
      </w:pPr>
      <w:r>
        <w:rPr>
          <w:b/>
          <w:bCs/>
          <w:rtl/>
        </w:rPr>
        <w:t>مكافحة الأمراض المعدية</w:t>
      </w:r>
    </w:p>
    <w:p w:rsidR="00000000" w:rsidRDefault="00443EC1">
      <w:pPr>
        <w:spacing w:line="380" w:lineRule="exact"/>
        <w:jc w:val="both"/>
        <w:rPr>
          <w:rFonts w:hint="cs"/>
          <w:rtl/>
        </w:rPr>
      </w:pPr>
      <w:r>
        <w:rPr>
          <w:rFonts w:hint="cs"/>
          <w:rtl/>
        </w:rPr>
        <w:t>605-</w:t>
      </w:r>
      <w:r>
        <w:rPr>
          <w:rFonts w:hint="cs"/>
          <w:rtl/>
        </w:rPr>
        <w:tab/>
        <w:t xml:space="preserve">كانت الأمراض المعدية تشكل </w:t>
      </w:r>
      <w:r>
        <w:rPr>
          <w:rFonts w:hint="cs"/>
          <w:rtl/>
        </w:rPr>
        <w:t>في السابق الأسباب الرئيسية للوفيات والإصابة بالإمراض في هونغ كونغ. إلا أن التقدم الذي شهدته الأوضاع الاجتماعية والاقتصادية والتعليم والسكن والمرافق الصحية والتغذية، وبفضل إدراج برامج لتحصين الأطفال، أصبح من الممكن السيطرة إجمالاً على الأمراض المعدية الرئيس</w:t>
      </w:r>
      <w:r>
        <w:rPr>
          <w:rFonts w:hint="cs"/>
          <w:rtl/>
        </w:rPr>
        <w:t>ية.</w:t>
      </w:r>
    </w:p>
    <w:p w:rsidR="00000000" w:rsidRDefault="00443EC1">
      <w:pPr>
        <w:spacing w:line="380" w:lineRule="exact"/>
        <w:jc w:val="both"/>
        <w:rPr>
          <w:rFonts w:hint="cs"/>
          <w:rtl/>
        </w:rPr>
      </w:pPr>
      <w:r>
        <w:rPr>
          <w:rFonts w:hint="cs"/>
          <w:rtl/>
        </w:rPr>
        <w:t>606-</w:t>
      </w:r>
      <w:r>
        <w:rPr>
          <w:rFonts w:hint="cs"/>
          <w:rtl/>
        </w:rPr>
        <w:tab/>
        <w:t xml:space="preserve">ويتميز نظام مراقبة الأمراض المعدية الذي نعتمد عليه بكونه نظاما راسخا وفعالاً. ويفرض قانون الحجر الصحي والوقاية من الأمراض (المادة 141)، في جدوله الأول، على الأطباء إخطار مدير الصحة بحالات الأمراض المحددة. أضف إلى ذلك أن وزارة الصحة تحافظ، من خلال </w:t>
      </w:r>
      <w:r>
        <w:rPr>
          <w:rFonts w:hint="cs"/>
          <w:rtl/>
        </w:rPr>
        <w:t>مستوصفات المرضى الخارجيين والأطباء العامين، على نظام المراقبة الحذرة بالنسبة للأمراض من قبيل النزلة الوافدة؛ وأمراض اليد والرجل والفم؛ والتهاب الملتحمة الحاد؛ ومقاومة المضادات الحيوية. كما تعمل هيئة المستشفيات عن كثب مع وزارة الصحة في الإبلاغ عن الأمراض ذا</w:t>
      </w:r>
      <w:r>
        <w:rPr>
          <w:rFonts w:hint="cs"/>
          <w:rtl/>
        </w:rPr>
        <w:t>ت الأهمية من ناحية الصحة العامة. ويقوم كل من مركز مختبر الصحة العامة والوحدة الحكومية للفيروس بتسيير المراقبة المختبرية للعديد من الأمراض المعدية.</w:t>
      </w:r>
    </w:p>
    <w:p w:rsidR="00000000" w:rsidRDefault="00443EC1">
      <w:pPr>
        <w:spacing w:line="380" w:lineRule="exact"/>
        <w:jc w:val="both"/>
        <w:rPr>
          <w:rFonts w:hint="cs"/>
          <w:rtl/>
        </w:rPr>
      </w:pPr>
      <w:r>
        <w:rPr>
          <w:rFonts w:hint="cs"/>
          <w:rtl/>
        </w:rPr>
        <w:t>607-</w:t>
      </w:r>
      <w:r>
        <w:rPr>
          <w:rFonts w:hint="cs"/>
          <w:rtl/>
        </w:rPr>
        <w:tab/>
        <w:t>وفي تشرين الأول/أكتوبر 2000، صرحت اللجنة الإقليمية التابعة لمنظمة الصحة العالمية والمعنية بالقضاء على مر</w:t>
      </w:r>
      <w:r>
        <w:rPr>
          <w:rFonts w:hint="cs"/>
          <w:rtl/>
        </w:rPr>
        <w:t xml:space="preserve">ض شلل الأطفال في منطقة غربي المحيط الهادئ بأن انتقال </w:t>
      </w:r>
      <w:r>
        <w:rPr>
          <w:rtl/>
        </w:rPr>
        <w:t>فيروس</w:t>
      </w:r>
      <w:r>
        <w:rPr>
          <w:rFonts w:hint="cs"/>
          <w:rtl/>
        </w:rPr>
        <w:t xml:space="preserve"> السنجابية البري المحلي في منطقة غربي المحيط الهادئ، بما فيها هونغ كونغ، قد تمت السيطرة عليه. وسنستمر في دعم منظمة الصحة العالمية في العمل الذي تضطلع به للقضاء على مرض شلل الأطفال على الصعيد العالمي</w:t>
      </w:r>
      <w:r>
        <w:rPr>
          <w:rFonts w:hint="cs"/>
          <w:rtl/>
        </w:rPr>
        <w:t>.</w:t>
      </w:r>
    </w:p>
    <w:p w:rsidR="00000000" w:rsidRDefault="00443EC1">
      <w:pPr>
        <w:spacing w:line="380" w:lineRule="exact"/>
        <w:jc w:val="both"/>
        <w:rPr>
          <w:rFonts w:hint="cs"/>
          <w:rtl/>
        </w:rPr>
      </w:pPr>
      <w:r>
        <w:rPr>
          <w:rFonts w:hint="cs"/>
          <w:rtl/>
        </w:rPr>
        <w:t>608-</w:t>
      </w:r>
      <w:r>
        <w:rPr>
          <w:rFonts w:hint="cs"/>
          <w:rtl/>
        </w:rPr>
        <w:tab/>
        <w:t xml:space="preserve">وتعمل وزارة الصحة عن كثب مع منظمة الصحة العالمية ومع مراكز مراقبة الأمراض المعدية في البلدان المجاورة وتلك الواقعة فيما وراء البحار. وينطوي هذا التعاون على </w:t>
      </w:r>
      <w:r>
        <w:rPr>
          <w:rtl/>
        </w:rPr>
        <w:t>تبادل المعلومات السريع</w:t>
      </w:r>
      <w:r>
        <w:rPr>
          <w:rFonts w:hint="cs"/>
          <w:rtl/>
        </w:rPr>
        <w:t xml:space="preserve"> ونقل الخبرات وتقديم الدعم والتآزر.</w:t>
      </w:r>
    </w:p>
    <w:p w:rsidR="00000000" w:rsidRDefault="00443EC1">
      <w:pPr>
        <w:spacing w:line="380" w:lineRule="exact"/>
        <w:jc w:val="both"/>
        <w:rPr>
          <w:rFonts w:hint="cs"/>
          <w:b/>
          <w:bCs/>
          <w:rtl/>
        </w:rPr>
      </w:pPr>
    </w:p>
    <w:p w:rsidR="00000000" w:rsidRDefault="00443EC1">
      <w:pPr>
        <w:spacing w:line="380" w:lineRule="exact"/>
        <w:jc w:val="both"/>
        <w:rPr>
          <w:b/>
          <w:bCs/>
          <w:rtl/>
        </w:rPr>
      </w:pPr>
      <w:r>
        <w:rPr>
          <w:b/>
          <w:bCs/>
          <w:rtl/>
        </w:rPr>
        <w:t>نزلة الطير</w:t>
      </w:r>
    </w:p>
    <w:p w:rsidR="00000000" w:rsidRDefault="00443EC1">
      <w:pPr>
        <w:spacing w:line="380" w:lineRule="exact"/>
        <w:jc w:val="both"/>
        <w:rPr>
          <w:rFonts w:hint="cs"/>
          <w:rtl/>
        </w:rPr>
      </w:pPr>
      <w:r>
        <w:rPr>
          <w:rFonts w:hint="cs"/>
          <w:rtl/>
        </w:rPr>
        <w:t>609-</w:t>
      </w:r>
      <w:r>
        <w:rPr>
          <w:rFonts w:hint="cs"/>
          <w:rtl/>
        </w:rPr>
        <w:tab/>
        <w:t xml:space="preserve">أخطرنا اللجنة، في </w:t>
      </w:r>
      <w:r>
        <w:rPr>
          <w:rFonts w:hint="cs"/>
          <w:rtl/>
        </w:rPr>
        <w:t xml:space="preserve">الفقرات من 424 إلى 428 من التقرير الأولي، بتفشي فيروس </w:t>
      </w:r>
      <w:r>
        <w:t>H5N1</w:t>
      </w:r>
      <w:r>
        <w:rPr>
          <w:rFonts w:hint="cs"/>
          <w:rtl/>
        </w:rPr>
        <w:t xml:space="preserve">، المعروف باسم "نزلة الطير"، لأول مرة في عام 1997، بالتدابير المتخذة للقضاء عليه. ومنذ ذلك الحين (في عامي 2001 </w:t>
      </w:r>
      <w:r>
        <w:rPr>
          <w:rtl/>
        </w:rPr>
        <w:br/>
      </w:r>
      <w:r>
        <w:rPr>
          <w:rFonts w:hint="cs"/>
          <w:rtl/>
        </w:rPr>
        <w:t xml:space="preserve">و2002)، تفشت في هونغ كونغ فيروسات جديدة. إلا أن الفيروسات من صنف </w:t>
      </w:r>
      <w:r>
        <w:t>H5N1</w:t>
      </w:r>
      <w:r>
        <w:rPr>
          <w:rFonts w:hint="cs"/>
          <w:rtl/>
        </w:rPr>
        <w:t xml:space="preserve"> المكتشفة في هذه </w:t>
      </w:r>
      <w:r>
        <w:rPr>
          <w:rFonts w:hint="cs"/>
          <w:rtl/>
        </w:rPr>
        <w:t>الأمراض المتفشية لم تكن من ذات الصنف التي اكتشفت في عام 1997، وهو ما قد ينقل العدوى للكائن البشري. وبفضل التعاون مع الحكومة والأكاديميين وتجّار الدواجن الحية، تمكنا من ضبط تفشي هذه الأمراض بسرعة ثم اتخذنا بعد ذلك تدابير مراقبة صارمة، على مستويات متعددة، لل</w:t>
      </w:r>
      <w:r>
        <w:rPr>
          <w:rFonts w:hint="cs"/>
          <w:rtl/>
        </w:rPr>
        <w:t xml:space="preserve">حيلولة دون إصابة الدجاج مرة أخرى بفيروس </w:t>
      </w:r>
      <w:r>
        <w:t>H5N1</w:t>
      </w:r>
      <w:r>
        <w:rPr>
          <w:rFonts w:hint="cs"/>
          <w:rtl/>
        </w:rPr>
        <w:t xml:space="preserve"> وللتصدي لانتقاله لبني البشر. ولقد أقمنا نظام رصد شامل على جميع مستويات سلسلة الإمداد بالدواجن الحية، بما في ذلك نقاط مراقبة الواردات والمزارع المحلية وأسواق البيع بالجملة والبيع بالتجزئة، بغية كفالة الكشف المبكر</w:t>
      </w:r>
      <w:r>
        <w:rPr>
          <w:rFonts w:hint="cs"/>
          <w:rtl/>
        </w:rPr>
        <w:t xml:space="preserve"> للفيروس. وتم تطوير نظام رصد إصابة السكان بالنزلة الوافدة من خلال شبكة من المستوصفات والمستشفيات والمختبرات في القطاعين العام والخاص. كما أدرجنا، فضلا عن ذلك، تدابير لخفض احتمال المزيد من تفشي هذه الأمراض إلى الحد الأدنى (انظر المرفق 12 ألف)</w:t>
      </w:r>
    </w:p>
    <w:p w:rsidR="00000000" w:rsidRDefault="00443EC1">
      <w:pPr>
        <w:spacing w:line="380" w:lineRule="exact"/>
        <w:jc w:val="both"/>
        <w:rPr>
          <w:b/>
          <w:bCs/>
          <w:rtl/>
        </w:rPr>
      </w:pPr>
      <w:r>
        <w:rPr>
          <w:b/>
          <w:bCs/>
          <w:rtl/>
        </w:rPr>
        <w:t>مختلف أشكال ال</w:t>
      </w:r>
      <w:r>
        <w:rPr>
          <w:b/>
          <w:bCs/>
          <w:rtl/>
        </w:rPr>
        <w:t>رعاية الصحية/الطبية الخاصة</w:t>
      </w:r>
    </w:p>
    <w:p w:rsidR="00000000" w:rsidRDefault="00443EC1">
      <w:pPr>
        <w:spacing w:line="380" w:lineRule="exact"/>
        <w:jc w:val="both"/>
        <w:rPr>
          <w:i/>
          <w:iCs/>
          <w:rtl/>
        </w:rPr>
      </w:pPr>
      <w:r>
        <w:rPr>
          <w:i/>
          <w:iCs/>
          <w:rtl/>
        </w:rPr>
        <w:t>الرعاية الصحية الأولية</w:t>
      </w:r>
    </w:p>
    <w:p w:rsidR="00000000" w:rsidRDefault="00443EC1">
      <w:pPr>
        <w:spacing w:line="380" w:lineRule="exact"/>
        <w:jc w:val="both"/>
        <w:rPr>
          <w:rFonts w:hint="cs"/>
          <w:rtl/>
        </w:rPr>
      </w:pPr>
      <w:r>
        <w:rPr>
          <w:rFonts w:hint="cs"/>
          <w:rtl/>
        </w:rPr>
        <w:t>610-</w:t>
      </w:r>
      <w:r>
        <w:rPr>
          <w:rFonts w:hint="cs"/>
          <w:rtl/>
        </w:rPr>
        <w:tab/>
        <w:t>لا يزال الوضع بشكل أساسي على النحو الوارد وصفه في الفقرتين 422 و423 من التقرير الأولي.</w:t>
      </w:r>
    </w:p>
    <w:p w:rsidR="00000000" w:rsidRDefault="00443EC1">
      <w:pPr>
        <w:spacing w:line="380" w:lineRule="exact"/>
        <w:jc w:val="both"/>
        <w:rPr>
          <w:i/>
          <w:iCs/>
          <w:rtl/>
        </w:rPr>
      </w:pPr>
      <w:r>
        <w:rPr>
          <w:i/>
          <w:iCs/>
          <w:rtl/>
        </w:rPr>
        <w:t>صحة الأسرة والرعاية الصحية للنساء في سن الانجاب، ول</w:t>
      </w:r>
      <w:r>
        <w:rPr>
          <w:rFonts w:hint="cs"/>
          <w:i/>
          <w:iCs/>
          <w:rtl/>
        </w:rPr>
        <w:t>لأ</w:t>
      </w:r>
      <w:r>
        <w:rPr>
          <w:i/>
          <w:iCs/>
          <w:rtl/>
        </w:rPr>
        <w:t>طفال حتى سن الخامسة</w:t>
      </w:r>
    </w:p>
    <w:p w:rsidR="00000000" w:rsidRDefault="00443EC1">
      <w:pPr>
        <w:spacing w:line="380" w:lineRule="exact"/>
        <w:jc w:val="both"/>
        <w:rPr>
          <w:rFonts w:hint="cs"/>
          <w:rtl/>
        </w:rPr>
      </w:pPr>
      <w:r>
        <w:rPr>
          <w:rFonts w:hint="cs"/>
          <w:rtl/>
        </w:rPr>
        <w:t>611-</w:t>
      </w:r>
      <w:r>
        <w:rPr>
          <w:rFonts w:hint="cs"/>
          <w:rtl/>
        </w:rPr>
        <w:tab/>
        <w:t>لا يزال الوضع بشكل أساسي على النحو ا</w:t>
      </w:r>
      <w:r>
        <w:rPr>
          <w:rFonts w:hint="cs"/>
          <w:rtl/>
        </w:rPr>
        <w:t>لوارد وصفه في الفقرة 442 من التقرير الأولي.</w:t>
      </w:r>
    </w:p>
    <w:p w:rsidR="00000000" w:rsidRDefault="00443EC1">
      <w:pPr>
        <w:spacing w:line="380" w:lineRule="exact"/>
        <w:jc w:val="both"/>
        <w:rPr>
          <w:rFonts w:hint="cs"/>
          <w:i/>
          <w:iCs/>
          <w:rtl/>
        </w:rPr>
      </w:pPr>
      <w:r>
        <w:rPr>
          <w:rFonts w:hint="cs"/>
          <w:i/>
          <w:iCs/>
          <w:rtl/>
        </w:rPr>
        <w:t>توسيع الخدمات الصحية المقدّمة للمرأة</w:t>
      </w:r>
    </w:p>
    <w:p w:rsidR="00000000" w:rsidRDefault="00443EC1">
      <w:pPr>
        <w:spacing w:line="380" w:lineRule="exact"/>
        <w:jc w:val="both"/>
        <w:rPr>
          <w:rFonts w:hint="cs"/>
          <w:rtl/>
        </w:rPr>
      </w:pPr>
      <w:r>
        <w:rPr>
          <w:rFonts w:hint="cs"/>
          <w:rtl/>
        </w:rPr>
        <w:t>612-</w:t>
      </w:r>
      <w:r>
        <w:rPr>
          <w:rFonts w:hint="cs"/>
          <w:rtl/>
        </w:rPr>
        <w:tab/>
        <w:t>لا يزال الوضع بشكل أساسي على النحو الوارد وصفه في الفقرة 446 من التقرير الأولي. وتُقدّم اليوم الخدمات الصحية للمرأة في 10 مراكز تعنى بصحة الأم والطفل. أما الخدمات المقدَّ</w:t>
      </w:r>
      <w:r>
        <w:rPr>
          <w:rFonts w:hint="cs"/>
          <w:rtl/>
        </w:rPr>
        <w:t>مة في المراكز الخمسة التي أضيفت منذ تقديم التقرير الأولي فتتاح على أساس دوري.</w:t>
      </w:r>
    </w:p>
    <w:p w:rsidR="00000000" w:rsidRDefault="00443EC1">
      <w:pPr>
        <w:spacing w:line="380" w:lineRule="exact"/>
        <w:jc w:val="both"/>
        <w:rPr>
          <w:rFonts w:hint="cs"/>
          <w:i/>
          <w:iCs/>
          <w:rtl/>
        </w:rPr>
      </w:pPr>
      <w:r>
        <w:rPr>
          <w:rFonts w:hint="cs"/>
          <w:i/>
          <w:iCs/>
          <w:rtl/>
        </w:rPr>
        <w:t>برنامج صحة المراهقين</w:t>
      </w:r>
    </w:p>
    <w:p w:rsidR="00000000" w:rsidRDefault="00443EC1">
      <w:pPr>
        <w:spacing w:line="380" w:lineRule="exact"/>
        <w:jc w:val="both"/>
        <w:rPr>
          <w:rFonts w:hint="cs"/>
          <w:rtl/>
        </w:rPr>
      </w:pPr>
      <w:r>
        <w:rPr>
          <w:rFonts w:hint="cs"/>
          <w:rtl/>
        </w:rPr>
        <w:t>613-</w:t>
      </w:r>
      <w:r>
        <w:rPr>
          <w:rFonts w:hint="cs"/>
          <w:rtl/>
        </w:rPr>
        <w:tab/>
        <w:t>أدرجنا هذا البرنامج خلال السنة الدراسية 2002-2003 كجزء من إدارة صحة الطلاب (انظر الفقرة 447 من التقرير الأولي). ويكمن الهدف من وراء هذا البرنامج في مساع</w:t>
      </w:r>
      <w:r>
        <w:rPr>
          <w:rFonts w:hint="cs"/>
          <w:rtl/>
        </w:rPr>
        <w:t>دة المراهقين على مواجهة تحديات نموهم من خلال تطوير قدراتهم وتزويدهم بالمهارات الضرورية لمجابهة الأزمات والضغط وتكوين نظرة إيجابية للحياة لديهم. وتقوم فرقة متعددة التخصصات، تشتمل على دكاترة وممرضين وممرضات وأخصائيين في علم النفس السَّريري وموظفين اجتماعيين،</w:t>
      </w:r>
      <w:r>
        <w:rPr>
          <w:rFonts w:hint="cs"/>
          <w:rtl/>
        </w:rPr>
        <w:t xml:space="preserve"> وغيرهم من المحترفين، بزيارة المدارس الثانوية لتزويد التلاميذ والأساتذة والوالدين ببرامج صحية ترويجية.</w:t>
      </w:r>
    </w:p>
    <w:p w:rsidR="00000000" w:rsidRDefault="00443EC1">
      <w:pPr>
        <w:spacing w:line="380" w:lineRule="exact"/>
        <w:jc w:val="both"/>
        <w:rPr>
          <w:rFonts w:hint="cs"/>
          <w:i/>
          <w:iCs/>
          <w:rtl/>
        </w:rPr>
      </w:pPr>
      <w:r>
        <w:rPr>
          <w:i/>
          <w:iCs/>
          <w:rtl/>
        </w:rPr>
        <w:t>أسرّة ال</w:t>
      </w:r>
      <w:r>
        <w:rPr>
          <w:rFonts w:hint="cs"/>
          <w:i/>
          <w:iCs/>
          <w:rtl/>
        </w:rPr>
        <w:t>تمريض</w:t>
      </w:r>
    </w:p>
    <w:p w:rsidR="00000000" w:rsidRDefault="00443EC1">
      <w:pPr>
        <w:spacing w:line="380" w:lineRule="exact"/>
        <w:jc w:val="both"/>
        <w:rPr>
          <w:rFonts w:hint="cs"/>
          <w:rtl/>
        </w:rPr>
      </w:pPr>
      <w:r>
        <w:rPr>
          <w:rFonts w:hint="cs"/>
          <w:rtl/>
        </w:rPr>
        <w:t>614-</w:t>
      </w:r>
      <w:r>
        <w:rPr>
          <w:rFonts w:hint="cs"/>
          <w:rtl/>
        </w:rPr>
        <w:tab/>
        <w:t>قامت هيئة المستشفيات في الفترة ما بين عامي 2002 و2003، وكما ورد بيان ذلك في الفقرة 48 من التقرير الأولي، بزيادة عدد أسرّة التمريض لتصل</w:t>
      </w:r>
      <w:r>
        <w:rPr>
          <w:rFonts w:hint="cs"/>
          <w:rtl/>
        </w:rPr>
        <w:t xml:space="preserve"> إلى 051 3 سريراً.</w:t>
      </w:r>
    </w:p>
    <w:p w:rsidR="00000000" w:rsidRDefault="00443EC1">
      <w:pPr>
        <w:spacing w:line="380" w:lineRule="exact"/>
        <w:jc w:val="both"/>
        <w:rPr>
          <w:rFonts w:hint="cs"/>
          <w:i/>
          <w:iCs/>
          <w:rtl/>
        </w:rPr>
      </w:pPr>
      <w:r>
        <w:rPr>
          <w:i/>
          <w:iCs/>
          <w:rtl/>
        </w:rPr>
        <w:t>رعاية الأسنان</w:t>
      </w:r>
    </w:p>
    <w:p w:rsidR="00000000" w:rsidRDefault="00443EC1">
      <w:pPr>
        <w:spacing w:line="380" w:lineRule="exact"/>
        <w:jc w:val="both"/>
        <w:rPr>
          <w:rFonts w:hint="cs"/>
          <w:rtl/>
        </w:rPr>
      </w:pPr>
      <w:r>
        <w:rPr>
          <w:rFonts w:hint="cs"/>
          <w:rtl/>
        </w:rPr>
        <w:t>615-</w:t>
      </w:r>
      <w:r>
        <w:rPr>
          <w:rFonts w:hint="cs"/>
          <w:rtl/>
        </w:rPr>
        <w:tab/>
      </w:r>
      <w:r>
        <w:rPr>
          <w:rFonts w:hint="cs"/>
          <w:sz w:val="26"/>
          <w:rtl/>
        </w:rPr>
        <w:t xml:space="preserve">لا يزال الوضع بشكل أساسي على النحو الوارد وصفه في </w:t>
      </w:r>
      <w:r>
        <w:rPr>
          <w:rFonts w:hint="cs"/>
          <w:rtl/>
        </w:rPr>
        <w:t>الفقرتين 449 و450 من التقرير الأولي. وفي</w:t>
      </w:r>
      <w:r>
        <w:rPr>
          <w:rFonts w:hint="eastAsia"/>
          <w:rtl/>
        </w:rPr>
        <w:t> </w:t>
      </w:r>
      <w:r>
        <w:rPr>
          <w:rFonts w:hint="cs"/>
          <w:rtl/>
        </w:rPr>
        <w:t xml:space="preserve">عامي 2001 و2002 شارك إجمالاً 659 438 طفلاً - أي زهاء 88.3 في المائة من </w:t>
      </w:r>
      <w:r>
        <w:rPr>
          <w:rtl/>
        </w:rPr>
        <w:t>تلاميذ المدارس الابتدائية</w:t>
      </w:r>
      <w:r>
        <w:rPr>
          <w:rFonts w:hint="cs"/>
          <w:rtl/>
        </w:rPr>
        <w:t xml:space="preserve"> - في تلقي خدمات </w:t>
      </w:r>
      <w:r>
        <w:rPr>
          <w:rtl/>
        </w:rPr>
        <w:t>إدارة رعاية ال</w:t>
      </w:r>
      <w:r>
        <w:rPr>
          <w:rtl/>
        </w:rPr>
        <w:t>أسنان المدرسية</w:t>
      </w:r>
      <w:r>
        <w:rPr>
          <w:rFonts w:hint="cs"/>
          <w:rtl/>
        </w:rPr>
        <w:t>. وفي عام 2001، نشرت وزارة الصحة تقريراً حول دراسة استقصائية لصحة الفم أجريت على نطاق الإقليم. ولقد شكلت هذه الدراسة مبادرة هامة للرصد ستتكرر في المستقبل كل 10 سنوات لرصد حالة صحة الأسنان والوعي بصحة الأسنان في هونغ كونغ. كما أنها ستوفِّر الم</w:t>
      </w:r>
      <w:r>
        <w:rPr>
          <w:rFonts w:hint="cs"/>
          <w:rtl/>
        </w:rPr>
        <w:t>علومات الضرورية لأغراض التخطيط والتقييم.</w:t>
      </w:r>
    </w:p>
    <w:p w:rsidR="00000000" w:rsidRDefault="00443EC1">
      <w:pPr>
        <w:spacing w:line="380" w:lineRule="exact"/>
        <w:jc w:val="both"/>
        <w:rPr>
          <w:i/>
          <w:iCs/>
          <w:rtl/>
        </w:rPr>
      </w:pPr>
      <w:r>
        <w:rPr>
          <w:i/>
          <w:iCs/>
          <w:rtl/>
        </w:rPr>
        <w:t>التثقيف الصحي</w:t>
      </w:r>
    </w:p>
    <w:p w:rsidR="00000000" w:rsidRDefault="00443EC1">
      <w:pPr>
        <w:spacing w:line="380" w:lineRule="exact"/>
        <w:jc w:val="both"/>
        <w:rPr>
          <w:rFonts w:hint="cs"/>
          <w:rtl/>
        </w:rPr>
      </w:pPr>
      <w:r>
        <w:rPr>
          <w:rFonts w:hint="cs"/>
          <w:rtl/>
        </w:rPr>
        <w:t>616-</w:t>
      </w:r>
      <w:r>
        <w:rPr>
          <w:rFonts w:hint="cs"/>
          <w:rtl/>
        </w:rPr>
        <w:tab/>
        <w:t xml:space="preserve">سعينا، في الفقرة 451 من التقرير الأولي، إلى توضيح الدور الذي تضطلع به </w:t>
      </w:r>
      <w:r>
        <w:rPr>
          <w:rtl/>
        </w:rPr>
        <w:t>الوحدة المركزية للتثقيف الصحي</w:t>
      </w:r>
      <w:r>
        <w:rPr>
          <w:rFonts w:hint="cs"/>
          <w:rtl/>
        </w:rPr>
        <w:t>. وتضم هذه الوحدة، في الوقت الحاضر، فريقاً متعدد التخصصات لكفالة نهج أكثر شمولا، وبالتالي أكثر فع</w:t>
      </w:r>
      <w:r>
        <w:rPr>
          <w:rFonts w:hint="cs"/>
          <w:rtl/>
        </w:rPr>
        <w:t>الية، إزاء تعزيز الصحة. وتشمل الأولويات التغذية والأنشطة البدنية والوقاية من الإصابة بالأمراض ومراقبة الصحة العقلية والتدخين.</w:t>
      </w:r>
    </w:p>
    <w:p w:rsidR="00000000" w:rsidRDefault="00443EC1">
      <w:pPr>
        <w:spacing w:line="380" w:lineRule="exact"/>
        <w:jc w:val="both"/>
        <w:rPr>
          <w:rFonts w:hint="cs"/>
          <w:i/>
          <w:iCs/>
          <w:rtl/>
        </w:rPr>
      </w:pPr>
      <w:r>
        <w:rPr>
          <w:rFonts w:hint="cs"/>
          <w:i/>
          <w:iCs/>
          <w:rtl/>
        </w:rPr>
        <w:t>الصحة العقلية</w:t>
      </w:r>
    </w:p>
    <w:p w:rsidR="00000000" w:rsidRDefault="00443EC1">
      <w:pPr>
        <w:spacing w:line="380" w:lineRule="exact"/>
        <w:jc w:val="both"/>
        <w:rPr>
          <w:rFonts w:hint="cs"/>
          <w:rtl/>
        </w:rPr>
      </w:pPr>
      <w:r>
        <w:rPr>
          <w:rFonts w:hint="cs"/>
          <w:rtl/>
        </w:rPr>
        <w:t>617-</w:t>
      </w:r>
      <w:r>
        <w:rPr>
          <w:rFonts w:hint="cs"/>
          <w:rtl/>
        </w:rPr>
        <w:tab/>
        <w:t xml:space="preserve">ترى لجنة تكافؤ الفرص أن خدمات رعاية الصحة العقلية التي نقدمها هي خدمات مجزأة ولا تعود دائما بالنفع على الأشخاص </w:t>
      </w:r>
      <w:r>
        <w:rPr>
          <w:rFonts w:hint="cs"/>
          <w:rtl/>
        </w:rPr>
        <w:t>الذين يعانون من اختلال عقلي. ولمعالجة هذه المسألة، اقترحت علينا اللجنة إدراج مجلس مستقل للصحة العقلية. وسيكون الوضع في هذا الصدد كالآتي:</w:t>
      </w:r>
    </w:p>
    <w:p w:rsidR="00000000" w:rsidRDefault="00443EC1">
      <w:pPr>
        <w:spacing w:line="380" w:lineRule="exact"/>
        <w:jc w:val="both"/>
        <w:rPr>
          <w:rFonts w:hint="cs"/>
          <w:rtl/>
        </w:rPr>
      </w:pPr>
      <w:r>
        <w:rPr>
          <w:rFonts w:hint="cs"/>
          <w:rtl/>
        </w:rPr>
        <w:tab/>
        <w:t>(أ)</w:t>
      </w:r>
      <w:r>
        <w:rPr>
          <w:rFonts w:hint="cs"/>
          <w:rtl/>
        </w:rPr>
        <w:tab/>
        <w:t>تكون وزارة الصحة مسؤولة عن إذكاء وعي الجمهور بالمسائل الصحية، بما في ذلك الصحة العقلية؛</w:t>
      </w:r>
    </w:p>
    <w:p w:rsidR="00000000" w:rsidRDefault="00443EC1">
      <w:pPr>
        <w:spacing w:line="380" w:lineRule="exact"/>
        <w:jc w:val="both"/>
        <w:rPr>
          <w:rFonts w:hint="cs"/>
          <w:rtl/>
        </w:rPr>
      </w:pPr>
      <w:r>
        <w:rPr>
          <w:rFonts w:hint="cs"/>
          <w:rtl/>
        </w:rPr>
        <w:tab/>
        <w:t>(ب)</w:t>
      </w:r>
      <w:r>
        <w:rPr>
          <w:rFonts w:hint="cs"/>
          <w:rtl/>
        </w:rPr>
        <w:tab/>
        <w:t xml:space="preserve">تكون هيئة المستشفيات </w:t>
      </w:r>
      <w:r>
        <w:rPr>
          <w:rFonts w:hint="cs"/>
          <w:rtl/>
        </w:rPr>
        <w:t>مسؤولة عن اكتشاف الأمراض العقلية وتشخيصها ومعالجتها؛</w:t>
      </w:r>
    </w:p>
    <w:p w:rsidR="00000000" w:rsidRDefault="00443EC1">
      <w:pPr>
        <w:spacing w:line="380" w:lineRule="exact"/>
        <w:jc w:val="both"/>
        <w:rPr>
          <w:rFonts w:hint="cs"/>
          <w:rtl/>
        </w:rPr>
      </w:pPr>
      <w:r>
        <w:rPr>
          <w:rFonts w:hint="cs"/>
          <w:rtl/>
        </w:rPr>
        <w:tab/>
        <w:t>(ج)</w:t>
      </w:r>
      <w:r>
        <w:rPr>
          <w:rFonts w:hint="cs"/>
          <w:rtl/>
        </w:rPr>
        <w:tab/>
        <w:t>يصبح مكتب التغذية والرعاية الصحية مسؤولا عن تنسيق السياسات والبرامج المتعلقة بالصحة العقلية.</w:t>
      </w:r>
    </w:p>
    <w:p w:rsidR="00000000" w:rsidRDefault="00443EC1">
      <w:pPr>
        <w:spacing w:line="380" w:lineRule="exact"/>
        <w:jc w:val="both"/>
        <w:rPr>
          <w:rFonts w:hint="cs"/>
          <w:rtl/>
        </w:rPr>
      </w:pPr>
      <w:r>
        <w:rPr>
          <w:rFonts w:hint="cs"/>
          <w:rtl/>
        </w:rPr>
        <w:t>ويشتمل توزيع المسؤوليات هذا على صياغة السياسات العامة ووضع البرامج وتوعية الجمهور. لذلك لا نرى أي ضرورة م</w:t>
      </w:r>
      <w:r>
        <w:rPr>
          <w:rFonts w:hint="cs"/>
          <w:rtl/>
        </w:rPr>
        <w:t>لحة تدعو إلى إنشاء مجلس الصحة العقلية.</w:t>
      </w:r>
    </w:p>
    <w:p w:rsidR="00000000" w:rsidRDefault="00443EC1">
      <w:pPr>
        <w:spacing w:line="380" w:lineRule="exact"/>
        <w:jc w:val="both"/>
        <w:rPr>
          <w:rFonts w:hint="cs"/>
          <w:i/>
          <w:iCs/>
          <w:rtl/>
        </w:rPr>
      </w:pPr>
    </w:p>
    <w:p w:rsidR="00000000" w:rsidRDefault="00443EC1">
      <w:pPr>
        <w:spacing w:line="380" w:lineRule="exact"/>
        <w:jc w:val="both"/>
        <w:rPr>
          <w:rFonts w:hint="cs"/>
          <w:i/>
          <w:iCs/>
          <w:rtl/>
        </w:rPr>
      </w:pPr>
      <w:r>
        <w:rPr>
          <w:rFonts w:hint="cs"/>
          <w:i/>
          <w:iCs/>
          <w:rtl/>
        </w:rPr>
        <w:t>ارتفاع نسب انتشار الأمراض العقلية في صفوف النساء</w:t>
      </w:r>
    </w:p>
    <w:p w:rsidR="00000000" w:rsidRDefault="00443EC1">
      <w:pPr>
        <w:spacing w:line="380" w:lineRule="exact"/>
        <w:jc w:val="both"/>
        <w:rPr>
          <w:rFonts w:hint="cs"/>
          <w:rtl/>
        </w:rPr>
      </w:pPr>
      <w:r>
        <w:rPr>
          <w:rFonts w:hint="cs"/>
          <w:rtl/>
        </w:rPr>
        <w:t>618-</w:t>
      </w:r>
      <w:r>
        <w:rPr>
          <w:rFonts w:hint="cs"/>
          <w:rtl/>
        </w:rPr>
        <w:tab/>
        <w:t>لاحظت لجنة تكافؤ الفرص أن الأمراض العقلية تنتشر في صفوف النساء أكثر مما تنتشر في صفوف الرجال. وثمة بالفعل اختلال في هذا الصدد، بما أن نسبة الإصابة بهذه الأمراض بي</w:t>
      </w:r>
      <w:r>
        <w:rPr>
          <w:rFonts w:hint="cs"/>
          <w:rtl/>
        </w:rPr>
        <w:t>ن النساء والرجال هي 55 إلى 45</w:t>
      </w:r>
      <w:r>
        <w:rPr>
          <w:rFonts w:hint="cs"/>
          <w:vertAlign w:val="superscript"/>
          <w:rtl/>
        </w:rPr>
        <w:t>(38)</w:t>
      </w:r>
      <w:r>
        <w:rPr>
          <w:rFonts w:hint="cs"/>
          <w:rtl/>
        </w:rPr>
        <w:t xml:space="preserve"> تقريباً. وتتفق هذه الأرقام، إلى حد ما، مع </w:t>
      </w:r>
      <w:r>
        <w:rPr>
          <w:rFonts w:hint="cs"/>
          <w:i/>
          <w:iCs/>
          <w:rtl/>
        </w:rPr>
        <w:t>تقرير منظمة الصحة العالمية</w:t>
      </w:r>
      <w:r>
        <w:rPr>
          <w:rFonts w:hint="cs"/>
          <w:rtl/>
        </w:rPr>
        <w:t xml:space="preserve"> لعام 2001، الذي يلاحظ أن احتمال إصابة المرأة باضطرابات اكتئابية واضطراب القلق ضعف احتمال إصابة الرجل بها</w:t>
      </w:r>
      <w:r>
        <w:rPr>
          <w:rFonts w:hint="cs"/>
          <w:vertAlign w:val="superscript"/>
          <w:rtl/>
        </w:rPr>
        <w:t>(39)</w:t>
      </w:r>
      <w:r>
        <w:rPr>
          <w:rFonts w:hint="cs"/>
          <w:rtl/>
        </w:rPr>
        <w:t>. وللمزيد من التوضيح، أشارت اللجنة إلى "الدور</w:t>
      </w:r>
      <w:r>
        <w:rPr>
          <w:rFonts w:hint="cs"/>
          <w:rtl/>
        </w:rPr>
        <w:t xml:space="preserve"> التقليدي الذي تضطلع به المرأة والذي يعرضها لضغوط كبيرة ويجعلها أقل قدرة على تغيير بيئتها المكربة". كما أشارت إلى "ارتفاع معدل العنف المنزلي والجنسي ضد المرأة". إلا أن هناك عاملاً آخر يتجلى في الإصابة بالاكتئاب بعد الوضع، التي تثير مشكلة صحية عامة كبيرة في</w:t>
      </w:r>
      <w:r>
        <w:rPr>
          <w:rFonts w:hint="cs"/>
          <w:rtl/>
        </w:rPr>
        <w:t xml:space="preserve"> هونغ كونغ وتصيب حوالي 10 في المائة من الصينيات. ويزور حوالي نصف النساء الحوامل و95 في المائة من المواليد المراكز التي تعنى بصحة الأم والطفل التابعة لوزارة الصحة والتي توفر الإطار المثالي للاضطلاع بما يلي:</w:t>
      </w:r>
    </w:p>
    <w:p w:rsidR="00000000" w:rsidRDefault="00443EC1">
      <w:pPr>
        <w:spacing w:line="380" w:lineRule="exact"/>
        <w:jc w:val="both"/>
        <w:rPr>
          <w:rFonts w:hint="cs"/>
          <w:rtl/>
        </w:rPr>
      </w:pPr>
      <w:r>
        <w:rPr>
          <w:rFonts w:hint="cs"/>
          <w:rtl/>
        </w:rPr>
        <w:tab/>
        <w:t>(أ)</w:t>
      </w:r>
      <w:r>
        <w:rPr>
          <w:rFonts w:hint="cs"/>
          <w:rtl/>
        </w:rPr>
        <w:tab/>
        <w:t>إذكاء وعي المجتمع بهذه الظروف وبطرق التصدي له</w:t>
      </w:r>
      <w:r>
        <w:rPr>
          <w:rFonts w:hint="cs"/>
          <w:rtl/>
        </w:rPr>
        <w:t>ا؛</w:t>
      </w:r>
    </w:p>
    <w:p w:rsidR="00000000" w:rsidRDefault="00443EC1">
      <w:pPr>
        <w:spacing w:line="380" w:lineRule="exact"/>
        <w:jc w:val="both"/>
        <w:rPr>
          <w:rFonts w:hint="cs"/>
          <w:rtl/>
        </w:rPr>
      </w:pPr>
      <w:r>
        <w:rPr>
          <w:rFonts w:hint="cs"/>
          <w:rtl/>
        </w:rPr>
        <w:tab/>
        <w:t>(ب)</w:t>
      </w:r>
      <w:r>
        <w:rPr>
          <w:rFonts w:hint="cs"/>
          <w:rtl/>
        </w:rPr>
        <w:tab/>
        <w:t>تحديد عوامل الخطر في الوقت المناسب والكشف عنها في وقت مبكِّر؛</w:t>
      </w:r>
    </w:p>
    <w:p w:rsidR="00000000" w:rsidRDefault="00443EC1">
      <w:pPr>
        <w:spacing w:line="380" w:lineRule="exact"/>
        <w:jc w:val="both"/>
        <w:rPr>
          <w:rFonts w:hint="cs"/>
          <w:rtl/>
        </w:rPr>
      </w:pPr>
      <w:r>
        <w:rPr>
          <w:rFonts w:hint="cs"/>
          <w:rtl/>
        </w:rPr>
        <w:tab/>
        <w:t>(ج)</w:t>
      </w:r>
      <w:r>
        <w:rPr>
          <w:rFonts w:hint="cs"/>
          <w:rtl/>
        </w:rPr>
        <w:tab/>
        <w:t>بناء قدرات الطاقم الطبي وطاقم الممرضين العاملين ميدانيا لدعم المرضى المحتاجين.</w:t>
      </w:r>
    </w:p>
    <w:p w:rsidR="00000000" w:rsidRDefault="00443EC1">
      <w:pPr>
        <w:spacing w:line="380" w:lineRule="exact"/>
        <w:jc w:val="both"/>
        <w:rPr>
          <w:rFonts w:hint="cs"/>
          <w:rtl/>
        </w:rPr>
      </w:pPr>
      <w:r>
        <w:rPr>
          <w:rFonts w:hint="cs"/>
          <w:rtl/>
        </w:rPr>
        <w:t>ويُناقش الجزء السادس ألف من تقريرنا الأولي، في سياق الحديث عن اتفاقية حقوق الطفل</w:t>
      </w:r>
      <w:r>
        <w:rPr>
          <w:rFonts w:hint="cs"/>
          <w:vertAlign w:val="superscript"/>
          <w:rtl/>
        </w:rPr>
        <w:t>(40)</w:t>
      </w:r>
      <w:r>
        <w:rPr>
          <w:rFonts w:hint="cs"/>
          <w:rtl/>
        </w:rPr>
        <w:t>، الدور الذي تضطلع</w:t>
      </w:r>
      <w:r>
        <w:rPr>
          <w:rFonts w:hint="cs"/>
          <w:rtl/>
        </w:rPr>
        <w:t xml:space="preserve"> به المراكز والوظائف التي تؤديها. وتشير هذه المراكز بشكل خاص إلى ماضي المرضى من حيث الإصابة باختلال عقلي، إذا ما كان لديهم ماض بهذا الشكل، وإلى علاقاتهم الزوجية والدعم الاجتماعي المتاح لهم. كما تحيل هذه المراكز المرضى إلى الأخصائيين والمسؤولين الاجتماعيين </w:t>
      </w:r>
      <w:r>
        <w:rPr>
          <w:rFonts w:hint="cs"/>
          <w:rtl/>
        </w:rPr>
        <w:t>على النحو المناسب.</w:t>
      </w:r>
    </w:p>
    <w:p w:rsidR="00000000" w:rsidRDefault="00443EC1">
      <w:pPr>
        <w:spacing w:line="380" w:lineRule="exact"/>
        <w:jc w:val="both"/>
        <w:rPr>
          <w:i/>
          <w:iCs/>
          <w:rtl/>
        </w:rPr>
      </w:pPr>
      <w:r>
        <w:rPr>
          <w:i/>
          <w:iCs/>
          <w:rtl/>
        </w:rPr>
        <w:t>توفير خدمات المستشفيات</w:t>
      </w:r>
    </w:p>
    <w:p w:rsidR="00000000" w:rsidRDefault="00443EC1">
      <w:pPr>
        <w:spacing w:line="380" w:lineRule="exact"/>
        <w:jc w:val="both"/>
        <w:rPr>
          <w:rFonts w:hint="cs"/>
          <w:rtl/>
        </w:rPr>
      </w:pPr>
      <w:r>
        <w:rPr>
          <w:rFonts w:hint="cs"/>
          <w:rtl/>
        </w:rPr>
        <w:t>619-</w:t>
      </w:r>
      <w:r>
        <w:rPr>
          <w:rFonts w:hint="cs"/>
          <w:rtl/>
        </w:rPr>
        <w:tab/>
      </w:r>
      <w:r>
        <w:rPr>
          <w:rFonts w:hint="cs"/>
          <w:sz w:val="26"/>
          <w:rtl/>
        </w:rPr>
        <w:t xml:space="preserve">لا يزال الوضع بشكل أساسي على النحو الوارد وصفه </w:t>
      </w:r>
      <w:r>
        <w:rPr>
          <w:rFonts w:hint="cs"/>
          <w:rtl/>
        </w:rPr>
        <w:t>في الفقرتين 452 و453 من التقرير الأولي، إذ لا تزال هيئة المستشفيات هي المسؤولة عن توفير خدمات المستشفيات. وتدير هذه الهيئة في الوقت الحاضر 43 مستشفى عاما ومؤسسة ع</w:t>
      </w:r>
      <w:r>
        <w:rPr>
          <w:rFonts w:hint="cs"/>
          <w:rtl/>
        </w:rPr>
        <w:t>امة، فضلاً عن 46 عيادة خارجية متخصصة، وتقدم للمجتمع خدمات إسعافية داخلية ومجتمعية. وكانت هيئة المستشفيات، وحتى أواخر آذار/مارس 2002</w:t>
      </w:r>
      <w:r>
        <w:rPr>
          <w:rFonts w:hint="cs"/>
          <w:vertAlign w:val="superscript"/>
          <w:rtl/>
        </w:rPr>
        <w:t>(41)</w:t>
      </w:r>
      <w:r>
        <w:rPr>
          <w:rFonts w:hint="cs"/>
          <w:rtl/>
        </w:rPr>
        <w:t>، توظِّف 105 4 أشخاص من الطاقم الطبي وتوفّر 022 29 سريراً.</w:t>
      </w:r>
    </w:p>
    <w:p w:rsidR="00000000" w:rsidRDefault="00443EC1">
      <w:pPr>
        <w:spacing w:line="380" w:lineRule="exact"/>
        <w:jc w:val="both"/>
        <w:rPr>
          <w:rFonts w:hint="cs"/>
          <w:rtl/>
        </w:rPr>
      </w:pPr>
      <w:r>
        <w:rPr>
          <w:rFonts w:hint="cs"/>
          <w:rtl/>
        </w:rPr>
        <w:t>620-</w:t>
      </w:r>
      <w:r>
        <w:rPr>
          <w:rFonts w:hint="cs"/>
          <w:rtl/>
        </w:rPr>
        <w:tab/>
        <w:t xml:space="preserve">ولقد أشرنا، في الفقرة 453 من التقرير الأولي، إلى أن </w:t>
      </w:r>
      <w:r>
        <w:rPr>
          <w:rtl/>
        </w:rPr>
        <w:t>المست</w:t>
      </w:r>
      <w:r>
        <w:rPr>
          <w:rtl/>
        </w:rPr>
        <w:t xml:space="preserve">شفيات العمومية </w:t>
      </w:r>
      <w:r>
        <w:rPr>
          <w:rFonts w:hint="cs"/>
          <w:rtl/>
        </w:rPr>
        <w:t xml:space="preserve">جُمِّعت </w:t>
      </w:r>
      <w:r>
        <w:rPr>
          <w:rtl/>
        </w:rPr>
        <w:t>في ثماني مجموعات</w:t>
      </w:r>
      <w:r>
        <w:rPr>
          <w:rFonts w:hint="cs"/>
          <w:rtl/>
        </w:rPr>
        <w:t>. ولتحقيق وفورات في الحجم، تُجمِّع هيئة المستشفيات اليوم المستشفيات والمراكز التابعة لها في سبع مجموعات. وتتوقع الهيئة أن تحقق المزيد من الفعالية بتقليص عدد المجموعات لتصل إلى خمس مجموعات في السنتين القادمتين.</w:t>
      </w:r>
    </w:p>
    <w:p w:rsidR="00000000" w:rsidRDefault="00443EC1">
      <w:pPr>
        <w:spacing w:line="380" w:lineRule="exact"/>
        <w:jc w:val="both"/>
        <w:rPr>
          <w:rFonts w:hint="cs"/>
          <w:i/>
          <w:iCs/>
          <w:rtl/>
        </w:rPr>
      </w:pPr>
    </w:p>
    <w:p w:rsidR="00000000" w:rsidRDefault="00443EC1">
      <w:pPr>
        <w:spacing w:line="380" w:lineRule="exact"/>
        <w:jc w:val="both"/>
        <w:rPr>
          <w:rFonts w:hint="cs"/>
          <w:i/>
          <w:iCs/>
          <w:rtl/>
        </w:rPr>
      </w:pPr>
    </w:p>
    <w:p w:rsidR="00000000" w:rsidRDefault="00443EC1">
      <w:pPr>
        <w:spacing w:line="380" w:lineRule="exact"/>
        <w:jc w:val="both"/>
        <w:rPr>
          <w:i/>
          <w:iCs/>
          <w:rtl/>
        </w:rPr>
      </w:pPr>
      <w:r>
        <w:rPr>
          <w:i/>
          <w:iCs/>
          <w:rtl/>
        </w:rPr>
        <w:t>العرض</w:t>
      </w:r>
      <w:r>
        <w:rPr>
          <w:i/>
          <w:iCs/>
          <w:rtl/>
        </w:rPr>
        <w:t xml:space="preserve"> </w:t>
      </w:r>
      <w:r>
        <w:rPr>
          <w:rFonts w:hint="cs"/>
          <w:i/>
          <w:iCs/>
          <w:rtl/>
        </w:rPr>
        <w:t>و</w:t>
      </w:r>
      <w:r>
        <w:rPr>
          <w:i/>
          <w:iCs/>
          <w:rtl/>
        </w:rPr>
        <w:t>الطلب فيما يتعلق بأسرّة المستشفيات</w:t>
      </w:r>
    </w:p>
    <w:p w:rsidR="00000000" w:rsidRDefault="00443EC1">
      <w:pPr>
        <w:spacing w:line="380" w:lineRule="exact"/>
        <w:jc w:val="both"/>
        <w:rPr>
          <w:rFonts w:hint="cs"/>
          <w:spacing w:val="0"/>
          <w:rtl/>
        </w:rPr>
      </w:pPr>
      <w:r>
        <w:rPr>
          <w:rFonts w:hint="cs"/>
          <w:spacing w:val="0"/>
          <w:rtl/>
        </w:rPr>
        <w:t>621-</w:t>
      </w:r>
      <w:r>
        <w:rPr>
          <w:rFonts w:hint="cs"/>
          <w:spacing w:val="0"/>
          <w:rtl/>
        </w:rPr>
        <w:tab/>
        <w:t xml:space="preserve">أشرنا، في الفقرة 454 من التقرير الأولي، إلى أن </w:t>
      </w:r>
      <w:r>
        <w:rPr>
          <w:spacing w:val="0"/>
          <w:rtl/>
        </w:rPr>
        <w:t xml:space="preserve">الطلب على خدمات المستشفيات العامة </w:t>
      </w:r>
      <w:r>
        <w:rPr>
          <w:rFonts w:hint="cs"/>
          <w:spacing w:val="0"/>
          <w:rtl/>
        </w:rPr>
        <w:t xml:space="preserve">ما انفك يتزايد. ولم يتوقف هذا الطلب عن التزايد. إذ ارتفع عدد المرضى الذين سُمح لهم بالخروج من </w:t>
      </w:r>
      <w:r>
        <w:rPr>
          <w:rFonts w:hint="cs"/>
          <w:spacing w:val="20"/>
          <w:rtl/>
        </w:rPr>
        <w:t xml:space="preserve">المستشفيات وعدد الوفيات، في </w:t>
      </w:r>
      <w:r>
        <w:rPr>
          <w:spacing w:val="20"/>
          <w:rtl/>
        </w:rPr>
        <w:t>فترة</w:t>
      </w:r>
      <w:r>
        <w:rPr>
          <w:rFonts w:hint="cs"/>
          <w:spacing w:val="20"/>
          <w:rtl/>
        </w:rPr>
        <w:t xml:space="preserve"> السنتي</w:t>
      </w:r>
      <w:r>
        <w:rPr>
          <w:rFonts w:hint="cs"/>
          <w:spacing w:val="20"/>
          <w:rtl/>
        </w:rPr>
        <w:t>ن</w:t>
      </w:r>
      <w:r>
        <w:rPr>
          <w:spacing w:val="20"/>
          <w:rtl/>
        </w:rPr>
        <w:t xml:space="preserve"> 1997</w:t>
      </w:r>
      <w:r>
        <w:rPr>
          <w:rFonts w:hint="cs"/>
          <w:spacing w:val="20"/>
          <w:rtl/>
        </w:rPr>
        <w:t xml:space="preserve"> و</w:t>
      </w:r>
      <w:r>
        <w:rPr>
          <w:spacing w:val="20"/>
          <w:rtl/>
        </w:rPr>
        <w:t>1998</w:t>
      </w:r>
      <w:r>
        <w:rPr>
          <w:rFonts w:hint="cs"/>
          <w:spacing w:val="20"/>
          <w:rtl/>
        </w:rPr>
        <w:t>، من 000 970 ليصل إلى 000</w:t>
      </w:r>
      <w:r>
        <w:rPr>
          <w:rFonts w:hint="cs"/>
          <w:spacing w:val="0"/>
          <w:rtl/>
        </w:rPr>
        <w:t xml:space="preserve"> 208 1 </w:t>
      </w:r>
      <w:r>
        <w:rPr>
          <w:spacing w:val="0"/>
          <w:rtl/>
        </w:rPr>
        <w:t xml:space="preserve">حالة </w:t>
      </w:r>
      <w:r>
        <w:rPr>
          <w:rFonts w:hint="cs"/>
          <w:spacing w:val="0"/>
          <w:rtl/>
        </w:rPr>
        <w:t>في سنتي 2001 و2002، بزيادة تبلغ حوالي 25 في المائة. وتمثل الأسِرّة البالغ عددها 022 29 سريراً بالمستشفيات، التي تم توفيرها في 31 آذار/مارس 2002، متوسطاً يبلغ 4.2 أسِرّة لكل ألف ساكن. والهدف الذي تبتغي الهيئة</w:t>
      </w:r>
      <w:r>
        <w:rPr>
          <w:rFonts w:hint="cs"/>
          <w:spacing w:val="0"/>
          <w:rtl/>
        </w:rPr>
        <w:t xml:space="preserve"> تحقيقه في 31 آذار/مارس 2003 هو توفير 288 29 سريراً، ومن ثم الحفاظ على نسبة 4.2 للاستجابة لتزايد السكان المتواصل.</w:t>
      </w:r>
    </w:p>
    <w:p w:rsidR="00000000" w:rsidRDefault="00443EC1">
      <w:pPr>
        <w:spacing w:line="380" w:lineRule="exact"/>
        <w:jc w:val="both"/>
        <w:rPr>
          <w:rFonts w:hint="cs"/>
          <w:spacing w:val="0"/>
          <w:rtl/>
        </w:rPr>
      </w:pPr>
      <w:r>
        <w:rPr>
          <w:rFonts w:hint="cs"/>
          <w:spacing w:val="0"/>
          <w:rtl/>
        </w:rPr>
        <w:t>622-</w:t>
      </w:r>
      <w:r>
        <w:rPr>
          <w:rFonts w:hint="cs"/>
          <w:spacing w:val="0"/>
          <w:rtl/>
        </w:rPr>
        <w:tab/>
        <w:t>وتمشيا مع الاتجاه العالمي الذي يبتعد عن الرعاية الداخلية ويتجه إلى الخدمات الإسعافية، تستعرض هيئة المستشفيات الطلب على الأسِرّة في المستش</w:t>
      </w:r>
      <w:r>
        <w:rPr>
          <w:rFonts w:hint="cs"/>
          <w:spacing w:val="0"/>
          <w:rtl/>
        </w:rPr>
        <w:t>فيات مستقبلاً وعلى مرافق الرعاية خارج المستشفيات، مع مراعاة آخر الإسقاطات السكانية والاحتياجات في الخدمات والتغييرات الحاصلة في نماذج تقديم الخدمات.</w:t>
      </w:r>
    </w:p>
    <w:p w:rsidR="00000000" w:rsidRDefault="00443EC1">
      <w:pPr>
        <w:spacing w:line="380" w:lineRule="exact"/>
        <w:jc w:val="both"/>
        <w:rPr>
          <w:i/>
          <w:iCs/>
          <w:rtl/>
        </w:rPr>
      </w:pPr>
      <w:r>
        <w:rPr>
          <w:i/>
          <w:iCs/>
          <w:rtl/>
        </w:rPr>
        <w:t>احتياجات المستشفيات من الأيدي العاملة</w:t>
      </w:r>
    </w:p>
    <w:p w:rsidR="00000000" w:rsidRDefault="00443EC1">
      <w:pPr>
        <w:spacing w:line="380" w:lineRule="exact"/>
        <w:jc w:val="both"/>
        <w:rPr>
          <w:rFonts w:hint="cs"/>
          <w:spacing w:val="0"/>
          <w:rtl/>
        </w:rPr>
      </w:pPr>
      <w:r>
        <w:rPr>
          <w:rFonts w:hint="cs"/>
          <w:spacing w:val="0"/>
          <w:rtl/>
        </w:rPr>
        <w:t>623-</w:t>
      </w:r>
      <w:r>
        <w:rPr>
          <w:rFonts w:hint="cs"/>
          <w:spacing w:val="0"/>
          <w:rtl/>
        </w:rPr>
        <w:tab/>
        <w:t>ما فتئت هيئة المستشفيات، منذ نُشر التقرير الأولي، تشغِّل الموظفي</w:t>
      </w:r>
      <w:r>
        <w:rPr>
          <w:rFonts w:hint="cs"/>
          <w:spacing w:val="0"/>
          <w:rtl/>
        </w:rPr>
        <w:t>ن حتى تستجيب للطلبات المتزايدة. وقد</w:t>
      </w:r>
      <w:r>
        <w:rPr>
          <w:rFonts w:hint="eastAsia"/>
          <w:spacing w:val="0"/>
          <w:rtl/>
        </w:rPr>
        <w:t> </w:t>
      </w:r>
      <w:r>
        <w:rPr>
          <w:rFonts w:hint="cs"/>
          <w:spacing w:val="0"/>
          <w:rtl/>
        </w:rPr>
        <w:t>اعتزمت الهيئة أن تشغِّل، في الفترة 2002-2003 زهاء 270 طبيباً و270 ممرضة و69 متخصصاً في ميدان الصحة و107 متدرباً في فرع من فروع التخصصات الطبية</w:t>
      </w:r>
      <w:r>
        <w:rPr>
          <w:rFonts w:hint="cs"/>
          <w:spacing w:val="0"/>
          <w:vertAlign w:val="superscript"/>
          <w:rtl/>
        </w:rPr>
        <w:t>(42)</w:t>
      </w:r>
      <w:r>
        <w:rPr>
          <w:rFonts w:hint="cs"/>
          <w:spacing w:val="0"/>
          <w:rtl/>
        </w:rPr>
        <w:t>.</w:t>
      </w:r>
    </w:p>
    <w:p w:rsidR="00000000" w:rsidRDefault="00443EC1">
      <w:pPr>
        <w:spacing w:line="380" w:lineRule="exact"/>
        <w:jc w:val="both"/>
        <w:rPr>
          <w:i/>
          <w:iCs/>
          <w:rtl/>
        </w:rPr>
      </w:pPr>
      <w:r>
        <w:rPr>
          <w:i/>
          <w:iCs/>
          <w:rtl/>
        </w:rPr>
        <w:t>الوفيات والإصابات في المستشفيات</w:t>
      </w:r>
    </w:p>
    <w:p w:rsidR="00000000" w:rsidRDefault="00443EC1">
      <w:pPr>
        <w:spacing w:line="380" w:lineRule="exact"/>
        <w:jc w:val="both"/>
        <w:rPr>
          <w:rFonts w:hint="cs"/>
          <w:spacing w:val="0"/>
          <w:rtl/>
        </w:rPr>
      </w:pPr>
      <w:r>
        <w:rPr>
          <w:rFonts w:hint="cs"/>
          <w:spacing w:val="0"/>
          <w:rtl/>
        </w:rPr>
        <w:t>624-</w:t>
      </w:r>
      <w:r>
        <w:rPr>
          <w:rFonts w:hint="cs"/>
          <w:spacing w:val="0"/>
          <w:rtl/>
        </w:rPr>
        <w:tab/>
        <w:t>أحطنا اللجنة علماً، في الفقرات من 4</w:t>
      </w:r>
      <w:r>
        <w:rPr>
          <w:rFonts w:hint="cs"/>
          <w:spacing w:val="0"/>
          <w:rtl/>
        </w:rPr>
        <w:t>60 إلى 464 من التقرير الأولي، بمجموعة من الحوادث التي طرأت خلال فترة استعراض التقرير. وخلال السنوات التي تلت هذه الفترة، أنشأت هيئة المستشفيات آليات لتنسيق إدارة المخاطر في جميع المستشفيات العمومية. واشتمل ذلك على التعرف المبكر على الأخطار السريرية والتخفي</w:t>
      </w:r>
      <w:r>
        <w:rPr>
          <w:rFonts w:hint="cs"/>
          <w:spacing w:val="0"/>
          <w:rtl/>
        </w:rPr>
        <w:t>ف من حدتها، وساعد ذلك على تقليص ظهور الحوادث السريرية.</w:t>
      </w:r>
    </w:p>
    <w:p w:rsidR="00000000" w:rsidRDefault="00443EC1">
      <w:pPr>
        <w:spacing w:line="380" w:lineRule="exact"/>
        <w:jc w:val="both"/>
        <w:rPr>
          <w:i/>
          <w:iCs/>
          <w:rtl/>
        </w:rPr>
      </w:pPr>
      <w:r>
        <w:rPr>
          <w:i/>
          <w:iCs/>
          <w:rtl/>
        </w:rPr>
        <w:t>الطب الصيني التقليدي</w:t>
      </w:r>
    </w:p>
    <w:p w:rsidR="00000000" w:rsidRDefault="00443EC1">
      <w:pPr>
        <w:spacing w:line="380" w:lineRule="exact"/>
        <w:jc w:val="both"/>
        <w:rPr>
          <w:rFonts w:hint="cs"/>
          <w:spacing w:val="0"/>
          <w:rtl/>
        </w:rPr>
      </w:pPr>
      <w:r>
        <w:rPr>
          <w:rFonts w:hint="cs"/>
          <w:spacing w:val="0"/>
          <w:rtl/>
        </w:rPr>
        <w:t>625-</w:t>
      </w:r>
      <w:r>
        <w:rPr>
          <w:rFonts w:hint="cs"/>
          <w:spacing w:val="0"/>
          <w:rtl/>
        </w:rPr>
        <w:tab/>
        <w:t>توصلنا، وكما اعتزمنا القيام به في الفقرة 465 من التقرير الأولي، إلى وضع إطار قانوني لتنظيم ممارسة الطب الصيني واستخدامه والمتاجرة به وصناعته. وقد تم سن قانون الطب الصيني (الما</w:t>
      </w:r>
      <w:r>
        <w:rPr>
          <w:rFonts w:hint="cs"/>
          <w:spacing w:val="0"/>
          <w:rtl/>
        </w:rPr>
        <w:t>دة 549) في تموز/يوليه 1999. ويعد مجلس الطب الصيني التابع لهونغ كونغ، وهو هيئة قانونية أنشئت بموجب قانون أيلول/سبتمبر 1999، مسؤولاً عن اتخاذ التدابير التنظيمية المحددة وتنفيذها.</w:t>
      </w:r>
    </w:p>
    <w:p w:rsidR="00000000" w:rsidRDefault="00443EC1">
      <w:pPr>
        <w:spacing w:line="380" w:lineRule="exact"/>
        <w:jc w:val="both"/>
        <w:rPr>
          <w:rFonts w:hint="cs"/>
          <w:spacing w:val="0"/>
          <w:rtl/>
        </w:rPr>
      </w:pPr>
      <w:r>
        <w:rPr>
          <w:rFonts w:hint="cs"/>
          <w:spacing w:val="0"/>
          <w:rtl/>
        </w:rPr>
        <w:t>626-</w:t>
      </w:r>
      <w:r>
        <w:rPr>
          <w:rFonts w:hint="cs"/>
          <w:spacing w:val="0"/>
          <w:rtl/>
        </w:rPr>
        <w:tab/>
        <w:t>ولا يُسمح، على المدى الطويل، بممارسة الطب الصيني في هونغ كونغ إلا للأخصائي</w:t>
      </w:r>
      <w:r>
        <w:rPr>
          <w:rFonts w:hint="cs"/>
          <w:spacing w:val="0"/>
          <w:rtl/>
        </w:rPr>
        <w:t>ين المسجلين. وحتى يصبح الشخص أخصائيا مسجلاً، ينبغي أن يكون حاملاً لشهادة معترف بها في ممارسة الطب الصيني وأن يجتاز اختبار منح التراخيص. ويتعين على الأخصائيين كذلك أن يمتثلوا لمدونة قواعد الممارسات التابعة للمجلس وأن يستجيبوا لمتطلبات مواصلة تلقي العلم بهدف</w:t>
      </w:r>
      <w:r>
        <w:rPr>
          <w:rFonts w:hint="cs"/>
          <w:spacing w:val="0"/>
          <w:rtl/>
        </w:rPr>
        <w:t xml:space="preserve"> تجديد شهادات ممارسة مهنتهم كما ينص على ذلك الباب 82 من قانون الطب الصيني</w:t>
      </w:r>
      <w:r>
        <w:rPr>
          <w:spacing w:val="0"/>
          <w:rtl/>
        </w:rPr>
        <w:br/>
      </w:r>
      <w:r>
        <w:rPr>
          <w:rFonts w:hint="cs"/>
          <w:spacing w:val="0"/>
          <w:rtl/>
        </w:rPr>
        <w:t>(المادة 549).</w:t>
      </w:r>
    </w:p>
    <w:p w:rsidR="00000000" w:rsidRDefault="00443EC1">
      <w:pPr>
        <w:spacing w:line="380" w:lineRule="exact"/>
        <w:jc w:val="both"/>
        <w:rPr>
          <w:rFonts w:hint="cs"/>
          <w:spacing w:val="0"/>
          <w:rtl/>
        </w:rPr>
      </w:pPr>
      <w:r>
        <w:rPr>
          <w:rFonts w:hint="cs"/>
          <w:spacing w:val="0"/>
          <w:rtl/>
        </w:rPr>
        <w:t>627-</w:t>
      </w:r>
      <w:r>
        <w:rPr>
          <w:rFonts w:hint="cs"/>
          <w:spacing w:val="0"/>
          <w:rtl/>
        </w:rPr>
        <w:tab/>
        <w:t>وتنص الأبواب من 90 إلى 96 من قانون الطب الصيني (المادة 549) على بعض الترتيبات الانتقالية التي يستفيد منها الأخصائيون الموجودون. وفي آب/أغسطس 2002، أنهى المجلس اختب</w:t>
      </w:r>
      <w:r>
        <w:rPr>
          <w:rFonts w:hint="cs"/>
          <w:spacing w:val="0"/>
          <w:rtl/>
        </w:rPr>
        <w:t xml:space="preserve">اراً قيَّم من خلاله ما إذا كان الأخصائيون الموجودون يستحقون تسجيلهم مباشرة في إطار الترتيب الانتقالي أم ينبغي إخضاعهم لاختبار تقييم أو اختبار منح التراخيص </w:t>
      </w:r>
      <w:r>
        <w:rPr>
          <w:rFonts w:hint="cs"/>
          <w:spacing w:val="20"/>
          <w:rtl/>
        </w:rPr>
        <w:t>قبل تسجيلهم. وتم التوصل إلى أن حوالي</w:t>
      </w:r>
      <w:r>
        <w:rPr>
          <w:rFonts w:hint="cs"/>
          <w:spacing w:val="0"/>
          <w:rtl/>
        </w:rPr>
        <w:t xml:space="preserve"> 543 2 أخصائياً مؤهلون للتسجيل مباشرة.</w:t>
      </w:r>
    </w:p>
    <w:p w:rsidR="00000000" w:rsidRDefault="00443EC1">
      <w:pPr>
        <w:spacing w:line="380" w:lineRule="exact"/>
        <w:jc w:val="both"/>
        <w:rPr>
          <w:rFonts w:hint="cs"/>
          <w:spacing w:val="0"/>
          <w:rtl/>
        </w:rPr>
      </w:pPr>
      <w:r>
        <w:rPr>
          <w:rFonts w:hint="cs"/>
          <w:spacing w:val="0"/>
          <w:rtl/>
        </w:rPr>
        <w:t>628-</w:t>
      </w:r>
      <w:r>
        <w:rPr>
          <w:rFonts w:hint="cs"/>
          <w:spacing w:val="0"/>
          <w:rtl/>
        </w:rPr>
        <w:tab/>
        <w:t>وسنفرض، ابتداء من عام</w:t>
      </w:r>
      <w:r>
        <w:rPr>
          <w:rFonts w:hint="cs"/>
          <w:spacing w:val="0"/>
          <w:rtl/>
        </w:rPr>
        <w:t xml:space="preserve"> 2003، ضوابط تنظيمية على الأدوية الصينية، بما في ذلك تسجيل الأدوية الصينية المملوكة ومنح تراخيص لتجار الأدوية الصينية ولأصحاب صناعات الأدوية الصينية المملوكة. وستُدرَج هذه الشروط على مراحل. ونقوم، في ذات الوقت، بوضع معايير للأمان والنوعية خاصة بالمواد الصي</w:t>
      </w:r>
      <w:r>
        <w:rPr>
          <w:rFonts w:hint="cs"/>
          <w:spacing w:val="0"/>
          <w:rtl/>
        </w:rPr>
        <w:t>دلانية الصينية.</w:t>
      </w:r>
    </w:p>
    <w:p w:rsidR="00000000" w:rsidRDefault="00443EC1">
      <w:pPr>
        <w:spacing w:line="380" w:lineRule="exact"/>
        <w:jc w:val="both"/>
        <w:rPr>
          <w:rFonts w:hint="cs"/>
          <w:spacing w:val="0"/>
          <w:rtl/>
        </w:rPr>
      </w:pPr>
      <w:r>
        <w:rPr>
          <w:rFonts w:hint="cs"/>
          <w:spacing w:val="0"/>
          <w:rtl/>
        </w:rPr>
        <w:t>629-</w:t>
      </w:r>
      <w:r>
        <w:rPr>
          <w:rFonts w:hint="cs"/>
          <w:spacing w:val="0"/>
          <w:rtl/>
        </w:rPr>
        <w:tab/>
        <w:t xml:space="preserve">أما أهم الإنجازات فهو ذلك الذي أحرز في مجالات أخرى. فقبل عام 1998، لم يكن هناك أي تدريب هيكلي كل الوقت في مجال الطب الصيني على المستوى الثالث. وثمة، في الوقت الحالي، جامعتان تقدمان مناهج دراسية كل الوقت للطلبة الجامعيين وطلبة الدراسات </w:t>
      </w:r>
      <w:r>
        <w:rPr>
          <w:rFonts w:hint="cs"/>
          <w:spacing w:val="0"/>
          <w:rtl/>
        </w:rPr>
        <w:t xml:space="preserve">العليا في مجال ممارسة الطب الصيني والصيدلة الصينية. وفي أيار/مايو 2001، أنشأت اللجنة الحكومية للابتكار والتكنولوجيا مؤسسة نادي السباق للطب الصيني في هونغ كونغ بغية وضع استراتيجيات لتمويل البحوث والتنمية والتنسيق بينها. كما سنقدم خدمات طبية صينية خارجية في </w:t>
      </w:r>
      <w:r>
        <w:rPr>
          <w:rFonts w:hint="cs"/>
          <w:spacing w:val="0"/>
          <w:rtl/>
        </w:rPr>
        <w:t>المستوصفات العمومية.</w:t>
      </w:r>
    </w:p>
    <w:p w:rsidR="00000000" w:rsidRDefault="00443EC1">
      <w:pPr>
        <w:spacing w:line="380" w:lineRule="exact"/>
        <w:jc w:val="both"/>
        <w:rPr>
          <w:rFonts w:hint="cs"/>
          <w:i/>
          <w:iCs/>
          <w:rtl/>
        </w:rPr>
      </w:pPr>
      <w:r>
        <w:rPr>
          <w:rFonts w:hint="cs"/>
          <w:i/>
          <w:iCs/>
          <w:rtl/>
        </w:rPr>
        <w:t>تنظيم مؤسسات الرعاية الصحية</w:t>
      </w:r>
    </w:p>
    <w:p w:rsidR="00000000" w:rsidRDefault="00443EC1">
      <w:pPr>
        <w:spacing w:line="380" w:lineRule="exact"/>
        <w:jc w:val="both"/>
        <w:rPr>
          <w:rFonts w:hint="cs"/>
          <w:spacing w:val="0"/>
          <w:rtl/>
        </w:rPr>
      </w:pPr>
      <w:r>
        <w:rPr>
          <w:rFonts w:hint="cs"/>
          <w:spacing w:val="0"/>
          <w:rtl/>
        </w:rPr>
        <w:t>630-</w:t>
      </w:r>
      <w:r>
        <w:rPr>
          <w:rFonts w:hint="cs"/>
          <w:spacing w:val="0"/>
          <w:rtl/>
        </w:rPr>
        <w:tab/>
        <w:t xml:space="preserve">اقترح بعض المعلقين، وإن لم يكن ذلك بصريح العبارة، تعزيز تنظيم مؤسسات الرعاية الصحية. ونحن نحيط علماً بهذه الآراء إلا أننا نرى أن الإطار القائم الذي يشمل تنظيم خدمات الرعاية الصحية الخاصة ورصدها هو إطار </w:t>
      </w:r>
      <w:r>
        <w:rPr>
          <w:rFonts w:hint="cs"/>
          <w:spacing w:val="0"/>
          <w:rtl/>
        </w:rPr>
        <w:t>مناسب. إذ إنه يضم تدابير قانونية وأخرى إدارية تنفذها وزارة الصحة</w:t>
      </w:r>
      <w:r>
        <w:rPr>
          <w:rFonts w:hint="cs"/>
          <w:spacing w:val="0"/>
          <w:vertAlign w:val="superscript"/>
          <w:rtl/>
        </w:rPr>
        <w:t>(43)</w:t>
      </w:r>
      <w:r>
        <w:rPr>
          <w:rFonts w:hint="cs"/>
          <w:spacing w:val="0"/>
          <w:rtl/>
        </w:rPr>
        <w:t xml:space="preserve">. ويُستعرض هذا الإطار بانتظام للتأكد من أن القطاع الخاص يوفِّر مستويات عالية ومتماسكة من الخدمات. ويجري إدخال تحسينات أينما دعت الضرورة لذلك: فقد عقدت وزارة الصحة، على سبيل </w:t>
      </w:r>
      <w:r>
        <w:rPr>
          <w:rFonts w:hint="cs"/>
          <w:spacing w:val="20"/>
          <w:rtl/>
        </w:rPr>
        <w:t xml:space="preserve">المثال، مشاورة </w:t>
      </w:r>
      <w:r>
        <w:rPr>
          <w:rFonts w:hint="cs"/>
          <w:spacing w:val="20"/>
          <w:rtl/>
        </w:rPr>
        <w:t>مع المستشفيات الخاصة حول مشروع مدونة سلوك من شأنه، حالما يُستكمل</w:t>
      </w:r>
      <w:r>
        <w:rPr>
          <w:rFonts w:hint="cs"/>
          <w:spacing w:val="0"/>
          <w:rtl/>
        </w:rPr>
        <w:t xml:space="preserve"> (2003)، أن يضفي الطابع المؤسسي على معايير الممارسة الجيدة في المستشفيات الخاصة.</w:t>
      </w:r>
    </w:p>
    <w:p w:rsidR="00000000" w:rsidRDefault="00443EC1">
      <w:pPr>
        <w:spacing w:line="380" w:lineRule="exact"/>
        <w:jc w:val="both"/>
        <w:rPr>
          <w:i/>
          <w:iCs/>
          <w:rtl/>
        </w:rPr>
      </w:pPr>
      <w:r>
        <w:rPr>
          <w:i/>
          <w:iCs/>
          <w:rtl/>
        </w:rPr>
        <w:t>الوقاية من فيروس نقص المناعة البشري</w:t>
      </w:r>
      <w:r>
        <w:rPr>
          <w:rFonts w:hint="cs"/>
          <w:i/>
          <w:iCs/>
          <w:rtl/>
        </w:rPr>
        <w:t>/</w:t>
      </w:r>
      <w:r>
        <w:rPr>
          <w:i/>
          <w:iCs/>
          <w:rtl/>
        </w:rPr>
        <w:t>متلازمة نقص المناعة المكتسب</w:t>
      </w:r>
      <w:r>
        <w:rPr>
          <w:rFonts w:hint="cs"/>
          <w:i/>
          <w:iCs/>
          <w:rtl/>
        </w:rPr>
        <w:t xml:space="preserve"> (الإيدز)</w:t>
      </w:r>
      <w:r>
        <w:rPr>
          <w:i/>
          <w:iCs/>
          <w:rtl/>
        </w:rPr>
        <w:t xml:space="preserve"> ومكافحتهما</w:t>
      </w:r>
    </w:p>
    <w:p w:rsidR="00000000" w:rsidRDefault="00443EC1">
      <w:pPr>
        <w:spacing w:line="380" w:lineRule="exact"/>
        <w:jc w:val="both"/>
        <w:rPr>
          <w:rFonts w:hint="cs"/>
          <w:spacing w:val="0"/>
          <w:rtl/>
        </w:rPr>
      </w:pPr>
      <w:r>
        <w:rPr>
          <w:rFonts w:hint="cs"/>
          <w:spacing w:val="0"/>
          <w:rtl/>
        </w:rPr>
        <w:t>631-</w:t>
      </w:r>
      <w:r>
        <w:rPr>
          <w:rFonts w:hint="cs"/>
          <w:spacing w:val="0"/>
          <w:rtl/>
        </w:rPr>
        <w:tab/>
        <w:t xml:space="preserve">لا تزال الوقاية </w:t>
      </w:r>
      <w:r>
        <w:rPr>
          <w:spacing w:val="0"/>
          <w:rtl/>
        </w:rPr>
        <w:t>من فير</w:t>
      </w:r>
      <w:r>
        <w:rPr>
          <w:spacing w:val="0"/>
          <w:rtl/>
        </w:rPr>
        <w:t>وس نقص المناعة البشري</w:t>
      </w:r>
      <w:r>
        <w:rPr>
          <w:rFonts w:hint="cs"/>
          <w:spacing w:val="0"/>
          <w:rtl/>
        </w:rPr>
        <w:t>/الإيدز ومكافحتهما ورعاية المصابين بهما تحظى بأولية قصوى في هونغ كونغ. وحتى 31 كانون الأول/ديسمبر 2002، أُبلِغت وزارة الصحة</w:t>
      </w:r>
      <w:r>
        <w:rPr>
          <w:rFonts w:hint="cs"/>
          <w:spacing w:val="20"/>
          <w:rtl/>
        </w:rPr>
        <w:t xml:space="preserve"> بوجود ما مجموعه 015 2 حالة عدوى بفيروس نقص المناعة البشري، حدث معظمها عن طريق</w:t>
      </w:r>
      <w:r>
        <w:rPr>
          <w:rFonts w:hint="cs"/>
          <w:spacing w:val="0"/>
          <w:rtl/>
        </w:rPr>
        <w:t xml:space="preserve"> الاتصال الجنسي. ومن هذه الحالات ث</w:t>
      </w:r>
      <w:r>
        <w:rPr>
          <w:rFonts w:hint="cs"/>
          <w:spacing w:val="0"/>
          <w:rtl/>
        </w:rPr>
        <w:t>مة 613 حالة إصابة بالإيدز. وفي عام 2002، قُدّر أن ثمة 600 2 شخص ممن تتراوح أعمارهم بين 15 و49 سنة مصابون بفيروس نقص المناعة البشري/الإيدز</w:t>
      </w:r>
      <w:r>
        <w:rPr>
          <w:rFonts w:hint="cs"/>
          <w:spacing w:val="0"/>
          <w:vertAlign w:val="superscript"/>
          <w:rtl/>
        </w:rPr>
        <w:t>(44)</w:t>
      </w:r>
      <w:r>
        <w:rPr>
          <w:rFonts w:hint="cs"/>
          <w:spacing w:val="0"/>
          <w:rtl/>
        </w:rPr>
        <w:t xml:space="preserve">. </w:t>
      </w:r>
    </w:p>
    <w:p w:rsidR="00000000" w:rsidRDefault="00443EC1">
      <w:pPr>
        <w:spacing w:line="380" w:lineRule="exact"/>
        <w:jc w:val="both"/>
        <w:rPr>
          <w:rFonts w:hint="cs"/>
          <w:i/>
          <w:iCs/>
          <w:rtl/>
        </w:rPr>
      </w:pPr>
    </w:p>
    <w:p w:rsidR="00000000" w:rsidRDefault="00443EC1">
      <w:pPr>
        <w:spacing w:line="380" w:lineRule="exact"/>
        <w:jc w:val="both"/>
        <w:rPr>
          <w:i/>
          <w:iCs/>
          <w:rtl/>
        </w:rPr>
      </w:pPr>
      <w:r>
        <w:rPr>
          <w:i/>
          <w:iCs/>
          <w:rtl/>
        </w:rPr>
        <w:t>المجلس الاستشاري بشأن الإيدز</w:t>
      </w:r>
    </w:p>
    <w:p w:rsidR="00000000" w:rsidRDefault="00443EC1">
      <w:pPr>
        <w:spacing w:line="380" w:lineRule="exact"/>
        <w:jc w:val="both"/>
        <w:rPr>
          <w:rFonts w:hint="cs"/>
          <w:spacing w:val="0"/>
          <w:rtl/>
        </w:rPr>
      </w:pPr>
      <w:r>
        <w:rPr>
          <w:rFonts w:hint="cs"/>
          <w:spacing w:val="0"/>
          <w:rtl/>
        </w:rPr>
        <w:t>632-</w:t>
      </w:r>
      <w:r>
        <w:rPr>
          <w:rFonts w:hint="cs"/>
          <w:spacing w:val="0"/>
          <w:rtl/>
        </w:rPr>
        <w:tab/>
        <w:t xml:space="preserve">لا يزال المجلس يضطلع بذات الدور الوارد وصفه في الفقرة 420 من التقرير الأولي. </w:t>
      </w:r>
      <w:r>
        <w:rPr>
          <w:rFonts w:hint="cs"/>
          <w:spacing w:val="0"/>
          <w:rtl/>
        </w:rPr>
        <w:t>ولقد أسفر استعراض عام 1998 المعلن عنه في هذه الفقرة عن تقديم مقترحات بوضع استراتيجية جديدة، وما فتئت هذه المقترحات تُراجع ويُعاد تقييمها، وحدث ذلك مؤخرا في عام 2002. ووضعت المراجعات التي تمت في عام 2002 برنامجاً استراتيجيا شمل الفترة 2002-2006.</w:t>
      </w:r>
    </w:p>
    <w:p w:rsidR="00000000" w:rsidRDefault="00443EC1">
      <w:pPr>
        <w:spacing w:line="380" w:lineRule="exact"/>
        <w:jc w:val="both"/>
        <w:rPr>
          <w:rFonts w:hint="cs"/>
          <w:i/>
          <w:iCs/>
          <w:rtl/>
        </w:rPr>
      </w:pPr>
      <w:r>
        <w:rPr>
          <w:i/>
          <w:iCs/>
          <w:rtl/>
        </w:rPr>
        <w:t>الكشف والعل</w:t>
      </w:r>
      <w:r>
        <w:rPr>
          <w:i/>
          <w:iCs/>
          <w:rtl/>
        </w:rPr>
        <w:t>اج</w:t>
      </w:r>
    </w:p>
    <w:p w:rsidR="00000000" w:rsidRDefault="00443EC1">
      <w:pPr>
        <w:spacing w:line="380" w:lineRule="exact"/>
        <w:jc w:val="both"/>
        <w:rPr>
          <w:rFonts w:hint="cs"/>
          <w:spacing w:val="0"/>
          <w:rtl/>
        </w:rPr>
      </w:pPr>
      <w:r>
        <w:rPr>
          <w:rFonts w:hint="cs"/>
          <w:spacing w:val="0"/>
          <w:rtl/>
        </w:rPr>
        <w:t>633-</w:t>
      </w:r>
      <w:r>
        <w:rPr>
          <w:rFonts w:hint="cs"/>
          <w:spacing w:val="0"/>
          <w:rtl/>
        </w:rPr>
        <w:tab/>
        <w:t xml:space="preserve">افتتحت وزارة الصحة في عام 1999، وكما كان معتزما القيام به في الفقرة 421 من التقرير الأولي، </w:t>
      </w:r>
      <w:r>
        <w:rPr>
          <w:spacing w:val="0"/>
          <w:rtl/>
        </w:rPr>
        <w:t>مركزاً نهارياً متكاملاً لعلاج فيروس نقص المناعة البشري والأمراض المعدية المنقولة عن طريق الاتصال الجنسي.</w:t>
      </w:r>
      <w:r>
        <w:rPr>
          <w:rFonts w:hint="cs"/>
          <w:spacing w:val="0"/>
          <w:rtl/>
        </w:rPr>
        <w:t xml:space="preserve"> وفي عام 2002، تلقى حوالي 900 مريض مصاب بفيروس نقص ال</w:t>
      </w:r>
      <w:r>
        <w:rPr>
          <w:rFonts w:hint="cs"/>
          <w:spacing w:val="0"/>
          <w:rtl/>
        </w:rPr>
        <w:t>مناعة البشري/الإيدز خدمات الرعاية العمومية.</w:t>
      </w:r>
    </w:p>
    <w:p w:rsidR="00000000" w:rsidRDefault="00443EC1">
      <w:pPr>
        <w:spacing w:line="380" w:lineRule="exact"/>
        <w:jc w:val="both"/>
        <w:rPr>
          <w:rFonts w:hint="cs"/>
          <w:i/>
          <w:iCs/>
          <w:rtl/>
        </w:rPr>
      </w:pPr>
      <w:r>
        <w:rPr>
          <w:i/>
          <w:iCs/>
          <w:rtl/>
        </w:rPr>
        <w:t>حقوق المصابين</w:t>
      </w:r>
    </w:p>
    <w:p w:rsidR="00000000" w:rsidRDefault="00443EC1">
      <w:pPr>
        <w:spacing w:line="380" w:lineRule="exact"/>
        <w:jc w:val="both"/>
        <w:rPr>
          <w:rFonts w:hint="cs"/>
          <w:spacing w:val="0"/>
          <w:rtl/>
        </w:rPr>
      </w:pPr>
      <w:r>
        <w:rPr>
          <w:rFonts w:hint="cs"/>
          <w:spacing w:val="0"/>
          <w:rtl/>
        </w:rPr>
        <w:t>634-</w:t>
      </w:r>
      <w:r>
        <w:rPr>
          <w:rFonts w:hint="cs"/>
          <w:spacing w:val="0"/>
          <w:rtl/>
        </w:rPr>
        <w:tab/>
      </w:r>
      <w:r>
        <w:rPr>
          <w:rFonts w:hint="cs"/>
          <w:sz w:val="26"/>
          <w:rtl/>
        </w:rPr>
        <w:t xml:space="preserve">لا يزال الوضع بشكل أساسي على النحو الوارد وصفه </w:t>
      </w:r>
      <w:r>
        <w:rPr>
          <w:rFonts w:hint="cs"/>
          <w:rtl/>
        </w:rPr>
        <w:t xml:space="preserve">في </w:t>
      </w:r>
      <w:r>
        <w:rPr>
          <w:rFonts w:hint="cs"/>
          <w:spacing w:val="0"/>
          <w:rtl/>
        </w:rPr>
        <w:t>الفقرة 422 من التقرير الأولي.</w:t>
      </w:r>
    </w:p>
    <w:p w:rsidR="00000000" w:rsidRDefault="00443EC1">
      <w:pPr>
        <w:spacing w:line="380" w:lineRule="exact"/>
        <w:jc w:val="both"/>
        <w:rPr>
          <w:i/>
          <w:iCs/>
          <w:rtl/>
        </w:rPr>
      </w:pPr>
      <w:r>
        <w:rPr>
          <w:i/>
          <w:iCs/>
          <w:rtl/>
        </w:rPr>
        <w:t>المشاركة والتثقيف المجتمعيان</w:t>
      </w:r>
    </w:p>
    <w:p w:rsidR="00000000" w:rsidRDefault="00443EC1">
      <w:pPr>
        <w:spacing w:line="380" w:lineRule="exact"/>
        <w:jc w:val="both"/>
        <w:rPr>
          <w:rFonts w:hint="cs"/>
          <w:spacing w:val="0"/>
          <w:rtl/>
        </w:rPr>
      </w:pPr>
      <w:r>
        <w:rPr>
          <w:rFonts w:hint="cs"/>
          <w:spacing w:val="0"/>
          <w:rtl/>
        </w:rPr>
        <w:t>635-</w:t>
      </w:r>
      <w:r>
        <w:rPr>
          <w:rFonts w:hint="cs"/>
          <w:spacing w:val="0"/>
          <w:rtl/>
        </w:rPr>
        <w:tab/>
        <w:t xml:space="preserve">أوضحت الفقرة 423 من التقرير الأولي الدور الذي يضطلع به </w:t>
      </w:r>
      <w:r>
        <w:rPr>
          <w:spacing w:val="0"/>
          <w:rtl/>
        </w:rPr>
        <w:t>الصندوق الاستئماني لمكاف</w:t>
      </w:r>
      <w:r>
        <w:rPr>
          <w:spacing w:val="0"/>
          <w:rtl/>
        </w:rPr>
        <w:t>حة الإيدز</w:t>
      </w:r>
      <w:r>
        <w:rPr>
          <w:rFonts w:hint="cs"/>
          <w:spacing w:val="0"/>
          <w:rtl/>
        </w:rPr>
        <w:t>. وحصلت المنظمات غير الحكومية من هذا الصندوق، وحتى أواخر عام 2002، على منح بلغت ما يربو على 177 مليون دولار من دولارات هونغ كونغ. وغطى هذا المبلغ تكاليف ما يناهز 400 مشروع يستهدف مجموعات من السكان كالشباب والمشتغلين بالجنس لأغراض تجارية والمسافرين</w:t>
      </w:r>
      <w:r>
        <w:rPr>
          <w:rFonts w:hint="cs"/>
          <w:spacing w:val="0"/>
          <w:rtl/>
        </w:rPr>
        <w:t xml:space="preserve"> العابرين للحدود. كما خصص الصندوق مدفوعات على سبيل الهبة للأشخاص الذين أصيبوا بالعدوى عن طريق منتجات الدم الملوث بفيروس نقص المناعة البشرية.</w:t>
      </w:r>
    </w:p>
    <w:p w:rsidR="00000000" w:rsidRDefault="00443EC1">
      <w:pPr>
        <w:spacing w:line="380" w:lineRule="exact"/>
        <w:jc w:val="both"/>
        <w:rPr>
          <w:rFonts w:hint="cs"/>
          <w:spacing w:val="0"/>
          <w:rtl/>
        </w:rPr>
      </w:pPr>
      <w:r>
        <w:rPr>
          <w:rFonts w:hint="cs"/>
          <w:spacing w:val="0"/>
          <w:rtl/>
        </w:rPr>
        <w:t>636-</w:t>
      </w:r>
      <w:r>
        <w:rPr>
          <w:rFonts w:hint="cs"/>
          <w:spacing w:val="0"/>
          <w:rtl/>
        </w:rPr>
        <w:tab/>
        <w:t xml:space="preserve">وفي عام 1998، أصبح </w:t>
      </w:r>
      <w:r>
        <w:rPr>
          <w:spacing w:val="0"/>
          <w:rtl/>
        </w:rPr>
        <w:t>"مركز الوشاح الأحمر"</w:t>
      </w:r>
      <w:r>
        <w:rPr>
          <w:rFonts w:hint="cs"/>
          <w:spacing w:val="0"/>
          <w:rtl/>
        </w:rPr>
        <w:t xml:space="preserve">، الذي أوضحت الفقرة 423 من التقرير الأولي دوره كذلك، مركز تعاون تابعاً </w:t>
      </w:r>
      <w:r>
        <w:rPr>
          <w:rFonts w:hint="cs"/>
          <w:spacing w:val="0"/>
          <w:rtl/>
        </w:rPr>
        <w:t>لبرنامج الأمم المتحدة المشترك بين منظمات الأمم المتحدة لمكافحة الإيدز يعنى بتقديم الدعم التقني.</w:t>
      </w:r>
    </w:p>
    <w:p w:rsidR="00000000" w:rsidRDefault="00443EC1">
      <w:pPr>
        <w:spacing w:line="380" w:lineRule="exact"/>
        <w:jc w:val="both"/>
        <w:rPr>
          <w:rFonts w:hint="cs"/>
          <w:i/>
          <w:iCs/>
          <w:rtl/>
        </w:rPr>
      </w:pPr>
      <w:r>
        <w:rPr>
          <w:rFonts w:hint="cs"/>
          <w:i/>
          <w:iCs/>
          <w:rtl/>
        </w:rPr>
        <w:t xml:space="preserve">مركز </w:t>
      </w:r>
      <w:r>
        <w:rPr>
          <w:i/>
          <w:iCs/>
          <w:rtl/>
        </w:rPr>
        <w:t>مختبر</w:t>
      </w:r>
      <w:r>
        <w:rPr>
          <w:rFonts w:hint="cs"/>
          <w:i/>
          <w:iCs/>
          <w:rtl/>
        </w:rPr>
        <w:t xml:space="preserve"> ا</w:t>
      </w:r>
      <w:r>
        <w:rPr>
          <w:i/>
          <w:iCs/>
          <w:rtl/>
        </w:rPr>
        <w:t>لصحة العامة</w:t>
      </w:r>
    </w:p>
    <w:p w:rsidR="00000000" w:rsidRDefault="00443EC1">
      <w:pPr>
        <w:spacing w:line="380" w:lineRule="exact"/>
        <w:jc w:val="both"/>
        <w:rPr>
          <w:rFonts w:hint="cs"/>
          <w:spacing w:val="0"/>
          <w:rtl/>
        </w:rPr>
      </w:pPr>
      <w:r>
        <w:rPr>
          <w:rFonts w:hint="cs"/>
          <w:spacing w:val="0"/>
          <w:rtl/>
        </w:rPr>
        <w:t>637-</w:t>
      </w:r>
      <w:r>
        <w:rPr>
          <w:rFonts w:hint="cs"/>
          <w:spacing w:val="0"/>
          <w:rtl/>
        </w:rPr>
        <w:tab/>
        <w:t>انتُهي من إنشاء هذا المختبر محدد الغرض في آب/أغسطس 2001. ويضم المختبر أحدث المرافق والمعدات كما يُعدّ المختبر المركزي في وزارة الصح</w:t>
      </w:r>
      <w:r>
        <w:rPr>
          <w:rFonts w:hint="cs"/>
          <w:spacing w:val="0"/>
          <w:rtl/>
        </w:rPr>
        <w:t>ة ويغطي جميع التخصصات باستثناء علم الأمراض الكيميائية ودراسات الدم. كما يعتبر مركزا للتواصل الشبكي مع المؤسسات الدولية للرعاية الصحية، مثل منظمة الصحة العالمية وخدمة المملكة المتحدة لمختبرات الصحة العامة ومراكز الولايات المتحدة لمكافحة الأمراض والوقاية منه</w:t>
      </w:r>
      <w:r>
        <w:rPr>
          <w:rFonts w:hint="cs"/>
          <w:spacing w:val="0"/>
          <w:rtl/>
        </w:rPr>
        <w:t>ا.</w:t>
      </w:r>
    </w:p>
    <w:p w:rsidR="00000000" w:rsidRDefault="00443EC1">
      <w:pPr>
        <w:spacing w:line="380" w:lineRule="exact"/>
        <w:jc w:val="both"/>
        <w:rPr>
          <w:rFonts w:hint="cs"/>
          <w:i/>
          <w:iCs/>
          <w:rtl/>
        </w:rPr>
      </w:pPr>
      <w:r>
        <w:rPr>
          <w:rFonts w:hint="cs"/>
          <w:i/>
          <w:iCs/>
          <w:rtl/>
        </w:rPr>
        <w:t>إصلاح نظام الرعاية الصحية</w:t>
      </w:r>
    </w:p>
    <w:p w:rsidR="00000000" w:rsidRDefault="00443EC1">
      <w:pPr>
        <w:spacing w:line="380" w:lineRule="exact"/>
        <w:jc w:val="both"/>
        <w:rPr>
          <w:rFonts w:hint="cs"/>
          <w:spacing w:val="0"/>
          <w:rtl/>
        </w:rPr>
      </w:pPr>
      <w:r>
        <w:rPr>
          <w:rFonts w:hint="cs"/>
          <w:spacing w:val="0"/>
          <w:rtl/>
        </w:rPr>
        <w:t>638-</w:t>
      </w:r>
      <w:r>
        <w:rPr>
          <w:rFonts w:hint="cs"/>
          <w:spacing w:val="0"/>
          <w:rtl/>
        </w:rPr>
        <w:tab/>
        <w:t>كان النظام الحالي مفيدا لنا لسنوات طوال. إلا أن الضرورة تدعو إلى تحسينه وتطويره حتى يستجيب لمتطلبات المجتمع، لا سيما الطلب المتزايد عليه نظرا لشيخوخة السكان ولتغيرات ديمغرافية أخرى. ووعيا منّا بهذه المسألة، سعينا، في كانون</w:t>
      </w:r>
      <w:r>
        <w:rPr>
          <w:rFonts w:hint="cs"/>
          <w:spacing w:val="0"/>
          <w:rtl/>
        </w:rPr>
        <w:t xml:space="preserve"> الأول/ديسمبر 2000، إلى نشر وثيقة مشاورات حول إصلاح الرعاية الصحية، تحت عنوان </w:t>
      </w:r>
      <w:r>
        <w:rPr>
          <w:rFonts w:hint="cs"/>
          <w:i/>
          <w:iCs/>
          <w:spacing w:val="0"/>
          <w:rtl/>
        </w:rPr>
        <w:t>"الاستثمار في الصحة مدى الحياة"</w:t>
      </w:r>
      <w:r>
        <w:rPr>
          <w:rFonts w:hint="cs"/>
          <w:spacing w:val="0"/>
          <w:rtl/>
        </w:rPr>
        <w:t>. وقد شددت الوثيقة على الحاجة إلى وضع نظام رعاية صحية يعزز الصحة ويقدم الرعاية الشاملة مدى الحياة ويرقى بنوعية الحياة ويمكِّن من تحقيق النمو البشري</w:t>
      </w:r>
      <w:r>
        <w:rPr>
          <w:rFonts w:hint="cs"/>
          <w:spacing w:val="0"/>
          <w:rtl/>
        </w:rPr>
        <w:t>. كما يسلّط الضوء على أهمية مشاركة الفرد وتحمله مسؤولية الاهتمام بصحته. وفي تموز/يوليه 2001، صرّحنا بنتائج المشاورات وبالنهج الذي نعتزم السير عليه.</w:t>
      </w:r>
    </w:p>
    <w:p w:rsidR="00000000" w:rsidRDefault="00443EC1">
      <w:pPr>
        <w:spacing w:line="380" w:lineRule="exact"/>
        <w:jc w:val="both"/>
        <w:rPr>
          <w:rFonts w:hint="cs"/>
          <w:spacing w:val="0"/>
          <w:rtl/>
        </w:rPr>
      </w:pPr>
      <w:r>
        <w:rPr>
          <w:rFonts w:hint="cs"/>
          <w:spacing w:val="0"/>
          <w:rtl/>
        </w:rPr>
        <w:t>639-</w:t>
      </w:r>
      <w:r>
        <w:rPr>
          <w:rFonts w:hint="cs"/>
          <w:spacing w:val="0"/>
          <w:rtl/>
        </w:rPr>
        <w:tab/>
        <w:t>وركزت مبادرات الإصلاح هذه على تقديم الخدمات وعلى نوعية التأمينات والتمويل طويل المدى. أما بالنسبة للمقت</w:t>
      </w:r>
      <w:r>
        <w:rPr>
          <w:rFonts w:hint="cs"/>
          <w:spacing w:val="0"/>
          <w:rtl/>
        </w:rPr>
        <w:t>رحات التي حظيت بدعم عامة الناس، فقد نُفِّذت منذ ذلكم الحين أو يجري تنفيذها في الوقت الحالي</w:t>
      </w:r>
      <w:r>
        <w:rPr>
          <w:rFonts w:hint="cs"/>
          <w:spacing w:val="0"/>
          <w:vertAlign w:val="superscript"/>
          <w:rtl/>
        </w:rPr>
        <w:t>(45)</w:t>
      </w:r>
      <w:r>
        <w:rPr>
          <w:rFonts w:hint="cs"/>
          <w:spacing w:val="0"/>
          <w:rtl/>
        </w:rPr>
        <w:t>. أما أعقد المقترحات وأكثرها إثارة للجدل فتخضع اليوم للمزيد من الدراسة بهدف استشارة عامة الناس من جديد حولها في تاريخ لاحق. وتنطوي هذه المقترحات، على سبيل المثال،</w:t>
      </w:r>
      <w:r>
        <w:rPr>
          <w:rFonts w:hint="cs"/>
          <w:spacing w:val="0"/>
          <w:rtl/>
        </w:rPr>
        <w:t xml:space="preserve"> على العمل بحساب ادخار طبي إلزامي كمصدر من مصادر التمويل الإضافية.</w:t>
      </w:r>
    </w:p>
    <w:p w:rsidR="00000000" w:rsidRDefault="00443EC1">
      <w:pPr>
        <w:spacing w:line="380" w:lineRule="exact"/>
        <w:jc w:val="both"/>
        <w:rPr>
          <w:rFonts w:hint="cs"/>
          <w:spacing w:val="0"/>
          <w:rtl/>
        </w:rPr>
      </w:pPr>
      <w:r>
        <w:rPr>
          <w:rFonts w:hint="cs"/>
          <w:spacing w:val="0"/>
          <w:rtl/>
        </w:rPr>
        <w:t>640-</w:t>
      </w:r>
      <w:r>
        <w:rPr>
          <w:rFonts w:hint="cs"/>
          <w:spacing w:val="0"/>
          <w:rtl/>
        </w:rPr>
        <w:tab/>
        <w:t>ومن بين المقترحات التي شملتها وثيقة المشاورات إدراج "حساب للرعاية الصحية" كتدبير طويل الأجل نعتزم من خلاله تحسين الاستدامة المالية لنظام الرعاية الصحية العام الذي نعتمده. وسيكون ذلك، و</w:t>
      </w:r>
      <w:r>
        <w:rPr>
          <w:rFonts w:hint="cs"/>
          <w:spacing w:val="0"/>
          <w:rtl/>
        </w:rPr>
        <w:t>بإيجاز، عبارة عن مخطط إلزامي للادخار مصمّم لمساعدة الأفراد على الاستمرار في دفع مصاريفهم الطبية بعد سن التقاعد. ومن شأن المشاركين في هذا المخطط (وجميعهم، مبدئيا، من العاملين) أن يساهموا بنسبة مئوية بسيطة من إيراداتهم في حساب شخصي، ومن شأن الأموال المدخرة أ</w:t>
      </w:r>
      <w:r>
        <w:rPr>
          <w:rFonts w:hint="cs"/>
          <w:spacing w:val="0"/>
          <w:rtl/>
        </w:rPr>
        <w:t>ن تستخدم لتغطية الاحتياجات الطبية للمدّخرين وأزواجهم بعد سن التقاعد. وقد أبدى بعض المعلقين اقتراحا مفاده أن هذه العملية لن تمكن المرأة من الحصول على ذات الخدمات الصحية التي سيحصل عليها الرجل. ونحن نجري اليوم دراسات حول صلاحية المقترح وسنستشير عامة الناس من</w:t>
      </w:r>
      <w:r>
        <w:rPr>
          <w:rFonts w:hint="cs"/>
          <w:spacing w:val="0"/>
          <w:rtl/>
        </w:rPr>
        <w:t xml:space="preserve"> جديد فور الانتهاء من هذه الدراسات. بيد أنه، وإذا ما نُفذ المقترح بصيغته الحالية، بعد المشاورات، فلا يمكنه أن يحيد عن المبدأ القائم</w:t>
      </w:r>
      <w:r>
        <w:rPr>
          <w:spacing w:val="0"/>
          <w:rtl/>
        </w:rPr>
        <w:t xml:space="preserve"> على أنه لا يجوز أن يُحرَم أحد، بسبب افتقاره لل</w:t>
      </w:r>
      <w:r>
        <w:rPr>
          <w:rFonts w:hint="cs"/>
          <w:spacing w:val="0"/>
          <w:rtl/>
        </w:rPr>
        <w:t>إ</w:t>
      </w:r>
      <w:r>
        <w:rPr>
          <w:spacing w:val="0"/>
          <w:rtl/>
        </w:rPr>
        <w:t>مكانيات المالية، من الحصول على علاج طبي ملائم</w:t>
      </w:r>
      <w:r>
        <w:rPr>
          <w:rFonts w:hint="cs"/>
          <w:spacing w:val="0"/>
          <w:rtl/>
        </w:rPr>
        <w:t xml:space="preserve"> (الفقرة 413 من التقرير الأولي).</w:t>
      </w:r>
    </w:p>
    <w:p w:rsidR="00000000" w:rsidRDefault="00443EC1">
      <w:pPr>
        <w:spacing w:line="380" w:lineRule="exact"/>
        <w:jc w:val="both"/>
        <w:rPr>
          <w:rFonts w:hint="cs"/>
          <w:b/>
          <w:bCs/>
          <w:spacing w:val="0"/>
          <w:rtl/>
        </w:rPr>
      </w:pPr>
      <w:r>
        <w:rPr>
          <w:rFonts w:hint="cs"/>
          <w:b/>
          <w:bCs/>
          <w:spacing w:val="0"/>
          <w:rtl/>
        </w:rPr>
        <w:t>السلامة الغذائية</w:t>
      </w:r>
    </w:p>
    <w:p w:rsidR="00000000" w:rsidRDefault="00443EC1">
      <w:pPr>
        <w:spacing w:line="380" w:lineRule="exact"/>
        <w:jc w:val="both"/>
        <w:rPr>
          <w:rFonts w:hint="cs"/>
          <w:i/>
          <w:iCs/>
          <w:rtl/>
        </w:rPr>
      </w:pPr>
      <w:r>
        <w:rPr>
          <w:rFonts w:hint="cs"/>
          <w:i/>
          <w:iCs/>
          <w:rtl/>
        </w:rPr>
        <w:t>الإطار المؤسسي</w:t>
      </w:r>
    </w:p>
    <w:p w:rsidR="00000000" w:rsidRDefault="00443EC1">
      <w:pPr>
        <w:spacing w:line="380" w:lineRule="exact"/>
        <w:jc w:val="both"/>
        <w:rPr>
          <w:rFonts w:hint="cs"/>
          <w:spacing w:val="0"/>
          <w:rtl/>
        </w:rPr>
      </w:pPr>
      <w:r>
        <w:rPr>
          <w:rFonts w:hint="cs"/>
          <w:spacing w:val="0"/>
          <w:rtl/>
        </w:rPr>
        <w:t>641-</w:t>
      </w:r>
      <w:r>
        <w:rPr>
          <w:rFonts w:hint="cs"/>
          <w:spacing w:val="0"/>
          <w:rtl/>
        </w:rPr>
        <w:tab/>
        <w:t>كانت الهيئات الحكومية وقبل 1 كانون الثاني/يناير 2000 تتقاسم فيما بينها مسؤولية تأمين السلامة الغذائية. إلا أننا، وأمام تزايد أهمية السلامة الغذائية وتزايد الحاجة إلى فعالية وكفاءة أكبر، أنشأنا إدارة متخصصة للصحة الغذائ</w:t>
      </w:r>
      <w:r>
        <w:rPr>
          <w:rFonts w:hint="cs"/>
          <w:spacing w:val="0"/>
          <w:rtl/>
        </w:rPr>
        <w:t>ية والبيئية تتبع، في الوقت الراهن، مكتب الصحة والرعاية والتغذية، وتتحمل مسؤولية جميع جوانب السلامة الغذائية. وتعمل هذه الإدارة عن كثب مع إدارات أخرى تُعنى بمجالات من قبيل الوقاية من التسمم الغذائي ومكافحته، والاختبارات</w:t>
      </w:r>
      <w:r>
        <w:rPr>
          <w:spacing w:val="0"/>
          <w:rtl/>
        </w:rPr>
        <w:t xml:space="preserve"> الميكروبيولوجي</w:t>
      </w:r>
      <w:r>
        <w:rPr>
          <w:rFonts w:hint="cs"/>
          <w:spacing w:val="0"/>
          <w:rtl/>
        </w:rPr>
        <w:t>ة لعينات من الأغذية، وم</w:t>
      </w:r>
      <w:r>
        <w:rPr>
          <w:rFonts w:hint="cs"/>
          <w:spacing w:val="0"/>
          <w:rtl/>
        </w:rPr>
        <w:t>ا إلى ذلك من المجالات.</w:t>
      </w:r>
    </w:p>
    <w:p w:rsidR="00000000" w:rsidRDefault="00443EC1">
      <w:pPr>
        <w:spacing w:line="380" w:lineRule="exact"/>
        <w:jc w:val="both"/>
        <w:rPr>
          <w:rFonts w:hint="cs"/>
          <w:i/>
          <w:iCs/>
          <w:rtl/>
        </w:rPr>
      </w:pPr>
      <w:r>
        <w:rPr>
          <w:rFonts w:hint="cs"/>
          <w:i/>
          <w:iCs/>
          <w:rtl/>
        </w:rPr>
        <w:t>برامج السلامة الغذائية</w:t>
      </w:r>
    </w:p>
    <w:p w:rsidR="00000000" w:rsidRDefault="00443EC1">
      <w:pPr>
        <w:spacing w:line="380" w:lineRule="exact"/>
        <w:jc w:val="both"/>
        <w:rPr>
          <w:rFonts w:hint="cs"/>
          <w:spacing w:val="0"/>
          <w:rtl/>
        </w:rPr>
      </w:pPr>
      <w:r>
        <w:rPr>
          <w:rFonts w:hint="cs"/>
          <w:spacing w:val="0"/>
          <w:rtl/>
        </w:rPr>
        <w:t>642-</w:t>
      </w:r>
      <w:r>
        <w:rPr>
          <w:rFonts w:hint="cs"/>
          <w:spacing w:val="0"/>
          <w:rtl/>
        </w:rPr>
        <w:tab/>
        <w:t>تنطوي هذه البرامج على جملة أمور من بينها التعليم العام والتشريع وإنفاذ القانون ومراقبة الواردات ورصد الأغذية ومنح التراخيص للمطاعم والوقاية من التسمم الغذائي ومكافحته وهلم جرا. وأثناء وضع هذه البرامج، تستخ</w:t>
      </w:r>
      <w:r>
        <w:rPr>
          <w:rFonts w:hint="cs"/>
          <w:spacing w:val="0"/>
          <w:rtl/>
        </w:rPr>
        <w:t>دم إدارة الصحة الغذائية والبيئية "نقط المراقبة الحرجة في تحليل المخاطر"، وهي نموذج لتحليل المخاطر</w:t>
      </w:r>
      <w:r>
        <w:rPr>
          <w:rFonts w:hint="cs"/>
          <w:spacing w:val="0"/>
          <w:vertAlign w:val="superscript"/>
          <w:rtl/>
        </w:rPr>
        <w:t>(46)</w:t>
      </w:r>
      <w:r>
        <w:rPr>
          <w:rFonts w:hint="cs"/>
          <w:spacing w:val="0"/>
          <w:rtl/>
        </w:rPr>
        <w:t xml:space="preserve"> تجنح إليه الهيئات الدولية مثل لجنة مدونة قوانين الأغذية. ويسهِّل هذا النموذج، من خلال تحديد أكثر المجالات تعرضاً للخطر، التخصيص الفعال للموارد لتأمين السل</w:t>
      </w:r>
      <w:r>
        <w:rPr>
          <w:rFonts w:hint="cs"/>
          <w:spacing w:val="0"/>
          <w:rtl/>
        </w:rPr>
        <w:t xml:space="preserve">امة الغذائية. وسعيا وراء تحقيق هذا الهدف، ترصد الإدارة عن </w:t>
      </w:r>
      <w:r>
        <w:rPr>
          <w:rFonts w:hint="eastAsia"/>
          <w:spacing w:val="0"/>
          <w:rtl/>
        </w:rPr>
        <w:t>كَثَب</w:t>
      </w:r>
      <w:r>
        <w:rPr>
          <w:rFonts w:hint="cs"/>
          <w:spacing w:val="0"/>
          <w:rtl/>
        </w:rPr>
        <w:t xml:space="preserve"> المخاطر الغذائية، المعروفة منها والناشئة، بما أن أنواع الغذاء وأنماط الاستهلاك تتغير، لأن تقييم المخاطر واتخاذ تدابير بشأنها يتوقف على مستوى الخطر.</w:t>
      </w:r>
    </w:p>
    <w:p w:rsidR="00000000" w:rsidRDefault="00443EC1">
      <w:pPr>
        <w:spacing w:line="380" w:lineRule="exact"/>
        <w:jc w:val="both"/>
        <w:rPr>
          <w:rFonts w:hint="cs"/>
          <w:spacing w:val="0"/>
          <w:rtl/>
        </w:rPr>
      </w:pPr>
      <w:r>
        <w:rPr>
          <w:rFonts w:hint="cs"/>
          <w:spacing w:val="0"/>
          <w:rtl/>
        </w:rPr>
        <w:t>643-</w:t>
      </w:r>
      <w:r>
        <w:rPr>
          <w:rFonts w:hint="cs"/>
          <w:spacing w:val="0"/>
          <w:rtl/>
        </w:rPr>
        <w:tab/>
        <w:t>ومراقبة السلامة الغذائية هي مسؤولية مشت</w:t>
      </w:r>
      <w:r>
        <w:rPr>
          <w:rFonts w:hint="cs"/>
          <w:spacing w:val="0"/>
          <w:rtl/>
        </w:rPr>
        <w:t>ركة بين الحكومة وتجار الأغذية والمستهلكين. وتمشيا مع الممارسة الدولية، نحث تجار الأغذية على اعتماد خطط السلامة الغذائية القائمة على نقط المراقبة الحرجة في تحليل المخاطر بغية تحسين معايير صحة الغذاء وسلامته. وتنظم الإدارة سنويا حملة للصحة الغذائية لنشر مفهو</w:t>
      </w:r>
      <w:r>
        <w:rPr>
          <w:rFonts w:hint="cs"/>
          <w:spacing w:val="0"/>
          <w:rtl/>
        </w:rPr>
        <w:t>م مخاطر الغذاء ولتعزيز تطبيق خطط السلامة الغذائية القائمة على نقط المراقبة الحرجة في تحليل المخاطر باعتبارها أداة لإدارة المخاطر لحماية السلامة الغذائية. وبغية إذكاء وعي الجمهور بدوره في كفالة السلامة الغذائية، نقوم بترويج نتائج رصد الأغذية وتقارير تقييم ا</w:t>
      </w:r>
      <w:r>
        <w:rPr>
          <w:rFonts w:hint="cs"/>
          <w:spacing w:val="0"/>
          <w:rtl/>
        </w:rPr>
        <w:t>لمخاطر ومعلومات عن ماهية هذه المخاطر وعن كيفية تقليصها.</w:t>
      </w:r>
    </w:p>
    <w:p w:rsidR="00000000" w:rsidRDefault="00443EC1">
      <w:pPr>
        <w:spacing w:line="380" w:lineRule="exact"/>
        <w:jc w:val="both"/>
        <w:rPr>
          <w:rFonts w:hint="cs"/>
          <w:i/>
          <w:iCs/>
          <w:rtl/>
        </w:rPr>
      </w:pPr>
      <w:r>
        <w:rPr>
          <w:rFonts w:hint="cs"/>
          <w:i/>
          <w:iCs/>
          <w:rtl/>
        </w:rPr>
        <w:t>المبادرات التشريعية</w:t>
      </w:r>
    </w:p>
    <w:p w:rsidR="00000000" w:rsidRDefault="00443EC1">
      <w:pPr>
        <w:spacing w:line="380" w:lineRule="exact"/>
        <w:jc w:val="both"/>
        <w:rPr>
          <w:rFonts w:hint="cs"/>
          <w:spacing w:val="0"/>
          <w:rtl/>
        </w:rPr>
      </w:pPr>
      <w:r>
        <w:rPr>
          <w:rFonts w:hint="cs"/>
          <w:spacing w:val="0"/>
          <w:rtl/>
        </w:rPr>
        <w:t>644-</w:t>
      </w:r>
      <w:r>
        <w:rPr>
          <w:rFonts w:hint="cs"/>
          <w:spacing w:val="0"/>
          <w:rtl/>
        </w:rPr>
        <w:tab/>
        <w:t>في إطار الاستراتيجية التي نتبناها لمراقبة الغذاء، نعتزم إدخال تغييرات تشريعية على قوانين الغذاء السارية في هونغ كونغ في ضوء التوصيات التي أبدتها الهيئات الدولية المعنية بمعايي</w:t>
      </w:r>
      <w:r>
        <w:rPr>
          <w:rFonts w:hint="cs"/>
          <w:spacing w:val="0"/>
          <w:rtl/>
        </w:rPr>
        <w:t>ر الغذاء. ولقد قمنا، في عام 2001، بسن قانون الصحة العامة (الحيوانات والطيور) (المخلفات الكيميائية) (المادة 139 نون) وقانون عام 2001 المنقح بشأن المواد الضارة في الغذاء (المادة 132 ألف - واو). وتمنع هذه التشريعات إنتاج 10 مواد كيميائية وتنظم الحد الأقصى لمخ</w:t>
      </w:r>
      <w:r>
        <w:rPr>
          <w:rFonts w:hint="cs"/>
          <w:spacing w:val="0"/>
          <w:rtl/>
        </w:rPr>
        <w:t xml:space="preserve">لفات 37 نوعا من العقاقير الزراعية والبيطرية في أغذية الحيوانات الحية ومواد الأغذية المتصلة بها من مصادر محلية أو مستوردة. ونعتزم كذلك تعديل قوانين الغذاء والعقاقير (التركيبة والتصنيف) (الفصل 132 ثاء) لتصنيف المواد المثيرة للحساسية والمواد المضافة. وتوصلنا </w:t>
      </w:r>
      <w:r>
        <w:rPr>
          <w:rFonts w:hint="cs"/>
          <w:spacing w:val="0"/>
          <w:rtl/>
        </w:rPr>
        <w:t>مؤخرا إلى استكمال دراسة صلاحية تصنيف التغذية، ونحن بصدد النظر في الخيارات المتاحة.</w:t>
      </w:r>
    </w:p>
    <w:p w:rsidR="00000000" w:rsidRDefault="00443EC1">
      <w:pPr>
        <w:spacing w:line="380" w:lineRule="exact"/>
        <w:jc w:val="both"/>
        <w:rPr>
          <w:rFonts w:hint="cs"/>
          <w:b/>
          <w:bCs/>
          <w:spacing w:val="0"/>
          <w:rtl/>
        </w:rPr>
      </w:pPr>
      <w:r>
        <w:rPr>
          <w:rFonts w:hint="cs"/>
          <w:b/>
          <w:bCs/>
          <w:spacing w:val="0"/>
          <w:rtl/>
        </w:rPr>
        <w:t>الخدمات والتسهيلات المخصصة للأشخاص المصابين بعاهات</w:t>
      </w:r>
    </w:p>
    <w:p w:rsidR="00000000" w:rsidRDefault="00443EC1">
      <w:pPr>
        <w:spacing w:line="380" w:lineRule="exact"/>
        <w:jc w:val="both"/>
        <w:rPr>
          <w:rFonts w:hint="cs"/>
          <w:spacing w:val="0"/>
          <w:rtl/>
        </w:rPr>
      </w:pPr>
      <w:r>
        <w:rPr>
          <w:rFonts w:hint="cs"/>
          <w:spacing w:val="0"/>
          <w:rtl/>
        </w:rPr>
        <w:t>645-</w:t>
      </w:r>
      <w:r>
        <w:rPr>
          <w:rFonts w:hint="cs"/>
          <w:spacing w:val="0"/>
          <w:rtl/>
        </w:rPr>
        <w:tab/>
        <w:t>تقدم وزارة الرعاية الاجتماعية والمنظمات غير الحكومية المدعومة إعادة التأهيل وما إلى ذلك من الخدمات للأشخاص المصابين ب</w:t>
      </w:r>
      <w:r>
        <w:rPr>
          <w:rFonts w:hint="cs"/>
          <w:spacing w:val="0"/>
          <w:rtl/>
        </w:rPr>
        <w:t>عاهات. وتنطوي هذه الخدمات أساسا على المسائل الموضّحة في الفقرات من 430 إلى 432 من التقرير الأولي إلا أنها تطورت للاستجابة إلى تغير الاحتياجات. وتتمثل هذه الخدمات، وحتى 31 آذار/مارس 2002، في ما يلي:</w:t>
      </w:r>
    </w:p>
    <w:p w:rsidR="00000000" w:rsidRDefault="00443EC1">
      <w:pPr>
        <w:spacing w:line="380" w:lineRule="exact"/>
        <w:jc w:val="both"/>
        <w:rPr>
          <w:rFonts w:hint="cs"/>
          <w:spacing w:val="0"/>
          <w:rtl/>
        </w:rPr>
      </w:pPr>
      <w:r>
        <w:rPr>
          <w:rFonts w:hint="cs"/>
          <w:spacing w:val="0"/>
          <w:rtl/>
        </w:rPr>
        <w:tab/>
        <w:t>(أ)</w:t>
      </w:r>
      <w:r>
        <w:rPr>
          <w:rFonts w:hint="cs"/>
          <w:spacing w:val="0"/>
          <w:rtl/>
        </w:rPr>
        <w:tab/>
        <w:t>658 4 مكاناً للتعليم قبل سن الدراسة؛</w:t>
      </w:r>
    </w:p>
    <w:p w:rsidR="00000000" w:rsidRDefault="00443EC1">
      <w:pPr>
        <w:spacing w:line="380" w:lineRule="exact"/>
        <w:jc w:val="both"/>
        <w:rPr>
          <w:rFonts w:hint="cs"/>
          <w:spacing w:val="0"/>
          <w:rtl/>
        </w:rPr>
      </w:pPr>
      <w:r>
        <w:rPr>
          <w:rFonts w:hint="cs"/>
          <w:spacing w:val="0"/>
          <w:rtl/>
        </w:rPr>
        <w:tab/>
        <w:t>(ب)</w:t>
      </w:r>
      <w:r>
        <w:rPr>
          <w:rFonts w:hint="cs"/>
          <w:spacing w:val="0"/>
          <w:rtl/>
        </w:rPr>
        <w:tab/>
        <w:t>327 13 مكان</w:t>
      </w:r>
      <w:r>
        <w:rPr>
          <w:rFonts w:hint="cs"/>
          <w:spacing w:val="0"/>
          <w:rtl/>
        </w:rPr>
        <w:t>اً للتدريب النهاري والتأهيل المهني؛</w:t>
      </w:r>
    </w:p>
    <w:p w:rsidR="00000000" w:rsidRDefault="00443EC1">
      <w:pPr>
        <w:spacing w:line="380" w:lineRule="exact"/>
        <w:jc w:val="both"/>
        <w:rPr>
          <w:rFonts w:hint="cs"/>
          <w:spacing w:val="0"/>
          <w:rtl/>
        </w:rPr>
      </w:pPr>
      <w:r>
        <w:rPr>
          <w:rFonts w:hint="cs"/>
          <w:spacing w:val="0"/>
          <w:rtl/>
        </w:rPr>
        <w:tab/>
        <w:t>(ج)</w:t>
      </w:r>
      <w:r>
        <w:rPr>
          <w:rFonts w:hint="cs"/>
          <w:spacing w:val="0"/>
          <w:rtl/>
        </w:rPr>
        <w:tab/>
        <w:t>923 8 مكاناً لإقامة الأشخاص ذوي العاهات المتعددة.</w:t>
      </w:r>
    </w:p>
    <w:p w:rsidR="00000000" w:rsidRDefault="00443EC1">
      <w:pPr>
        <w:spacing w:line="380" w:lineRule="exact"/>
        <w:jc w:val="both"/>
        <w:rPr>
          <w:rFonts w:hint="cs"/>
          <w:b/>
          <w:bCs/>
          <w:spacing w:val="0"/>
          <w:rtl/>
        </w:rPr>
      </w:pPr>
      <w:r>
        <w:rPr>
          <w:rFonts w:hint="cs"/>
          <w:b/>
          <w:bCs/>
          <w:spacing w:val="0"/>
          <w:rtl/>
        </w:rPr>
        <w:t>تعزيز الاعتماد على الذات</w:t>
      </w:r>
    </w:p>
    <w:p w:rsidR="00000000" w:rsidRDefault="00443EC1">
      <w:pPr>
        <w:spacing w:line="380" w:lineRule="exact"/>
        <w:jc w:val="both"/>
        <w:rPr>
          <w:rFonts w:hint="cs"/>
          <w:spacing w:val="0"/>
          <w:rtl/>
        </w:rPr>
      </w:pPr>
      <w:r>
        <w:rPr>
          <w:rFonts w:hint="cs"/>
          <w:spacing w:val="0"/>
          <w:rtl/>
        </w:rPr>
        <w:t>646-</w:t>
      </w:r>
      <w:r>
        <w:rPr>
          <w:rFonts w:hint="cs"/>
          <w:spacing w:val="0"/>
          <w:rtl/>
        </w:rPr>
        <w:tab/>
        <w:t>إن من الضروري، في نظرنا، تشجيع الأشخاص المصابين بعاهات على الاعتماد على الذات. ولتحقيق هذا الهدف، تعمل وزارة الرعاية الاجتماعية والمنظم</w:t>
      </w:r>
      <w:r>
        <w:rPr>
          <w:rFonts w:hint="cs"/>
          <w:spacing w:val="0"/>
          <w:rtl/>
        </w:rPr>
        <w:t xml:space="preserve">ات غير الحكومية على تعزيز اعتمادهم على الذات وعلى توفير فرص عمل لهم. ولقد أنشئ، حتى 31 آذار/مارس 2002، زهاء 527 7 </w:t>
      </w:r>
      <w:r>
        <w:rPr>
          <w:spacing w:val="0"/>
          <w:rtl/>
        </w:rPr>
        <w:t>مكانا</w:t>
      </w:r>
      <w:r>
        <w:rPr>
          <w:rFonts w:hint="cs"/>
          <w:spacing w:val="0"/>
          <w:rtl/>
        </w:rPr>
        <w:t>ً</w:t>
      </w:r>
      <w:r>
        <w:rPr>
          <w:spacing w:val="0"/>
          <w:rtl/>
        </w:rPr>
        <w:t xml:space="preserve"> في ورش عمل محمية</w:t>
      </w:r>
      <w:r>
        <w:rPr>
          <w:rFonts w:hint="cs"/>
          <w:spacing w:val="0"/>
          <w:rtl/>
        </w:rPr>
        <w:t xml:space="preserve"> و862 1 مكان عمل مدعوماً لصالح الأشخاص المصابين بعاهات.</w:t>
      </w:r>
    </w:p>
    <w:p w:rsidR="00000000" w:rsidRDefault="00443EC1">
      <w:pPr>
        <w:spacing w:line="380" w:lineRule="exact"/>
        <w:jc w:val="both"/>
        <w:rPr>
          <w:rFonts w:hint="cs"/>
          <w:spacing w:val="0"/>
          <w:rtl/>
        </w:rPr>
      </w:pPr>
      <w:r>
        <w:rPr>
          <w:rFonts w:hint="cs"/>
          <w:spacing w:val="0"/>
          <w:rtl/>
        </w:rPr>
        <w:t>647-</w:t>
      </w:r>
      <w:r>
        <w:rPr>
          <w:rFonts w:hint="cs"/>
          <w:spacing w:val="0"/>
          <w:rtl/>
        </w:rPr>
        <w:tab/>
        <w:t>وبغية خلق المزيد من فرص العمل للأشخاص المصابين بعاهات، يقد</w:t>
      </w:r>
      <w:r>
        <w:rPr>
          <w:rFonts w:hint="cs"/>
          <w:spacing w:val="0"/>
          <w:rtl/>
        </w:rPr>
        <w:t>م مكتب التسويق والمشورة التابع للوزارة، الذي يشغِّل موظفين لهم خبرة في الأعمال والتسويق، المساعدة في تسويق وتطوير أعمال ورش العمل المحمية وفي العمل المدعوم. وفي الفترة الممتدة بين عامي 2001 و2002، بادرت وزارة الرعاية الاجتماعية بما يلي:</w:t>
      </w:r>
    </w:p>
    <w:p w:rsidR="00000000" w:rsidRDefault="00443EC1">
      <w:pPr>
        <w:spacing w:line="380" w:lineRule="exact"/>
        <w:jc w:val="both"/>
        <w:rPr>
          <w:rFonts w:hint="cs"/>
          <w:rtl/>
        </w:rPr>
      </w:pPr>
      <w:r>
        <w:rPr>
          <w:rFonts w:hint="cs"/>
          <w:spacing w:val="0"/>
          <w:rtl/>
        </w:rPr>
        <w:tab/>
        <w:t>(أ)</w:t>
      </w:r>
      <w:r>
        <w:rPr>
          <w:rFonts w:hint="cs"/>
          <w:spacing w:val="0"/>
          <w:rtl/>
        </w:rPr>
        <w:tab/>
        <w:t xml:space="preserve">وضع </w:t>
      </w:r>
      <w:r>
        <w:rPr>
          <w:rtl/>
        </w:rPr>
        <w:t>بر</w:t>
      </w:r>
      <w:r>
        <w:rPr>
          <w:rFonts w:hint="cs"/>
          <w:rtl/>
        </w:rPr>
        <w:t>نام</w:t>
      </w:r>
      <w:r>
        <w:rPr>
          <w:rtl/>
        </w:rPr>
        <w:t xml:space="preserve">ج </w:t>
      </w:r>
      <w:r>
        <w:rPr>
          <w:rFonts w:hint="cs"/>
          <w:rtl/>
        </w:rPr>
        <w:t>للت</w:t>
      </w:r>
      <w:r>
        <w:rPr>
          <w:rFonts w:hint="cs"/>
          <w:rtl/>
        </w:rPr>
        <w:t xml:space="preserve">دريب </w:t>
      </w:r>
      <w:r>
        <w:rPr>
          <w:rtl/>
        </w:rPr>
        <w:t>أثناء العمل</w:t>
      </w:r>
      <w:r>
        <w:rPr>
          <w:rFonts w:hint="cs"/>
          <w:rtl/>
        </w:rPr>
        <w:t xml:space="preserve"> لمدة ثلاث سنوات لفائدة 360 شخصاً معاقاً سنويا؛</w:t>
      </w:r>
    </w:p>
    <w:p w:rsidR="00000000" w:rsidRDefault="00443EC1">
      <w:pPr>
        <w:spacing w:line="380" w:lineRule="exact"/>
        <w:jc w:val="both"/>
        <w:rPr>
          <w:rFonts w:hint="cs"/>
          <w:rtl/>
        </w:rPr>
      </w:pPr>
      <w:r>
        <w:rPr>
          <w:rFonts w:hint="cs"/>
          <w:rtl/>
        </w:rPr>
        <w:tab/>
        <w:t>(ب)</w:t>
      </w:r>
      <w:r>
        <w:rPr>
          <w:rFonts w:hint="cs"/>
          <w:rtl/>
        </w:rPr>
        <w:tab/>
        <w:t>تقديم مِنح مالية للمنظمات غير الحكومية لإقامة مشاريع تجارية صغيرة تشغِّل بالأساس الأشخاص المعاقين.</w:t>
      </w:r>
    </w:p>
    <w:p w:rsidR="00000000" w:rsidRDefault="00443EC1">
      <w:pPr>
        <w:spacing w:line="380" w:lineRule="exact"/>
        <w:jc w:val="both"/>
        <w:rPr>
          <w:rFonts w:hint="cs"/>
          <w:b/>
          <w:bCs/>
          <w:spacing w:val="0"/>
          <w:rtl/>
        </w:rPr>
      </w:pPr>
      <w:r>
        <w:rPr>
          <w:rFonts w:hint="cs"/>
          <w:b/>
          <w:bCs/>
          <w:spacing w:val="0"/>
          <w:rtl/>
        </w:rPr>
        <w:t>تعزيز خدمات الدعم المنزلي والمجتمعي</w:t>
      </w:r>
    </w:p>
    <w:p w:rsidR="00000000" w:rsidRDefault="00443EC1">
      <w:pPr>
        <w:spacing w:line="380" w:lineRule="exact"/>
        <w:jc w:val="both"/>
        <w:rPr>
          <w:rFonts w:hint="cs"/>
          <w:spacing w:val="0"/>
          <w:rtl/>
        </w:rPr>
      </w:pPr>
      <w:r>
        <w:rPr>
          <w:rFonts w:hint="cs"/>
          <w:spacing w:val="0"/>
          <w:rtl/>
        </w:rPr>
        <w:t>648-</w:t>
      </w:r>
      <w:r>
        <w:rPr>
          <w:rFonts w:hint="cs"/>
          <w:spacing w:val="0"/>
          <w:rtl/>
        </w:rPr>
        <w:tab/>
        <w:t>لتمكين الأسر والقائمين على رعاية الأشخاص المعاق</w:t>
      </w:r>
      <w:r>
        <w:rPr>
          <w:rFonts w:hint="cs"/>
          <w:spacing w:val="0"/>
          <w:rtl/>
        </w:rPr>
        <w:t>ين الذين يعيشون في المجتمع من مد يد العون لهؤلاء الأشخاص، اتخذت وزارة الرعاية الاجتماعية التدابير التالية:</w:t>
      </w:r>
    </w:p>
    <w:p w:rsidR="00000000" w:rsidRDefault="00443EC1">
      <w:pPr>
        <w:spacing w:line="380" w:lineRule="exact"/>
        <w:jc w:val="both"/>
        <w:rPr>
          <w:rFonts w:hint="cs"/>
          <w:rtl/>
          <w:lang w:eastAsia="en-US"/>
        </w:rPr>
      </w:pPr>
      <w:r>
        <w:rPr>
          <w:rFonts w:hint="cs"/>
          <w:spacing w:val="0"/>
          <w:rtl/>
        </w:rPr>
        <w:tab/>
        <w:t>(أ)</w:t>
      </w:r>
      <w:r>
        <w:rPr>
          <w:rFonts w:hint="cs"/>
          <w:spacing w:val="0"/>
          <w:rtl/>
        </w:rPr>
        <w:tab/>
        <w:t xml:space="preserve">تعزيز خدمات الدعم المجتمعي القائمة، مثل </w:t>
      </w:r>
      <w:r>
        <w:rPr>
          <w:rtl/>
          <w:lang w:eastAsia="en-US"/>
        </w:rPr>
        <w:t xml:space="preserve">مراكز </w:t>
      </w:r>
      <w:r>
        <w:rPr>
          <w:rFonts w:hint="cs"/>
          <w:rtl/>
          <w:lang w:eastAsia="en-US"/>
        </w:rPr>
        <w:t>إ</w:t>
      </w:r>
      <w:r>
        <w:rPr>
          <w:rtl/>
          <w:lang w:eastAsia="en-US"/>
        </w:rPr>
        <w:t xml:space="preserve">رشاد </w:t>
      </w:r>
      <w:r>
        <w:rPr>
          <w:rFonts w:hint="cs"/>
          <w:rtl/>
          <w:lang w:eastAsia="en-US"/>
        </w:rPr>
        <w:t>الآباء، والمراكز الاجتماعية والترفيهية، ونوادي الاتصالات؛</w:t>
      </w:r>
    </w:p>
    <w:p w:rsidR="00000000" w:rsidRDefault="00443EC1">
      <w:pPr>
        <w:spacing w:line="380" w:lineRule="exact"/>
        <w:jc w:val="both"/>
        <w:rPr>
          <w:rFonts w:hint="cs"/>
          <w:rtl/>
        </w:rPr>
      </w:pPr>
      <w:r>
        <w:rPr>
          <w:rFonts w:hint="cs"/>
          <w:rtl/>
          <w:lang w:eastAsia="en-US"/>
        </w:rPr>
        <w:tab/>
        <w:t>(ب)</w:t>
      </w:r>
      <w:r>
        <w:rPr>
          <w:rFonts w:hint="cs"/>
          <w:rtl/>
          <w:lang w:eastAsia="en-US"/>
        </w:rPr>
        <w:tab/>
        <w:t xml:space="preserve">تمويل </w:t>
      </w:r>
      <w:r>
        <w:rPr>
          <w:rtl/>
        </w:rPr>
        <w:t>مجموعات المساعدة الذاتي</w:t>
      </w:r>
      <w:r>
        <w:rPr>
          <w:rtl/>
        </w:rPr>
        <w:t>ة</w:t>
      </w:r>
      <w:r>
        <w:rPr>
          <w:rFonts w:hint="cs"/>
          <w:rtl/>
        </w:rPr>
        <w:t>؛</w:t>
      </w:r>
    </w:p>
    <w:p w:rsidR="00000000" w:rsidRDefault="00443EC1">
      <w:pPr>
        <w:spacing w:line="380" w:lineRule="exact"/>
        <w:jc w:val="both"/>
        <w:rPr>
          <w:rFonts w:hint="cs"/>
          <w:rtl/>
        </w:rPr>
      </w:pPr>
      <w:r>
        <w:rPr>
          <w:rFonts w:hint="cs"/>
          <w:rtl/>
        </w:rPr>
        <w:tab/>
        <w:t>(ج)</w:t>
      </w:r>
      <w:r>
        <w:rPr>
          <w:rFonts w:hint="cs"/>
          <w:rtl/>
        </w:rPr>
        <w:tab/>
        <w:t>تمويل المشاريع المجتمعية لسدّ الفجوات الحاصلة في مجال الخدمات وللاستجابة لاحتياجات المعاقين وذويهم الملحة، كالرعاية في العطل وتوفير قسط من الراحة والرعاية النهارية المطوّلة؛</w:t>
      </w:r>
    </w:p>
    <w:p w:rsidR="00000000" w:rsidRDefault="00443EC1">
      <w:pPr>
        <w:spacing w:line="380" w:lineRule="exact"/>
        <w:jc w:val="both"/>
        <w:rPr>
          <w:rFonts w:hint="cs"/>
          <w:rtl/>
        </w:rPr>
      </w:pPr>
      <w:r>
        <w:rPr>
          <w:rFonts w:hint="cs"/>
          <w:rtl/>
        </w:rPr>
        <w:tab/>
        <w:t>(د)</w:t>
      </w:r>
      <w:r>
        <w:rPr>
          <w:rFonts w:hint="cs"/>
          <w:rtl/>
        </w:rPr>
        <w:tab/>
        <w:t>تحسين خدمات التدريب والدعم المنزلية. وتعتزم الوزارة رفع عدد أماكن الت</w:t>
      </w:r>
      <w:r>
        <w:rPr>
          <w:rFonts w:hint="cs"/>
          <w:rtl/>
        </w:rPr>
        <w:t>دريب المنزلية من 350 إلى 500 1 مكان، في الفترة 2002-2003.</w:t>
      </w:r>
    </w:p>
    <w:p w:rsidR="00000000" w:rsidRDefault="00443EC1">
      <w:pPr>
        <w:spacing w:line="380" w:lineRule="exact"/>
        <w:jc w:val="both"/>
        <w:rPr>
          <w:rFonts w:hint="cs"/>
          <w:b/>
          <w:bCs/>
          <w:spacing w:val="0"/>
          <w:rtl/>
        </w:rPr>
      </w:pPr>
      <w:r>
        <w:rPr>
          <w:rFonts w:hint="cs"/>
          <w:b/>
          <w:bCs/>
          <w:spacing w:val="0"/>
          <w:rtl/>
        </w:rPr>
        <w:t xml:space="preserve">الخدمات والمرافق المخصصة </w:t>
      </w:r>
      <w:r>
        <w:rPr>
          <w:b/>
          <w:bCs/>
          <w:spacing w:val="0"/>
          <w:rtl/>
        </w:rPr>
        <w:t xml:space="preserve">للأشخاص </w:t>
      </w:r>
      <w:r>
        <w:rPr>
          <w:rFonts w:hint="cs"/>
          <w:b/>
          <w:bCs/>
          <w:spacing w:val="0"/>
          <w:rtl/>
        </w:rPr>
        <w:t>ال</w:t>
      </w:r>
      <w:r>
        <w:rPr>
          <w:b/>
          <w:bCs/>
          <w:spacing w:val="0"/>
          <w:rtl/>
        </w:rPr>
        <w:t>مصابين</w:t>
      </w:r>
      <w:r>
        <w:rPr>
          <w:rFonts w:hint="cs"/>
          <w:b/>
          <w:bCs/>
          <w:spacing w:val="0"/>
          <w:rtl/>
        </w:rPr>
        <w:t xml:space="preserve"> سابقاً</w:t>
      </w:r>
      <w:r>
        <w:rPr>
          <w:b/>
          <w:bCs/>
          <w:spacing w:val="0"/>
          <w:rtl/>
        </w:rPr>
        <w:t xml:space="preserve"> بمرض عقلي</w:t>
      </w:r>
    </w:p>
    <w:p w:rsidR="00000000" w:rsidRDefault="00443EC1">
      <w:pPr>
        <w:spacing w:line="380" w:lineRule="exact"/>
        <w:jc w:val="both"/>
        <w:rPr>
          <w:rFonts w:hint="cs"/>
          <w:spacing w:val="0"/>
          <w:rtl/>
        </w:rPr>
      </w:pPr>
      <w:r>
        <w:rPr>
          <w:rFonts w:hint="cs"/>
          <w:rtl/>
        </w:rPr>
        <w:t>649-</w:t>
      </w:r>
      <w:r>
        <w:rPr>
          <w:rFonts w:hint="cs"/>
          <w:rtl/>
        </w:rPr>
        <w:tab/>
        <w:t xml:space="preserve">تدعم وزارة الرعاية الاجتماعية المنظمات غير الحكومية لتوفير الخدمات السكنية النهارية </w:t>
      </w:r>
      <w:r>
        <w:rPr>
          <w:rtl/>
        </w:rPr>
        <w:t>للمرضى الذين تسمح لهم المستشفيات بمغادرتها</w:t>
      </w:r>
      <w:r>
        <w:rPr>
          <w:rFonts w:hint="cs"/>
          <w:rtl/>
        </w:rPr>
        <w:t xml:space="preserve">. </w:t>
      </w:r>
      <w:r>
        <w:rPr>
          <w:rtl/>
        </w:rPr>
        <w:t xml:space="preserve">وفي </w:t>
      </w:r>
      <w:r>
        <w:rPr>
          <w:rFonts w:hint="cs"/>
          <w:rtl/>
        </w:rPr>
        <w:t>31</w:t>
      </w:r>
      <w:r>
        <w:rPr>
          <w:rtl/>
        </w:rPr>
        <w:t xml:space="preserve"> </w:t>
      </w:r>
      <w:r>
        <w:rPr>
          <w:rFonts w:hint="cs"/>
          <w:rtl/>
        </w:rPr>
        <w:t>آذار</w:t>
      </w:r>
      <w:r>
        <w:rPr>
          <w:rtl/>
        </w:rPr>
        <w:t>/</w:t>
      </w:r>
      <w:r>
        <w:rPr>
          <w:rFonts w:hint="cs"/>
          <w:rtl/>
        </w:rPr>
        <w:t>مارس 2002</w:t>
      </w:r>
      <w:r>
        <w:rPr>
          <w:rtl/>
        </w:rPr>
        <w:t xml:space="preserve">، كان هناك </w:t>
      </w:r>
      <w:r>
        <w:rPr>
          <w:rFonts w:hint="cs"/>
          <w:rtl/>
        </w:rPr>
        <w:t>349 1</w:t>
      </w:r>
      <w:r>
        <w:rPr>
          <w:rtl/>
        </w:rPr>
        <w:t xml:space="preserve"> مكانا</w:t>
      </w:r>
      <w:r>
        <w:rPr>
          <w:rFonts w:hint="cs"/>
          <w:rtl/>
        </w:rPr>
        <w:t>ً</w:t>
      </w:r>
      <w:r>
        <w:rPr>
          <w:rtl/>
        </w:rPr>
        <w:t xml:space="preserve"> لهم في</w:t>
      </w:r>
      <w:r>
        <w:rPr>
          <w:rFonts w:hint="cs"/>
          <w:rtl/>
        </w:rPr>
        <w:t xml:space="preserve"> </w:t>
      </w:r>
      <w:r>
        <w:rPr>
          <w:rtl/>
        </w:rPr>
        <w:t xml:space="preserve">دور إعادة التأهيل الانتقالية </w:t>
      </w:r>
      <w:r>
        <w:rPr>
          <w:rFonts w:hint="cs"/>
          <w:rtl/>
        </w:rPr>
        <w:t>و980</w:t>
      </w:r>
      <w:r>
        <w:rPr>
          <w:rtl/>
        </w:rPr>
        <w:t xml:space="preserve"> مكاناً في دور لرعاية طويلي الإقامة </w:t>
      </w:r>
      <w:r>
        <w:rPr>
          <w:rFonts w:hint="cs"/>
          <w:rtl/>
        </w:rPr>
        <w:t>و230</w:t>
      </w:r>
      <w:r>
        <w:rPr>
          <w:rtl/>
        </w:rPr>
        <w:t xml:space="preserve"> مكانا في مراكز </w:t>
      </w:r>
      <w:r>
        <w:rPr>
          <w:rFonts w:hint="cs"/>
          <w:rtl/>
        </w:rPr>
        <w:t>التدريب و</w:t>
      </w:r>
      <w:r>
        <w:rPr>
          <w:rtl/>
        </w:rPr>
        <w:t>النشاط لتعزيز عملية التكيف الاجتماعي</w:t>
      </w:r>
      <w:r>
        <w:rPr>
          <w:rFonts w:hint="cs"/>
          <w:rtl/>
        </w:rPr>
        <w:t xml:space="preserve">. وشملت الخدمات الأخرى </w:t>
      </w:r>
      <w:r>
        <w:rPr>
          <w:rFonts w:hint="cs"/>
          <w:spacing w:val="0"/>
          <w:rtl/>
        </w:rPr>
        <w:t>ورش العمل المحمية والعمالة المدعومة وخدمات ما بعد الر</w:t>
      </w:r>
      <w:r>
        <w:rPr>
          <w:rFonts w:hint="cs"/>
          <w:spacing w:val="0"/>
          <w:rtl/>
        </w:rPr>
        <w:t>عاية</w:t>
      </w:r>
      <w:r>
        <w:rPr>
          <w:spacing w:val="0"/>
          <w:rtl/>
        </w:rPr>
        <w:t xml:space="preserve"> (للعناية با</w:t>
      </w:r>
      <w:r>
        <w:rPr>
          <w:rFonts w:hint="cs"/>
          <w:spacing w:val="0"/>
          <w:rtl/>
        </w:rPr>
        <w:t>لأ</w:t>
      </w:r>
      <w:r>
        <w:rPr>
          <w:spacing w:val="0"/>
          <w:rtl/>
        </w:rPr>
        <w:t>شخاص الذين ي</w:t>
      </w:r>
      <w:r>
        <w:rPr>
          <w:rFonts w:hint="cs"/>
          <w:spacing w:val="0"/>
          <w:rtl/>
        </w:rPr>
        <w:t>ُ</w:t>
      </w:r>
      <w:r>
        <w:rPr>
          <w:spacing w:val="0"/>
          <w:rtl/>
        </w:rPr>
        <w:t>سمح لهم بمغادرة دور إعادة التأهيل الانتقالية)، و</w:t>
      </w:r>
      <w:r>
        <w:rPr>
          <w:rFonts w:hint="cs"/>
          <w:spacing w:val="0"/>
          <w:rtl/>
        </w:rPr>
        <w:t>خدمات تقصي الحالة و</w:t>
      </w:r>
      <w:r>
        <w:rPr>
          <w:spacing w:val="0"/>
          <w:rtl/>
        </w:rPr>
        <w:t>خدمات المشورة وإعادة ا</w:t>
      </w:r>
      <w:r>
        <w:rPr>
          <w:rFonts w:hint="cs"/>
          <w:spacing w:val="0"/>
          <w:rtl/>
        </w:rPr>
        <w:t>لإ</w:t>
      </w:r>
      <w:r>
        <w:rPr>
          <w:spacing w:val="0"/>
          <w:rtl/>
        </w:rPr>
        <w:t xml:space="preserve">سكان </w:t>
      </w:r>
      <w:r>
        <w:rPr>
          <w:rFonts w:hint="cs"/>
          <w:spacing w:val="0"/>
          <w:rtl/>
        </w:rPr>
        <w:t>في كنف الرحمة. وفي كانون الثاني/يناير 2002، قدمت دور إعادة التأهيل الانتقالية ومراكز التدريب والنشاط المزيد من الرعاية والدعم للم</w:t>
      </w:r>
      <w:r>
        <w:rPr>
          <w:rFonts w:hint="cs"/>
          <w:spacing w:val="0"/>
          <w:rtl/>
        </w:rPr>
        <w:t>ختلين عقلياً، الذين سُمح لهم بمغادرة المستشفى، وكذلك لذويهم. وانطوى ذلك على القيام بزيارات للتوعية وتوفير موارد للتواصل الشبكي تندرج في إطار برنامج أطلق عليه: "وصلة الصحة العقلية المجتمعية".</w:t>
      </w:r>
    </w:p>
    <w:p w:rsidR="00000000" w:rsidRDefault="00443EC1">
      <w:pPr>
        <w:spacing w:line="380" w:lineRule="exact"/>
        <w:jc w:val="both"/>
        <w:rPr>
          <w:rFonts w:hint="cs"/>
          <w:b/>
          <w:bCs/>
          <w:spacing w:val="0"/>
          <w:rtl/>
        </w:rPr>
      </w:pPr>
      <w:r>
        <w:rPr>
          <w:rFonts w:hint="cs"/>
          <w:b/>
          <w:bCs/>
          <w:spacing w:val="0"/>
          <w:rtl/>
        </w:rPr>
        <w:t>الخدمات المخصصة للمصابين</w:t>
      </w:r>
      <w:r>
        <w:rPr>
          <w:b/>
          <w:bCs/>
          <w:spacing w:val="0"/>
          <w:rtl/>
        </w:rPr>
        <w:t xml:space="preserve"> </w:t>
      </w:r>
      <w:r>
        <w:rPr>
          <w:rFonts w:hint="cs"/>
          <w:b/>
          <w:bCs/>
          <w:spacing w:val="0"/>
          <w:rtl/>
        </w:rPr>
        <w:t>بعاهات عقلية حادة وغير حادة</w:t>
      </w:r>
    </w:p>
    <w:p w:rsidR="00000000" w:rsidRDefault="00443EC1">
      <w:pPr>
        <w:spacing w:line="380" w:lineRule="exact"/>
        <w:jc w:val="both"/>
        <w:rPr>
          <w:rFonts w:hint="cs"/>
          <w:rtl/>
        </w:rPr>
      </w:pPr>
      <w:r>
        <w:rPr>
          <w:rFonts w:hint="cs"/>
          <w:rtl/>
        </w:rPr>
        <w:t>650-</w:t>
      </w:r>
      <w:r>
        <w:rPr>
          <w:rFonts w:hint="cs"/>
          <w:rtl/>
        </w:rPr>
        <w:tab/>
        <w:t>وفرّت و</w:t>
      </w:r>
      <w:r>
        <w:rPr>
          <w:rFonts w:hint="cs"/>
          <w:rtl/>
        </w:rPr>
        <w:t>زارة الرعاية الاجتماعية والمنظمات غير الحكومية المدعومة، حتى آذار/مارس 2002، زهاء</w:t>
      </w:r>
      <w:r>
        <w:rPr>
          <w:rtl/>
        </w:rPr>
        <w:br/>
      </w:r>
      <w:r>
        <w:rPr>
          <w:rFonts w:hint="cs"/>
          <w:rtl/>
        </w:rPr>
        <w:t>903 4 أماكن للإقامة و708 3 أماكن في مراكز النشاط النهاري. وثمة خدمات أخرى قُدّمت لهذه المجموعات، كورش العمل المحمية والعمالة المدعومة.</w:t>
      </w:r>
    </w:p>
    <w:p w:rsidR="00000000" w:rsidRDefault="00443EC1">
      <w:pPr>
        <w:spacing w:line="380" w:lineRule="exact"/>
        <w:jc w:val="both"/>
        <w:rPr>
          <w:rFonts w:hint="cs"/>
          <w:b/>
          <w:bCs/>
          <w:spacing w:val="0"/>
          <w:rtl/>
        </w:rPr>
      </w:pPr>
      <w:r>
        <w:rPr>
          <w:rFonts w:hint="cs"/>
          <w:b/>
          <w:bCs/>
          <w:spacing w:val="0"/>
          <w:rtl/>
        </w:rPr>
        <w:t>تنفيذ قانون التمييز على أساس العجز</w:t>
      </w:r>
    </w:p>
    <w:p w:rsidR="00000000" w:rsidRDefault="00443EC1">
      <w:pPr>
        <w:spacing w:line="380" w:lineRule="exact"/>
        <w:jc w:val="both"/>
        <w:rPr>
          <w:rFonts w:hint="cs"/>
          <w:i/>
          <w:iCs/>
          <w:rtl/>
        </w:rPr>
      </w:pPr>
      <w:r>
        <w:rPr>
          <w:rFonts w:hint="cs"/>
          <w:i/>
          <w:iCs/>
          <w:rtl/>
        </w:rPr>
        <w:t>التح</w:t>
      </w:r>
      <w:r>
        <w:rPr>
          <w:rFonts w:hint="cs"/>
          <w:i/>
          <w:iCs/>
          <w:rtl/>
        </w:rPr>
        <w:t>قيقات والشكاوى</w:t>
      </w:r>
    </w:p>
    <w:p w:rsidR="00000000" w:rsidRDefault="00443EC1">
      <w:pPr>
        <w:spacing w:line="380" w:lineRule="exact"/>
        <w:jc w:val="both"/>
        <w:rPr>
          <w:spacing w:val="0"/>
          <w:rtl/>
        </w:rPr>
      </w:pPr>
      <w:r>
        <w:rPr>
          <w:rFonts w:hint="cs"/>
          <w:spacing w:val="0"/>
          <w:rtl/>
        </w:rPr>
        <w:t>651-</w:t>
      </w:r>
      <w:r>
        <w:rPr>
          <w:rFonts w:hint="cs"/>
          <w:spacing w:val="0"/>
          <w:rtl/>
        </w:rPr>
        <w:tab/>
        <w:t>تلقت لجنة تكافؤ الفرص، منذ كانون الثاني/يناير 2000 وإلى غاية كانون الأول/ديسمبر 2002، ما مجموعه 324 5 تحقيقاً و096 1 شكوى تتعلق بقانون التمييز على أساس العجز.</w:t>
      </w:r>
    </w:p>
    <w:tbl>
      <w:tblPr>
        <w:bidiVisual/>
        <w:tblW w:w="0" w:type="auto"/>
        <w:jc w:val="center"/>
        <w:tblLook w:val="0000" w:firstRow="0" w:lastRow="0" w:firstColumn="0" w:lastColumn="0" w:noHBand="0" w:noVBand="0"/>
      </w:tblPr>
      <w:tblGrid>
        <w:gridCol w:w="3373"/>
        <w:gridCol w:w="1903"/>
        <w:gridCol w:w="2206"/>
        <w:gridCol w:w="2088"/>
      </w:tblGrid>
      <w:tr w:rsidR="00443EC1" w:rsidTr="00443EC1">
        <w:tblPrEx>
          <w:tblCellMar>
            <w:top w:w="0" w:type="dxa"/>
            <w:bottom w:w="0" w:type="dxa"/>
          </w:tblCellMar>
        </w:tblPrEx>
        <w:trPr>
          <w:jc w:val="center"/>
        </w:trPr>
        <w:tc>
          <w:tcPr>
            <w:tcW w:w="3373" w:type="dxa"/>
            <w:tcBorders>
              <w:top w:val="single" w:sz="4" w:space="0" w:color="auto"/>
              <w:left w:val="single" w:sz="4" w:space="0" w:color="auto"/>
              <w:bottom w:val="single" w:sz="4" w:space="0" w:color="auto"/>
              <w:right w:val="single" w:sz="4" w:space="0" w:color="auto"/>
            </w:tcBorders>
          </w:tcPr>
          <w:p w:rsidR="00443EC1" w:rsidRDefault="00443EC1">
            <w:pPr>
              <w:spacing w:before="120" w:after="120" w:line="320" w:lineRule="exact"/>
              <w:jc w:val="both"/>
              <w:rPr>
                <w:rFonts w:hint="cs"/>
                <w:spacing w:val="0"/>
              </w:rPr>
            </w:pPr>
          </w:p>
        </w:tc>
        <w:tc>
          <w:tcPr>
            <w:tcW w:w="1903" w:type="dxa"/>
            <w:tcBorders>
              <w:top w:val="single" w:sz="4" w:space="0" w:color="auto"/>
              <w:left w:val="single" w:sz="4" w:space="0" w:color="auto"/>
              <w:bottom w:val="single" w:sz="4" w:space="0" w:color="auto"/>
              <w:right w:val="single" w:sz="4" w:space="0" w:color="auto"/>
            </w:tcBorders>
          </w:tcPr>
          <w:p w:rsidR="00443EC1" w:rsidRDefault="00443EC1">
            <w:pPr>
              <w:spacing w:before="120" w:after="120" w:line="320" w:lineRule="exact"/>
              <w:jc w:val="center"/>
              <w:rPr>
                <w:rFonts w:hint="cs"/>
                <w:spacing w:val="0"/>
              </w:rPr>
            </w:pPr>
            <w:r>
              <w:rPr>
                <w:rFonts w:hint="cs"/>
                <w:spacing w:val="0"/>
                <w:rtl/>
              </w:rPr>
              <w:t>2000</w:t>
            </w:r>
          </w:p>
        </w:tc>
        <w:tc>
          <w:tcPr>
            <w:tcW w:w="2206" w:type="dxa"/>
            <w:tcBorders>
              <w:top w:val="single" w:sz="4" w:space="0" w:color="auto"/>
              <w:left w:val="single" w:sz="4" w:space="0" w:color="auto"/>
              <w:bottom w:val="single" w:sz="4" w:space="0" w:color="auto"/>
              <w:right w:val="single" w:sz="4" w:space="0" w:color="auto"/>
            </w:tcBorders>
          </w:tcPr>
          <w:p w:rsidR="00443EC1" w:rsidRDefault="00443EC1">
            <w:pPr>
              <w:spacing w:before="120" w:after="120" w:line="320" w:lineRule="exact"/>
              <w:jc w:val="center"/>
              <w:rPr>
                <w:rFonts w:hint="cs"/>
                <w:spacing w:val="0"/>
              </w:rPr>
            </w:pPr>
            <w:r>
              <w:rPr>
                <w:rFonts w:hint="cs"/>
                <w:spacing w:val="0"/>
                <w:rtl/>
              </w:rPr>
              <w:t>2001</w:t>
            </w:r>
          </w:p>
        </w:tc>
        <w:tc>
          <w:tcPr>
            <w:tcW w:w="2088" w:type="dxa"/>
            <w:tcBorders>
              <w:top w:val="single" w:sz="4" w:space="0" w:color="auto"/>
              <w:left w:val="single" w:sz="4" w:space="0" w:color="auto"/>
              <w:bottom w:val="single" w:sz="4" w:space="0" w:color="auto"/>
              <w:right w:val="single" w:sz="4" w:space="0" w:color="auto"/>
            </w:tcBorders>
          </w:tcPr>
          <w:p w:rsidR="00443EC1" w:rsidRDefault="00443EC1">
            <w:pPr>
              <w:spacing w:before="120" w:after="120" w:line="320" w:lineRule="exact"/>
              <w:jc w:val="center"/>
              <w:rPr>
                <w:rFonts w:hint="cs"/>
                <w:spacing w:val="0"/>
              </w:rPr>
            </w:pPr>
            <w:r>
              <w:rPr>
                <w:rFonts w:hint="cs"/>
                <w:spacing w:val="0"/>
                <w:rtl/>
              </w:rPr>
              <w:t>2002</w:t>
            </w:r>
          </w:p>
        </w:tc>
      </w:tr>
      <w:tr w:rsidR="00443EC1" w:rsidTr="00443EC1">
        <w:tblPrEx>
          <w:tblCellMar>
            <w:top w:w="0" w:type="dxa"/>
            <w:bottom w:w="0" w:type="dxa"/>
          </w:tblCellMar>
        </w:tblPrEx>
        <w:trPr>
          <w:jc w:val="center"/>
        </w:trPr>
        <w:tc>
          <w:tcPr>
            <w:tcW w:w="3373" w:type="dxa"/>
            <w:tcBorders>
              <w:top w:val="single" w:sz="4" w:space="0" w:color="auto"/>
              <w:left w:val="single" w:sz="4" w:space="0" w:color="auto"/>
              <w:right w:val="single" w:sz="4" w:space="0" w:color="auto"/>
            </w:tcBorders>
          </w:tcPr>
          <w:p w:rsidR="00443EC1" w:rsidRDefault="00443EC1">
            <w:pPr>
              <w:spacing w:before="20" w:after="60" w:line="320" w:lineRule="exact"/>
              <w:jc w:val="both"/>
              <w:rPr>
                <w:rFonts w:hint="cs"/>
                <w:spacing w:val="0"/>
              </w:rPr>
            </w:pPr>
            <w:r>
              <w:rPr>
                <w:rFonts w:hint="cs"/>
                <w:spacing w:val="0"/>
                <w:rtl/>
              </w:rPr>
              <w:t>تحقيقات محددة</w:t>
            </w:r>
          </w:p>
        </w:tc>
        <w:tc>
          <w:tcPr>
            <w:tcW w:w="1903" w:type="dxa"/>
            <w:tcBorders>
              <w:top w:val="single" w:sz="4" w:space="0" w:color="auto"/>
              <w:left w:val="single" w:sz="4" w:space="0" w:color="auto"/>
              <w:right w:val="single" w:sz="4" w:space="0" w:color="auto"/>
            </w:tcBorders>
          </w:tcPr>
          <w:p w:rsidR="00443EC1" w:rsidRDefault="00443EC1">
            <w:pPr>
              <w:spacing w:before="20" w:after="60" w:line="320" w:lineRule="exact"/>
              <w:ind w:firstLine="591"/>
              <w:jc w:val="both"/>
              <w:rPr>
                <w:rFonts w:hint="cs"/>
                <w:spacing w:val="0"/>
              </w:rPr>
            </w:pPr>
            <w:r>
              <w:rPr>
                <w:rFonts w:hint="cs"/>
                <w:spacing w:val="0"/>
                <w:rtl/>
              </w:rPr>
              <w:t>541 1</w:t>
            </w:r>
          </w:p>
        </w:tc>
        <w:tc>
          <w:tcPr>
            <w:tcW w:w="2206" w:type="dxa"/>
            <w:tcBorders>
              <w:top w:val="single" w:sz="4" w:space="0" w:color="auto"/>
              <w:left w:val="single" w:sz="4" w:space="0" w:color="auto"/>
              <w:right w:val="single" w:sz="4" w:space="0" w:color="auto"/>
            </w:tcBorders>
          </w:tcPr>
          <w:p w:rsidR="00443EC1" w:rsidRDefault="00443EC1">
            <w:pPr>
              <w:spacing w:before="20" w:after="60" w:line="320" w:lineRule="exact"/>
              <w:ind w:firstLine="732"/>
              <w:jc w:val="both"/>
              <w:rPr>
                <w:rFonts w:hint="cs"/>
                <w:spacing w:val="0"/>
              </w:rPr>
            </w:pPr>
            <w:r>
              <w:rPr>
                <w:rFonts w:hint="cs"/>
                <w:spacing w:val="0"/>
                <w:rtl/>
              </w:rPr>
              <w:t>881 1</w:t>
            </w:r>
          </w:p>
        </w:tc>
        <w:tc>
          <w:tcPr>
            <w:tcW w:w="2088" w:type="dxa"/>
            <w:tcBorders>
              <w:top w:val="single" w:sz="4" w:space="0" w:color="auto"/>
              <w:left w:val="single" w:sz="4" w:space="0" w:color="auto"/>
              <w:right w:val="single" w:sz="4" w:space="0" w:color="auto"/>
            </w:tcBorders>
          </w:tcPr>
          <w:p w:rsidR="00443EC1" w:rsidRDefault="00443EC1">
            <w:pPr>
              <w:spacing w:before="20" w:after="60" w:line="320" w:lineRule="exact"/>
              <w:ind w:firstLine="668"/>
              <w:jc w:val="both"/>
              <w:rPr>
                <w:rFonts w:hint="cs"/>
                <w:spacing w:val="0"/>
              </w:rPr>
            </w:pPr>
            <w:r>
              <w:rPr>
                <w:rFonts w:hint="cs"/>
                <w:spacing w:val="0"/>
                <w:rtl/>
              </w:rPr>
              <w:t>902 1</w:t>
            </w:r>
          </w:p>
        </w:tc>
      </w:tr>
      <w:tr w:rsidR="00443EC1" w:rsidTr="00443EC1">
        <w:tblPrEx>
          <w:tblCellMar>
            <w:top w:w="0" w:type="dxa"/>
            <w:bottom w:w="0" w:type="dxa"/>
          </w:tblCellMar>
        </w:tblPrEx>
        <w:trPr>
          <w:jc w:val="center"/>
        </w:trPr>
        <w:tc>
          <w:tcPr>
            <w:tcW w:w="3373" w:type="dxa"/>
            <w:tcBorders>
              <w:left w:val="single" w:sz="4" w:space="0" w:color="auto"/>
              <w:right w:val="single" w:sz="4" w:space="0" w:color="auto"/>
            </w:tcBorders>
          </w:tcPr>
          <w:p w:rsidR="00443EC1" w:rsidRDefault="00443EC1">
            <w:pPr>
              <w:spacing w:before="20" w:after="60" w:line="320" w:lineRule="exact"/>
              <w:jc w:val="both"/>
              <w:rPr>
                <w:rFonts w:hint="cs"/>
                <w:spacing w:val="0"/>
              </w:rPr>
            </w:pPr>
            <w:r>
              <w:rPr>
                <w:rFonts w:hint="cs"/>
                <w:spacing w:val="0"/>
                <w:rtl/>
              </w:rPr>
              <w:t>الشكاوى بشأن:</w:t>
            </w:r>
          </w:p>
        </w:tc>
        <w:tc>
          <w:tcPr>
            <w:tcW w:w="1903" w:type="dxa"/>
            <w:tcBorders>
              <w:left w:val="single" w:sz="4" w:space="0" w:color="auto"/>
              <w:right w:val="single" w:sz="4" w:space="0" w:color="auto"/>
            </w:tcBorders>
          </w:tcPr>
          <w:p w:rsidR="00443EC1" w:rsidRDefault="00443EC1">
            <w:pPr>
              <w:spacing w:before="20" w:after="60" w:line="320" w:lineRule="exact"/>
              <w:ind w:firstLine="591"/>
              <w:jc w:val="both"/>
              <w:rPr>
                <w:rFonts w:hint="cs"/>
                <w:spacing w:val="0"/>
              </w:rPr>
            </w:pPr>
          </w:p>
        </w:tc>
        <w:tc>
          <w:tcPr>
            <w:tcW w:w="2206" w:type="dxa"/>
            <w:tcBorders>
              <w:left w:val="single" w:sz="4" w:space="0" w:color="auto"/>
              <w:right w:val="single" w:sz="4" w:space="0" w:color="auto"/>
            </w:tcBorders>
          </w:tcPr>
          <w:p w:rsidR="00443EC1" w:rsidRDefault="00443EC1">
            <w:pPr>
              <w:spacing w:before="20" w:after="60" w:line="320" w:lineRule="exact"/>
              <w:ind w:firstLine="732"/>
              <w:jc w:val="both"/>
              <w:rPr>
                <w:rFonts w:hint="cs"/>
                <w:spacing w:val="0"/>
              </w:rPr>
            </w:pPr>
          </w:p>
        </w:tc>
        <w:tc>
          <w:tcPr>
            <w:tcW w:w="2088" w:type="dxa"/>
            <w:tcBorders>
              <w:left w:val="single" w:sz="4" w:space="0" w:color="auto"/>
              <w:right w:val="single" w:sz="4" w:space="0" w:color="auto"/>
            </w:tcBorders>
          </w:tcPr>
          <w:p w:rsidR="00443EC1" w:rsidRDefault="00443EC1">
            <w:pPr>
              <w:spacing w:before="20" w:after="60" w:line="320" w:lineRule="exact"/>
              <w:ind w:firstLine="668"/>
              <w:jc w:val="both"/>
              <w:rPr>
                <w:rFonts w:hint="cs"/>
                <w:spacing w:val="0"/>
              </w:rPr>
            </w:pPr>
          </w:p>
        </w:tc>
      </w:tr>
      <w:tr w:rsidR="00443EC1" w:rsidTr="00443EC1">
        <w:tblPrEx>
          <w:tblCellMar>
            <w:top w:w="0" w:type="dxa"/>
            <w:bottom w:w="0" w:type="dxa"/>
          </w:tblCellMar>
        </w:tblPrEx>
        <w:trPr>
          <w:jc w:val="center"/>
        </w:trPr>
        <w:tc>
          <w:tcPr>
            <w:tcW w:w="3373" w:type="dxa"/>
            <w:tcBorders>
              <w:left w:val="single" w:sz="4" w:space="0" w:color="auto"/>
              <w:right w:val="single" w:sz="4" w:space="0" w:color="auto"/>
            </w:tcBorders>
          </w:tcPr>
          <w:p w:rsidR="00443EC1" w:rsidRDefault="00443EC1">
            <w:pPr>
              <w:spacing w:before="20" w:after="60" w:line="320" w:lineRule="exact"/>
              <w:ind w:firstLine="354"/>
              <w:jc w:val="both"/>
              <w:rPr>
                <w:rFonts w:hint="cs"/>
                <w:spacing w:val="0"/>
              </w:rPr>
            </w:pPr>
            <w:r>
              <w:rPr>
                <w:rFonts w:hint="cs"/>
                <w:spacing w:val="0"/>
                <w:rtl/>
              </w:rPr>
              <w:t>التمييز على أساس العجز</w:t>
            </w:r>
          </w:p>
        </w:tc>
        <w:tc>
          <w:tcPr>
            <w:tcW w:w="1903" w:type="dxa"/>
            <w:tcBorders>
              <w:left w:val="single" w:sz="4" w:space="0" w:color="auto"/>
              <w:right w:val="single" w:sz="4" w:space="0" w:color="auto"/>
            </w:tcBorders>
          </w:tcPr>
          <w:p w:rsidR="00443EC1" w:rsidRDefault="00443EC1">
            <w:pPr>
              <w:spacing w:before="20" w:after="60" w:line="320" w:lineRule="exact"/>
              <w:ind w:firstLine="591"/>
              <w:jc w:val="both"/>
              <w:rPr>
                <w:rFonts w:hint="cs"/>
                <w:spacing w:val="0"/>
              </w:rPr>
            </w:pPr>
            <w:r>
              <w:rPr>
                <w:rFonts w:hint="cs"/>
                <w:spacing w:val="0"/>
                <w:rtl/>
              </w:rPr>
              <w:t>290</w:t>
            </w:r>
          </w:p>
        </w:tc>
        <w:tc>
          <w:tcPr>
            <w:tcW w:w="2206" w:type="dxa"/>
            <w:tcBorders>
              <w:left w:val="single" w:sz="4" w:space="0" w:color="auto"/>
              <w:right w:val="single" w:sz="4" w:space="0" w:color="auto"/>
            </w:tcBorders>
          </w:tcPr>
          <w:p w:rsidR="00443EC1" w:rsidRDefault="00443EC1">
            <w:pPr>
              <w:spacing w:before="20" w:after="60" w:line="320" w:lineRule="exact"/>
              <w:ind w:firstLine="732"/>
              <w:jc w:val="both"/>
              <w:rPr>
                <w:rFonts w:hint="cs"/>
                <w:spacing w:val="0"/>
              </w:rPr>
            </w:pPr>
            <w:r>
              <w:rPr>
                <w:rFonts w:hint="cs"/>
                <w:spacing w:val="0"/>
                <w:rtl/>
              </w:rPr>
              <w:t>341</w:t>
            </w:r>
          </w:p>
        </w:tc>
        <w:tc>
          <w:tcPr>
            <w:tcW w:w="2088" w:type="dxa"/>
            <w:tcBorders>
              <w:left w:val="single" w:sz="4" w:space="0" w:color="auto"/>
              <w:right w:val="single" w:sz="4" w:space="0" w:color="auto"/>
            </w:tcBorders>
          </w:tcPr>
          <w:p w:rsidR="00443EC1" w:rsidRDefault="00443EC1">
            <w:pPr>
              <w:spacing w:before="20" w:after="60" w:line="320" w:lineRule="exact"/>
              <w:ind w:firstLine="668"/>
              <w:jc w:val="both"/>
              <w:rPr>
                <w:rFonts w:hint="cs"/>
                <w:spacing w:val="0"/>
              </w:rPr>
            </w:pPr>
            <w:r>
              <w:rPr>
                <w:rFonts w:hint="cs"/>
                <w:spacing w:val="0"/>
                <w:rtl/>
              </w:rPr>
              <w:t>288</w:t>
            </w:r>
          </w:p>
        </w:tc>
      </w:tr>
      <w:tr w:rsidR="00443EC1" w:rsidTr="00443EC1">
        <w:tblPrEx>
          <w:tblCellMar>
            <w:top w:w="0" w:type="dxa"/>
            <w:bottom w:w="0" w:type="dxa"/>
          </w:tblCellMar>
        </w:tblPrEx>
        <w:trPr>
          <w:jc w:val="center"/>
        </w:trPr>
        <w:tc>
          <w:tcPr>
            <w:tcW w:w="3373" w:type="dxa"/>
            <w:tcBorders>
              <w:left w:val="single" w:sz="4" w:space="0" w:color="auto"/>
              <w:right w:val="single" w:sz="4" w:space="0" w:color="auto"/>
            </w:tcBorders>
          </w:tcPr>
          <w:p w:rsidR="00443EC1" w:rsidRDefault="00443EC1">
            <w:pPr>
              <w:spacing w:before="20" w:after="60" w:line="320" w:lineRule="exact"/>
              <w:ind w:firstLine="354"/>
              <w:jc w:val="both"/>
              <w:rPr>
                <w:rFonts w:hint="cs"/>
                <w:spacing w:val="0"/>
              </w:rPr>
            </w:pPr>
            <w:r>
              <w:rPr>
                <w:rFonts w:hint="cs"/>
                <w:spacing w:val="0"/>
                <w:rtl/>
              </w:rPr>
              <w:t>المضايقات على أساس العجز</w:t>
            </w:r>
          </w:p>
        </w:tc>
        <w:tc>
          <w:tcPr>
            <w:tcW w:w="1903" w:type="dxa"/>
            <w:tcBorders>
              <w:left w:val="single" w:sz="4" w:space="0" w:color="auto"/>
              <w:right w:val="single" w:sz="4" w:space="0" w:color="auto"/>
            </w:tcBorders>
          </w:tcPr>
          <w:p w:rsidR="00443EC1" w:rsidRDefault="00443EC1">
            <w:pPr>
              <w:spacing w:before="20" w:after="60" w:line="320" w:lineRule="exact"/>
              <w:ind w:firstLine="591"/>
              <w:jc w:val="both"/>
              <w:rPr>
                <w:rFonts w:hint="cs"/>
                <w:spacing w:val="0"/>
              </w:rPr>
            </w:pPr>
            <w:r>
              <w:rPr>
                <w:rFonts w:hint="cs"/>
                <w:spacing w:val="0"/>
                <w:rtl/>
              </w:rPr>
              <w:t>40</w:t>
            </w:r>
          </w:p>
        </w:tc>
        <w:tc>
          <w:tcPr>
            <w:tcW w:w="2206" w:type="dxa"/>
            <w:tcBorders>
              <w:left w:val="single" w:sz="4" w:space="0" w:color="auto"/>
              <w:right w:val="single" w:sz="4" w:space="0" w:color="auto"/>
            </w:tcBorders>
          </w:tcPr>
          <w:p w:rsidR="00443EC1" w:rsidRDefault="00443EC1">
            <w:pPr>
              <w:spacing w:before="20" w:after="60" w:line="320" w:lineRule="exact"/>
              <w:ind w:firstLine="732"/>
              <w:jc w:val="both"/>
              <w:rPr>
                <w:rFonts w:hint="cs"/>
                <w:spacing w:val="0"/>
              </w:rPr>
            </w:pPr>
            <w:r>
              <w:rPr>
                <w:rFonts w:hint="cs"/>
                <w:spacing w:val="0"/>
                <w:rtl/>
              </w:rPr>
              <w:t>34</w:t>
            </w:r>
          </w:p>
        </w:tc>
        <w:tc>
          <w:tcPr>
            <w:tcW w:w="2088" w:type="dxa"/>
            <w:tcBorders>
              <w:left w:val="single" w:sz="4" w:space="0" w:color="auto"/>
              <w:right w:val="single" w:sz="4" w:space="0" w:color="auto"/>
            </w:tcBorders>
          </w:tcPr>
          <w:p w:rsidR="00443EC1" w:rsidRDefault="00443EC1">
            <w:pPr>
              <w:spacing w:before="20" w:after="60" w:line="320" w:lineRule="exact"/>
              <w:ind w:firstLine="668"/>
              <w:jc w:val="both"/>
              <w:rPr>
                <w:rFonts w:hint="cs"/>
                <w:spacing w:val="0"/>
              </w:rPr>
            </w:pPr>
            <w:r>
              <w:rPr>
                <w:rFonts w:hint="cs"/>
                <w:spacing w:val="0"/>
                <w:rtl/>
              </w:rPr>
              <w:t>45</w:t>
            </w:r>
          </w:p>
        </w:tc>
      </w:tr>
      <w:tr w:rsidR="00443EC1" w:rsidTr="00443EC1">
        <w:tblPrEx>
          <w:tblCellMar>
            <w:top w:w="0" w:type="dxa"/>
            <w:bottom w:w="0" w:type="dxa"/>
          </w:tblCellMar>
        </w:tblPrEx>
        <w:trPr>
          <w:jc w:val="center"/>
        </w:trPr>
        <w:tc>
          <w:tcPr>
            <w:tcW w:w="3373" w:type="dxa"/>
            <w:tcBorders>
              <w:left w:val="single" w:sz="4" w:space="0" w:color="auto"/>
              <w:right w:val="single" w:sz="4" w:space="0" w:color="auto"/>
            </w:tcBorders>
          </w:tcPr>
          <w:p w:rsidR="00443EC1" w:rsidRDefault="00443EC1">
            <w:pPr>
              <w:spacing w:before="20" w:after="60" w:line="320" w:lineRule="exact"/>
              <w:ind w:firstLine="354"/>
              <w:jc w:val="both"/>
              <w:rPr>
                <w:rFonts w:hint="cs"/>
                <w:spacing w:val="0"/>
              </w:rPr>
            </w:pPr>
            <w:r>
              <w:rPr>
                <w:rFonts w:hint="cs"/>
                <w:spacing w:val="0"/>
                <w:rtl/>
              </w:rPr>
              <w:t>الحط من القدر بسبب العجز</w:t>
            </w:r>
          </w:p>
        </w:tc>
        <w:tc>
          <w:tcPr>
            <w:tcW w:w="1903" w:type="dxa"/>
            <w:tcBorders>
              <w:left w:val="single" w:sz="4" w:space="0" w:color="auto"/>
              <w:right w:val="single" w:sz="4" w:space="0" w:color="auto"/>
            </w:tcBorders>
          </w:tcPr>
          <w:p w:rsidR="00443EC1" w:rsidRDefault="00443EC1">
            <w:pPr>
              <w:spacing w:before="20" w:after="60" w:line="320" w:lineRule="exact"/>
              <w:ind w:firstLine="591"/>
              <w:jc w:val="both"/>
              <w:rPr>
                <w:rFonts w:hint="cs"/>
                <w:spacing w:val="0"/>
              </w:rPr>
            </w:pPr>
            <w:r>
              <w:rPr>
                <w:rFonts w:hint="cs"/>
                <w:spacing w:val="0"/>
                <w:rtl/>
              </w:rPr>
              <w:t>5</w:t>
            </w:r>
          </w:p>
        </w:tc>
        <w:tc>
          <w:tcPr>
            <w:tcW w:w="2206" w:type="dxa"/>
            <w:tcBorders>
              <w:left w:val="single" w:sz="4" w:space="0" w:color="auto"/>
              <w:right w:val="single" w:sz="4" w:space="0" w:color="auto"/>
            </w:tcBorders>
          </w:tcPr>
          <w:p w:rsidR="00443EC1" w:rsidRDefault="00443EC1">
            <w:pPr>
              <w:spacing w:before="20" w:after="60" w:line="320" w:lineRule="exact"/>
              <w:ind w:firstLine="732"/>
              <w:jc w:val="both"/>
              <w:rPr>
                <w:spacing w:val="0"/>
              </w:rPr>
            </w:pPr>
            <w:r>
              <w:rPr>
                <w:rFonts w:hint="cs"/>
                <w:spacing w:val="0"/>
                <w:rtl/>
              </w:rPr>
              <w:t>35</w:t>
            </w:r>
          </w:p>
        </w:tc>
        <w:tc>
          <w:tcPr>
            <w:tcW w:w="2088" w:type="dxa"/>
            <w:tcBorders>
              <w:left w:val="single" w:sz="4" w:space="0" w:color="auto"/>
              <w:right w:val="single" w:sz="4" w:space="0" w:color="auto"/>
            </w:tcBorders>
          </w:tcPr>
          <w:p w:rsidR="00443EC1" w:rsidRDefault="00443EC1">
            <w:pPr>
              <w:spacing w:before="20" w:after="60" w:line="320" w:lineRule="exact"/>
              <w:ind w:firstLine="668"/>
              <w:jc w:val="both"/>
              <w:rPr>
                <w:rFonts w:hint="cs"/>
                <w:spacing w:val="0"/>
              </w:rPr>
            </w:pPr>
            <w:r>
              <w:rPr>
                <w:rFonts w:hint="cs"/>
                <w:spacing w:val="0"/>
                <w:rtl/>
              </w:rPr>
              <w:t>2</w:t>
            </w:r>
          </w:p>
        </w:tc>
      </w:tr>
      <w:tr w:rsidR="00443EC1" w:rsidTr="00443EC1">
        <w:tblPrEx>
          <w:tblCellMar>
            <w:top w:w="0" w:type="dxa"/>
            <w:bottom w:w="0" w:type="dxa"/>
          </w:tblCellMar>
        </w:tblPrEx>
        <w:trPr>
          <w:jc w:val="center"/>
        </w:trPr>
        <w:tc>
          <w:tcPr>
            <w:tcW w:w="3373" w:type="dxa"/>
            <w:tcBorders>
              <w:left w:val="single" w:sz="4" w:space="0" w:color="auto"/>
              <w:bottom w:val="single" w:sz="4" w:space="0" w:color="auto"/>
              <w:right w:val="single" w:sz="4" w:space="0" w:color="auto"/>
            </w:tcBorders>
          </w:tcPr>
          <w:p w:rsidR="00443EC1" w:rsidRDefault="00443EC1">
            <w:pPr>
              <w:spacing w:before="20" w:after="60" w:line="320" w:lineRule="exact"/>
              <w:ind w:firstLine="354"/>
              <w:jc w:val="both"/>
              <w:rPr>
                <w:rFonts w:hint="cs"/>
                <w:spacing w:val="0"/>
              </w:rPr>
            </w:pPr>
            <w:r>
              <w:rPr>
                <w:rFonts w:hint="cs"/>
                <w:spacing w:val="0"/>
                <w:rtl/>
              </w:rPr>
              <w:t>الإيذاء</w:t>
            </w:r>
          </w:p>
        </w:tc>
        <w:tc>
          <w:tcPr>
            <w:tcW w:w="1903" w:type="dxa"/>
            <w:tcBorders>
              <w:left w:val="single" w:sz="4" w:space="0" w:color="auto"/>
              <w:bottom w:val="single" w:sz="4" w:space="0" w:color="auto"/>
              <w:right w:val="single" w:sz="4" w:space="0" w:color="auto"/>
            </w:tcBorders>
          </w:tcPr>
          <w:p w:rsidR="00443EC1" w:rsidRDefault="00443EC1">
            <w:pPr>
              <w:spacing w:before="20" w:after="60" w:line="320" w:lineRule="exact"/>
              <w:ind w:firstLine="591"/>
              <w:jc w:val="both"/>
              <w:rPr>
                <w:rFonts w:hint="cs"/>
                <w:spacing w:val="0"/>
              </w:rPr>
            </w:pPr>
            <w:r>
              <w:rPr>
                <w:rFonts w:hint="cs"/>
                <w:spacing w:val="0"/>
                <w:rtl/>
              </w:rPr>
              <w:t>4</w:t>
            </w:r>
          </w:p>
        </w:tc>
        <w:tc>
          <w:tcPr>
            <w:tcW w:w="2206" w:type="dxa"/>
            <w:tcBorders>
              <w:left w:val="single" w:sz="4" w:space="0" w:color="auto"/>
              <w:bottom w:val="single" w:sz="4" w:space="0" w:color="auto"/>
              <w:right w:val="single" w:sz="4" w:space="0" w:color="auto"/>
            </w:tcBorders>
          </w:tcPr>
          <w:p w:rsidR="00443EC1" w:rsidRDefault="00443EC1">
            <w:pPr>
              <w:spacing w:before="20" w:after="60" w:line="320" w:lineRule="exact"/>
              <w:ind w:firstLine="732"/>
              <w:jc w:val="both"/>
              <w:rPr>
                <w:rFonts w:hint="cs"/>
                <w:spacing w:val="0"/>
              </w:rPr>
            </w:pPr>
            <w:r>
              <w:rPr>
                <w:rFonts w:hint="cs"/>
                <w:spacing w:val="0"/>
                <w:rtl/>
              </w:rPr>
              <w:t>6</w:t>
            </w:r>
          </w:p>
        </w:tc>
        <w:tc>
          <w:tcPr>
            <w:tcW w:w="2088" w:type="dxa"/>
            <w:tcBorders>
              <w:left w:val="single" w:sz="4" w:space="0" w:color="auto"/>
              <w:bottom w:val="single" w:sz="4" w:space="0" w:color="auto"/>
              <w:right w:val="single" w:sz="4" w:space="0" w:color="auto"/>
            </w:tcBorders>
          </w:tcPr>
          <w:p w:rsidR="00443EC1" w:rsidRDefault="00443EC1">
            <w:pPr>
              <w:spacing w:before="20" w:after="60" w:line="320" w:lineRule="exact"/>
              <w:ind w:firstLine="668"/>
              <w:jc w:val="both"/>
              <w:rPr>
                <w:rFonts w:hint="cs"/>
                <w:spacing w:val="0"/>
              </w:rPr>
            </w:pPr>
            <w:r>
              <w:rPr>
                <w:rFonts w:hint="cs"/>
                <w:spacing w:val="0"/>
                <w:rtl/>
              </w:rPr>
              <w:t>6</w:t>
            </w:r>
          </w:p>
        </w:tc>
      </w:tr>
      <w:tr w:rsidR="00443EC1" w:rsidTr="00443EC1">
        <w:tblPrEx>
          <w:tblCellMar>
            <w:top w:w="0" w:type="dxa"/>
            <w:bottom w:w="0" w:type="dxa"/>
          </w:tblCellMar>
        </w:tblPrEx>
        <w:trPr>
          <w:jc w:val="center"/>
        </w:trPr>
        <w:tc>
          <w:tcPr>
            <w:tcW w:w="3373" w:type="dxa"/>
            <w:tcBorders>
              <w:top w:val="single" w:sz="4" w:space="0" w:color="auto"/>
              <w:left w:val="single" w:sz="4" w:space="0" w:color="auto"/>
              <w:bottom w:val="single" w:sz="4" w:space="0" w:color="auto"/>
              <w:right w:val="single" w:sz="4" w:space="0" w:color="auto"/>
            </w:tcBorders>
          </w:tcPr>
          <w:p w:rsidR="00443EC1" w:rsidRDefault="00443EC1">
            <w:pPr>
              <w:spacing w:before="60" w:after="60" w:line="320" w:lineRule="exact"/>
              <w:jc w:val="both"/>
              <w:rPr>
                <w:spacing w:val="0"/>
              </w:rPr>
            </w:pPr>
            <w:r>
              <w:rPr>
                <w:spacing w:val="0"/>
                <w:rtl/>
              </w:rPr>
              <w:tab/>
              <w:t>المجموع</w:t>
            </w:r>
          </w:p>
        </w:tc>
        <w:tc>
          <w:tcPr>
            <w:tcW w:w="1903" w:type="dxa"/>
            <w:tcBorders>
              <w:top w:val="single" w:sz="4" w:space="0" w:color="auto"/>
              <w:left w:val="single" w:sz="4" w:space="0" w:color="auto"/>
              <w:bottom w:val="single" w:sz="4" w:space="0" w:color="auto"/>
              <w:right w:val="single" w:sz="4" w:space="0" w:color="auto"/>
            </w:tcBorders>
          </w:tcPr>
          <w:p w:rsidR="00443EC1" w:rsidRDefault="00443EC1">
            <w:pPr>
              <w:spacing w:before="60" w:after="60" w:line="320" w:lineRule="exact"/>
              <w:ind w:firstLine="591"/>
              <w:jc w:val="both"/>
              <w:rPr>
                <w:rFonts w:hint="cs"/>
                <w:spacing w:val="0"/>
              </w:rPr>
            </w:pPr>
            <w:r>
              <w:rPr>
                <w:rFonts w:hint="cs"/>
                <w:spacing w:val="0"/>
                <w:rtl/>
              </w:rPr>
              <w:t>339</w:t>
            </w:r>
          </w:p>
        </w:tc>
        <w:tc>
          <w:tcPr>
            <w:tcW w:w="2206" w:type="dxa"/>
            <w:tcBorders>
              <w:top w:val="single" w:sz="4" w:space="0" w:color="auto"/>
              <w:left w:val="single" w:sz="4" w:space="0" w:color="auto"/>
              <w:bottom w:val="single" w:sz="4" w:space="0" w:color="auto"/>
              <w:right w:val="single" w:sz="4" w:space="0" w:color="auto"/>
            </w:tcBorders>
          </w:tcPr>
          <w:p w:rsidR="00443EC1" w:rsidRDefault="00443EC1">
            <w:pPr>
              <w:spacing w:before="60" w:after="60" w:line="320" w:lineRule="exact"/>
              <w:ind w:firstLine="732"/>
              <w:jc w:val="both"/>
              <w:rPr>
                <w:rFonts w:hint="cs"/>
                <w:spacing w:val="0"/>
              </w:rPr>
            </w:pPr>
            <w:r>
              <w:rPr>
                <w:rFonts w:hint="cs"/>
                <w:spacing w:val="0"/>
                <w:rtl/>
              </w:rPr>
              <w:t>416</w:t>
            </w:r>
          </w:p>
        </w:tc>
        <w:tc>
          <w:tcPr>
            <w:tcW w:w="2088" w:type="dxa"/>
            <w:tcBorders>
              <w:top w:val="single" w:sz="4" w:space="0" w:color="auto"/>
              <w:left w:val="single" w:sz="4" w:space="0" w:color="auto"/>
              <w:bottom w:val="single" w:sz="4" w:space="0" w:color="auto"/>
              <w:right w:val="single" w:sz="4" w:space="0" w:color="auto"/>
            </w:tcBorders>
          </w:tcPr>
          <w:p w:rsidR="00443EC1" w:rsidRDefault="00443EC1">
            <w:pPr>
              <w:spacing w:before="60" w:after="60" w:line="320" w:lineRule="exact"/>
              <w:ind w:firstLine="668"/>
              <w:jc w:val="both"/>
              <w:rPr>
                <w:rFonts w:hint="cs"/>
                <w:spacing w:val="0"/>
              </w:rPr>
            </w:pPr>
            <w:r>
              <w:rPr>
                <w:rFonts w:hint="cs"/>
                <w:spacing w:val="0"/>
                <w:rtl/>
              </w:rPr>
              <w:t>341</w:t>
            </w:r>
          </w:p>
        </w:tc>
      </w:tr>
    </w:tbl>
    <w:p w:rsidR="00000000" w:rsidRDefault="00443EC1">
      <w:pPr>
        <w:spacing w:line="380" w:lineRule="exact"/>
        <w:jc w:val="both"/>
        <w:rPr>
          <w:rFonts w:hint="cs"/>
          <w:spacing w:val="0"/>
          <w:rtl/>
        </w:rPr>
      </w:pPr>
      <w:r>
        <w:rPr>
          <w:rFonts w:hint="cs"/>
          <w:spacing w:val="0"/>
          <w:rtl/>
        </w:rPr>
        <w:t>652-</w:t>
      </w:r>
      <w:r>
        <w:rPr>
          <w:rFonts w:hint="cs"/>
          <w:spacing w:val="0"/>
          <w:rtl/>
        </w:rPr>
        <w:tab/>
        <w:t>يرتبط حوالي 67.2 في المائة (736) من الشكاوى بالعمالة. أما فيما يتعلق بالنسبة المتبقية، أي 32.8 في المـائة (360)، فقد بر</w:t>
      </w:r>
      <w:r>
        <w:rPr>
          <w:rFonts w:hint="cs"/>
          <w:spacing w:val="0"/>
          <w:rtl/>
        </w:rPr>
        <w:t>زت بالأساس الشكاوى المتصلة بتوفير السلع والخدمات والمرافق والحصول على أماكن للإقامة، وسجلت 77.8 في المائة (280) من جميع الشكاوى التي لا صلة لها بالعمالة. وقد بلغت نسبة النجاح، في الشكاوى التي وجدت حلاً، 57.8 في المائة.</w:t>
      </w:r>
    </w:p>
    <w:p w:rsidR="00000000" w:rsidRDefault="00443EC1">
      <w:pPr>
        <w:spacing w:line="380" w:lineRule="exact"/>
        <w:jc w:val="both"/>
        <w:rPr>
          <w:rFonts w:hint="cs"/>
          <w:i/>
          <w:iCs/>
          <w:rtl/>
        </w:rPr>
      </w:pPr>
      <w:r>
        <w:rPr>
          <w:rFonts w:hint="cs"/>
          <w:i/>
          <w:iCs/>
          <w:rtl/>
        </w:rPr>
        <w:t>المساعدة القانونية</w:t>
      </w:r>
    </w:p>
    <w:p w:rsidR="00000000" w:rsidRDefault="00443EC1">
      <w:pPr>
        <w:spacing w:line="380" w:lineRule="exact"/>
        <w:jc w:val="both"/>
        <w:rPr>
          <w:rFonts w:hint="cs"/>
          <w:spacing w:val="0"/>
          <w:rtl/>
        </w:rPr>
      </w:pPr>
      <w:r>
        <w:rPr>
          <w:rFonts w:hint="cs"/>
          <w:spacing w:val="0"/>
          <w:rtl/>
        </w:rPr>
        <w:t>653-</w:t>
      </w:r>
      <w:r>
        <w:rPr>
          <w:rFonts w:hint="cs"/>
          <w:spacing w:val="0"/>
          <w:rtl/>
        </w:rPr>
        <w:tab/>
        <w:t>تقدم لجنة تكا</w:t>
      </w:r>
      <w:r>
        <w:rPr>
          <w:rFonts w:hint="cs"/>
          <w:spacing w:val="0"/>
          <w:rtl/>
        </w:rPr>
        <w:t>فؤ الفرص الدعم في المنازعات القضائية في الحالات التالية:</w:t>
      </w:r>
    </w:p>
    <w:p w:rsidR="00000000" w:rsidRDefault="00443EC1">
      <w:pPr>
        <w:spacing w:line="380" w:lineRule="exact"/>
        <w:jc w:val="both"/>
        <w:rPr>
          <w:rFonts w:hint="cs"/>
          <w:spacing w:val="0"/>
          <w:rtl/>
        </w:rPr>
      </w:pPr>
      <w:r>
        <w:rPr>
          <w:rFonts w:hint="cs"/>
          <w:spacing w:val="0"/>
          <w:rtl/>
        </w:rPr>
        <w:tab/>
        <w:t>(أ)</w:t>
      </w:r>
      <w:r>
        <w:rPr>
          <w:rFonts w:hint="cs"/>
          <w:spacing w:val="0"/>
          <w:rtl/>
        </w:rPr>
        <w:tab/>
        <w:t>عندما تثير القضية مسائل ذات صلة بالمبادئ؛</w:t>
      </w:r>
    </w:p>
    <w:p w:rsidR="00000000" w:rsidRDefault="00443EC1">
      <w:pPr>
        <w:spacing w:line="380" w:lineRule="exact"/>
        <w:jc w:val="both"/>
        <w:rPr>
          <w:rFonts w:hint="cs"/>
          <w:spacing w:val="0"/>
          <w:rtl/>
        </w:rPr>
      </w:pPr>
      <w:r>
        <w:rPr>
          <w:rFonts w:hint="cs"/>
          <w:spacing w:val="0"/>
          <w:rtl/>
        </w:rPr>
        <w:tab/>
        <w:t>(ب)</w:t>
      </w:r>
      <w:r>
        <w:rPr>
          <w:rFonts w:hint="cs"/>
          <w:spacing w:val="0"/>
          <w:rtl/>
        </w:rPr>
        <w:tab/>
        <w:t>عندما ترتبط القضية بالمصلحة العامة؛</w:t>
      </w:r>
    </w:p>
    <w:p w:rsidR="00000000" w:rsidRDefault="00443EC1">
      <w:pPr>
        <w:spacing w:line="380" w:lineRule="exact"/>
        <w:jc w:val="both"/>
        <w:rPr>
          <w:rFonts w:hint="cs"/>
          <w:spacing w:val="0"/>
          <w:rtl/>
        </w:rPr>
      </w:pPr>
      <w:r>
        <w:rPr>
          <w:rFonts w:hint="cs"/>
          <w:spacing w:val="0"/>
          <w:rtl/>
        </w:rPr>
        <w:tab/>
        <w:t>(ج)</w:t>
      </w:r>
      <w:r>
        <w:rPr>
          <w:rFonts w:hint="cs"/>
          <w:spacing w:val="0"/>
          <w:rtl/>
        </w:rPr>
        <w:tab/>
        <w:t>عندما تدعو الحاجة إلى سابقة قضائية أو إلى شرح للقانون من خلال تفسيرات المحكمة؛</w:t>
      </w:r>
    </w:p>
    <w:p w:rsidR="00000000" w:rsidRDefault="00443EC1">
      <w:pPr>
        <w:spacing w:line="380" w:lineRule="exact"/>
        <w:jc w:val="both"/>
        <w:rPr>
          <w:rFonts w:hint="cs"/>
          <w:spacing w:val="0"/>
          <w:rtl/>
        </w:rPr>
      </w:pPr>
      <w:r>
        <w:rPr>
          <w:rFonts w:hint="cs"/>
          <w:spacing w:val="0"/>
          <w:rtl/>
        </w:rPr>
        <w:tab/>
        <w:t>(د)</w:t>
      </w:r>
      <w:r>
        <w:rPr>
          <w:rFonts w:hint="cs"/>
          <w:spacing w:val="0"/>
          <w:rtl/>
        </w:rPr>
        <w:tab/>
        <w:t>عندما تكون القضية معقد</w:t>
      </w:r>
      <w:r>
        <w:rPr>
          <w:rFonts w:hint="cs"/>
          <w:spacing w:val="0"/>
          <w:rtl/>
        </w:rPr>
        <w:t>ة.</w:t>
      </w:r>
    </w:p>
    <w:p w:rsidR="00000000" w:rsidRDefault="00443EC1">
      <w:pPr>
        <w:spacing w:line="380" w:lineRule="exact"/>
        <w:jc w:val="both"/>
        <w:rPr>
          <w:rFonts w:hint="cs"/>
          <w:spacing w:val="0"/>
          <w:rtl/>
        </w:rPr>
      </w:pPr>
      <w:r>
        <w:rPr>
          <w:rFonts w:hint="cs"/>
          <w:spacing w:val="0"/>
          <w:rtl/>
        </w:rPr>
        <w:t>ويوضح الجدول التالي عدد القضايا التي فُصل فيها في الفترة المتراوحة بين 2000 و2002:</w:t>
      </w:r>
    </w:p>
    <w:tbl>
      <w:tblPr>
        <w:bidiVisual/>
        <w:tblW w:w="0" w:type="auto"/>
        <w:jc w:val="center"/>
        <w:tblLook w:val="0000" w:firstRow="0" w:lastRow="0" w:firstColumn="0" w:lastColumn="0" w:noHBand="0" w:noVBand="0"/>
      </w:tblPr>
      <w:tblGrid>
        <w:gridCol w:w="1749"/>
        <w:gridCol w:w="2079"/>
        <w:gridCol w:w="1914"/>
        <w:gridCol w:w="1914"/>
        <w:gridCol w:w="1914"/>
      </w:tblGrid>
      <w:tr w:rsidR="00443EC1" w:rsidTr="00443EC1">
        <w:tblPrEx>
          <w:tblCellMar>
            <w:top w:w="0" w:type="dxa"/>
            <w:bottom w:w="0" w:type="dxa"/>
          </w:tblCellMar>
        </w:tblPrEx>
        <w:trPr>
          <w:jc w:val="center"/>
        </w:trPr>
        <w:tc>
          <w:tcPr>
            <w:tcW w:w="1749" w:type="dxa"/>
            <w:tcBorders>
              <w:top w:val="single" w:sz="4" w:space="0" w:color="auto"/>
              <w:left w:val="single" w:sz="4" w:space="0" w:color="auto"/>
              <w:bottom w:val="single" w:sz="4" w:space="0" w:color="auto"/>
            </w:tcBorders>
          </w:tcPr>
          <w:p w:rsidR="00443EC1" w:rsidRDefault="00443EC1">
            <w:pPr>
              <w:spacing w:before="20" w:after="60" w:line="320" w:lineRule="exact"/>
              <w:jc w:val="center"/>
              <w:rPr>
                <w:rFonts w:hint="cs"/>
                <w:spacing w:val="0"/>
              </w:rPr>
            </w:pPr>
            <w:r>
              <w:rPr>
                <w:rFonts w:hint="cs"/>
                <w:spacing w:val="0"/>
                <w:rtl/>
              </w:rPr>
              <w:t>العـام</w:t>
            </w:r>
          </w:p>
        </w:tc>
        <w:tc>
          <w:tcPr>
            <w:tcW w:w="2079" w:type="dxa"/>
            <w:tcBorders>
              <w:top w:val="single" w:sz="4" w:space="0" w:color="auto"/>
              <w:bottom w:val="single" w:sz="4" w:space="0" w:color="auto"/>
            </w:tcBorders>
          </w:tcPr>
          <w:p w:rsidR="00443EC1" w:rsidRDefault="00443EC1">
            <w:pPr>
              <w:spacing w:before="20" w:after="60" w:line="320" w:lineRule="exact"/>
              <w:jc w:val="center"/>
              <w:rPr>
                <w:rFonts w:hint="cs"/>
                <w:spacing w:val="0"/>
              </w:rPr>
            </w:pPr>
            <w:r>
              <w:rPr>
                <w:rFonts w:hint="cs"/>
                <w:spacing w:val="0"/>
                <w:rtl/>
              </w:rPr>
              <w:t>مساعدة قانونية مقدَّمة</w:t>
            </w:r>
          </w:p>
        </w:tc>
        <w:tc>
          <w:tcPr>
            <w:tcW w:w="1914" w:type="dxa"/>
            <w:tcBorders>
              <w:top w:val="single" w:sz="4" w:space="0" w:color="auto"/>
              <w:bottom w:val="single" w:sz="4" w:space="0" w:color="auto"/>
            </w:tcBorders>
          </w:tcPr>
          <w:p w:rsidR="00443EC1" w:rsidRDefault="00443EC1">
            <w:pPr>
              <w:spacing w:before="20" w:after="60" w:line="320" w:lineRule="exact"/>
              <w:jc w:val="center"/>
              <w:rPr>
                <w:rFonts w:hint="cs"/>
                <w:spacing w:val="0"/>
              </w:rPr>
            </w:pPr>
            <w:r>
              <w:rPr>
                <w:rFonts w:hint="cs"/>
                <w:spacing w:val="0"/>
                <w:rtl/>
              </w:rPr>
              <w:t>لم تقدَّم</w:t>
            </w:r>
          </w:p>
        </w:tc>
        <w:tc>
          <w:tcPr>
            <w:tcW w:w="1914" w:type="dxa"/>
            <w:tcBorders>
              <w:top w:val="single" w:sz="4" w:space="0" w:color="auto"/>
              <w:bottom w:val="single" w:sz="4" w:space="0" w:color="auto"/>
            </w:tcBorders>
          </w:tcPr>
          <w:p w:rsidR="00443EC1" w:rsidRDefault="00443EC1">
            <w:pPr>
              <w:spacing w:before="20" w:after="60" w:line="320" w:lineRule="exact"/>
              <w:jc w:val="center"/>
              <w:rPr>
                <w:rFonts w:hint="cs"/>
                <w:spacing w:val="0"/>
              </w:rPr>
            </w:pPr>
            <w:r>
              <w:rPr>
                <w:rFonts w:hint="cs"/>
                <w:spacing w:val="0"/>
                <w:rtl/>
              </w:rPr>
              <w:t>قيد النظر</w:t>
            </w:r>
          </w:p>
        </w:tc>
        <w:tc>
          <w:tcPr>
            <w:tcW w:w="1914" w:type="dxa"/>
            <w:tcBorders>
              <w:top w:val="single" w:sz="4" w:space="0" w:color="auto"/>
              <w:bottom w:val="single" w:sz="4" w:space="0" w:color="auto"/>
              <w:right w:val="single" w:sz="4" w:space="0" w:color="auto"/>
            </w:tcBorders>
          </w:tcPr>
          <w:p w:rsidR="00443EC1" w:rsidRDefault="00443EC1">
            <w:pPr>
              <w:spacing w:before="20" w:after="60" w:line="320" w:lineRule="exact"/>
              <w:jc w:val="center"/>
              <w:rPr>
                <w:rFonts w:hint="cs"/>
                <w:spacing w:val="0"/>
              </w:rPr>
            </w:pPr>
            <w:r>
              <w:rPr>
                <w:rFonts w:hint="cs"/>
                <w:spacing w:val="0"/>
                <w:rtl/>
              </w:rPr>
              <w:t>مجموع الطالبين</w:t>
            </w:r>
          </w:p>
        </w:tc>
      </w:tr>
      <w:tr w:rsidR="00443EC1" w:rsidTr="00443EC1">
        <w:tblPrEx>
          <w:tblCellMar>
            <w:top w:w="0" w:type="dxa"/>
            <w:bottom w:w="0" w:type="dxa"/>
          </w:tblCellMar>
        </w:tblPrEx>
        <w:trPr>
          <w:jc w:val="center"/>
        </w:trPr>
        <w:tc>
          <w:tcPr>
            <w:tcW w:w="1749" w:type="dxa"/>
            <w:tcBorders>
              <w:top w:val="single" w:sz="4" w:space="0" w:color="auto"/>
              <w:left w:val="single" w:sz="4" w:space="0" w:color="auto"/>
            </w:tcBorders>
          </w:tcPr>
          <w:p w:rsidR="00443EC1" w:rsidRDefault="00443EC1">
            <w:pPr>
              <w:spacing w:before="20" w:after="60" w:line="320" w:lineRule="exact"/>
              <w:ind w:firstLine="465"/>
              <w:jc w:val="both"/>
              <w:rPr>
                <w:rFonts w:hint="cs"/>
                <w:spacing w:val="0"/>
              </w:rPr>
            </w:pPr>
            <w:r>
              <w:rPr>
                <w:rFonts w:hint="cs"/>
                <w:spacing w:val="0"/>
                <w:rtl/>
              </w:rPr>
              <w:t>2000</w:t>
            </w:r>
          </w:p>
        </w:tc>
        <w:tc>
          <w:tcPr>
            <w:tcW w:w="2079" w:type="dxa"/>
            <w:tcBorders>
              <w:top w:val="single" w:sz="4" w:space="0" w:color="auto"/>
            </w:tcBorders>
          </w:tcPr>
          <w:p w:rsidR="00443EC1" w:rsidRDefault="00443EC1">
            <w:pPr>
              <w:spacing w:before="20" w:after="60" w:line="320" w:lineRule="exact"/>
              <w:ind w:firstLine="732"/>
              <w:jc w:val="both"/>
              <w:rPr>
                <w:rFonts w:hint="cs"/>
                <w:spacing w:val="0"/>
              </w:rPr>
            </w:pPr>
            <w:r>
              <w:rPr>
                <w:rFonts w:hint="cs"/>
                <w:spacing w:val="0"/>
                <w:rtl/>
              </w:rPr>
              <w:t>10</w:t>
            </w:r>
          </w:p>
        </w:tc>
        <w:tc>
          <w:tcPr>
            <w:tcW w:w="1914" w:type="dxa"/>
            <w:tcBorders>
              <w:top w:val="single" w:sz="4" w:space="0" w:color="auto"/>
            </w:tcBorders>
          </w:tcPr>
          <w:p w:rsidR="00443EC1" w:rsidRDefault="00443EC1">
            <w:pPr>
              <w:spacing w:before="20" w:after="60" w:line="320" w:lineRule="exact"/>
              <w:ind w:firstLine="724"/>
              <w:jc w:val="both"/>
              <w:rPr>
                <w:rFonts w:hint="cs"/>
                <w:spacing w:val="0"/>
              </w:rPr>
            </w:pPr>
            <w:r>
              <w:rPr>
                <w:rFonts w:hint="cs"/>
                <w:spacing w:val="0"/>
                <w:rtl/>
              </w:rPr>
              <w:t>5</w:t>
            </w:r>
          </w:p>
        </w:tc>
        <w:tc>
          <w:tcPr>
            <w:tcW w:w="1914" w:type="dxa"/>
            <w:tcBorders>
              <w:top w:val="single" w:sz="4" w:space="0" w:color="auto"/>
            </w:tcBorders>
          </w:tcPr>
          <w:p w:rsidR="00443EC1" w:rsidRDefault="00443EC1">
            <w:pPr>
              <w:spacing w:before="20" w:after="60" w:line="320" w:lineRule="exact"/>
              <w:jc w:val="center"/>
              <w:rPr>
                <w:rFonts w:hint="cs"/>
                <w:spacing w:val="0"/>
              </w:rPr>
            </w:pPr>
            <w:r>
              <w:rPr>
                <w:rFonts w:hint="cs"/>
                <w:spacing w:val="0"/>
                <w:rtl/>
              </w:rPr>
              <w:t>صفر</w:t>
            </w:r>
          </w:p>
        </w:tc>
        <w:tc>
          <w:tcPr>
            <w:tcW w:w="1914" w:type="dxa"/>
            <w:tcBorders>
              <w:top w:val="single" w:sz="4" w:space="0" w:color="auto"/>
              <w:right w:val="single" w:sz="4" w:space="0" w:color="auto"/>
            </w:tcBorders>
          </w:tcPr>
          <w:p w:rsidR="00443EC1" w:rsidRDefault="00443EC1">
            <w:pPr>
              <w:spacing w:before="20" w:after="60" w:line="320" w:lineRule="exact"/>
              <w:ind w:firstLine="648"/>
              <w:jc w:val="both"/>
              <w:rPr>
                <w:rFonts w:hint="cs"/>
                <w:spacing w:val="0"/>
              </w:rPr>
            </w:pPr>
            <w:r>
              <w:rPr>
                <w:rFonts w:hint="cs"/>
                <w:spacing w:val="0"/>
                <w:rtl/>
              </w:rPr>
              <w:t>15</w:t>
            </w:r>
          </w:p>
        </w:tc>
      </w:tr>
      <w:tr w:rsidR="00443EC1" w:rsidTr="00443EC1">
        <w:tblPrEx>
          <w:tblCellMar>
            <w:top w:w="0" w:type="dxa"/>
            <w:bottom w:w="0" w:type="dxa"/>
          </w:tblCellMar>
        </w:tblPrEx>
        <w:trPr>
          <w:jc w:val="center"/>
        </w:trPr>
        <w:tc>
          <w:tcPr>
            <w:tcW w:w="1749" w:type="dxa"/>
            <w:tcBorders>
              <w:left w:val="single" w:sz="4" w:space="0" w:color="auto"/>
            </w:tcBorders>
          </w:tcPr>
          <w:p w:rsidR="00443EC1" w:rsidRDefault="00443EC1">
            <w:pPr>
              <w:spacing w:before="20" w:after="60" w:line="320" w:lineRule="exact"/>
              <w:ind w:firstLine="465"/>
              <w:jc w:val="both"/>
              <w:rPr>
                <w:rFonts w:hint="cs"/>
                <w:spacing w:val="0"/>
              </w:rPr>
            </w:pPr>
            <w:r>
              <w:rPr>
                <w:rFonts w:hint="cs"/>
                <w:spacing w:val="0"/>
                <w:rtl/>
              </w:rPr>
              <w:t>2001</w:t>
            </w:r>
          </w:p>
        </w:tc>
        <w:tc>
          <w:tcPr>
            <w:tcW w:w="2079" w:type="dxa"/>
          </w:tcPr>
          <w:p w:rsidR="00443EC1" w:rsidRDefault="00443EC1">
            <w:pPr>
              <w:spacing w:before="20" w:after="60" w:line="320" w:lineRule="exact"/>
              <w:ind w:firstLine="732"/>
              <w:jc w:val="both"/>
              <w:rPr>
                <w:rFonts w:hint="cs"/>
                <w:spacing w:val="0"/>
              </w:rPr>
            </w:pPr>
            <w:r>
              <w:rPr>
                <w:rFonts w:hint="cs"/>
                <w:spacing w:val="0"/>
                <w:rtl/>
              </w:rPr>
              <w:t>5</w:t>
            </w:r>
          </w:p>
        </w:tc>
        <w:tc>
          <w:tcPr>
            <w:tcW w:w="1914" w:type="dxa"/>
          </w:tcPr>
          <w:p w:rsidR="00443EC1" w:rsidRDefault="00443EC1">
            <w:pPr>
              <w:spacing w:before="20" w:after="60" w:line="320" w:lineRule="exact"/>
              <w:ind w:firstLine="724"/>
              <w:jc w:val="both"/>
              <w:rPr>
                <w:rFonts w:hint="cs"/>
                <w:spacing w:val="0"/>
              </w:rPr>
            </w:pPr>
            <w:r>
              <w:rPr>
                <w:rFonts w:hint="cs"/>
                <w:spacing w:val="0"/>
                <w:rtl/>
              </w:rPr>
              <w:t>13</w:t>
            </w:r>
          </w:p>
        </w:tc>
        <w:tc>
          <w:tcPr>
            <w:tcW w:w="1914" w:type="dxa"/>
          </w:tcPr>
          <w:p w:rsidR="00443EC1" w:rsidRDefault="00443EC1">
            <w:pPr>
              <w:spacing w:before="20" w:after="60" w:line="320" w:lineRule="exact"/>
              <w:jc w:val="center"/>
              <w:rPr>
                <w:rFonts w:hint="cs"/>
                <w:spacing w:val="0"/>
              </w:rPr>
            </w:pPr>
            <w:r>
              <w:rPr>
                <w:rFonts w:hint="cs"/>
                <w:spacing w:val="0"/>
                <w:rtl/>
              </w:rPr>
              <w:t>صفر</w:t>
            </w:r>
          </w:p>
        </w:tc>
        <w:tc>
          <w:tcPr>
            <w:tcW w:w="1914" w:type="dxa"/>
            <w:tcBorders>
              <w:right w:val="single" w:sz="4" w:space="0" w:color="auto"/>
            </w:tcBorders>
          </w:tcPr>
          <w:p w:rsidR="00443EC1" w:rsidRDefault="00443EC1">
            <w:pPr>
              <w:spacing w:before="20" w:after="60" w:line="320" w:lineRule="exact"/>
              <w:ind w:firstLine="648"/>
              <w:jc w:val="both"/>
              <w:rPr>
                <w:rFonts w:hint="cs"/>
                <w:spacing w:val="0"/>
              </w:rPr>
            </w:pPr>
            <w:r>
              <w:rPr>
                <w:rFonts w:hint="cs"/>
                <w:spacing w:val="0"/>
                <w:rtl/>
              </w:rPr>
              <w:t>18</w:t>
            </w:r>
          </w:p>
        </w:tc>
      </w:tr>
      <w:tr w:rsidR="00443EC1" w:rsidTr="00443EC1">
        <w:tblPrEx>
          <w:tblCellMar>
            <w:top w:w="0" w:type="dxa"/>
            <w:bottom w:w="0" w:type="dxa"/>
          </w:tblCellMar>
        </w:tblPrEx>
        <w:trPr>
          <w:jc w:val="center"/>
        </w:trPr>
        <w:tc>
          <w:tcPr>
            <w:tcW w:w="1749" w:type="dxa"/>
            <w:tcBorders>
              <w:left w:val="single" w:sz="4" w:space="0" w:color="auto"/>
              <w:bottom w:val="single" w:sz="4" w:space="0" w:color="auto"/>
            </w:tcBorders>
          </w:tcPr>
          <w:p w:rsidR="00443EC1" w:rsidRDefault="00443EC1">
            <w:pPr>
              <w:spacing w:before="20" w:after="60" w:line="320" w:lineRule="exact"/>
              <w:ind w:firstLine="465"/>
              <w:jc w:val="both"/>
              <w:rPr>
                <w:rFonts w:hint="cs"/>
                <w:spacing w:val="0"/>
              </w:rPr>
            </w:pPr>
            <w:r>
              <w:rPr>
                <w:rFonts w:hint="cs"/>
                <w:spacing w:val="0"/>
                <w:rtl/>
              </w:rPr>
              <w:t>2002</w:t>
            </w:r>
          </w:p>
        </w:tc>
        <w:tc>
          <w:tcPr>
            <w:tcW w:w="2079" w:type="dxa"/>
            <w:tcBorders>
              <w:bottom w:val="single" w:sz="4" w:space="0" w:color="auto"/>
            </w:tcBorders>
          </w:tcPr>
          <w:p w:rsidR="00443EC1" w:rsidRDefault="00443EC1">
            <w:pPr>
              <w:spacing w:before="20" w:after="60" w:line="320" w:lineRule="exact"/>
              <w:ind w:firstLine="732"/>
              <w:jc w:val="both"/>
              <w:rPr>
                <w:rFonts w:hint="cs"/>
                <w:spacing w:val="0"/>
              </w:rPr>
            </w:pPr>
            <w:r>
              <w:rPr>
                <w:rFonts w:hint="cs"/>
                <w:spacing w:val="0"/>
                <w:rtl/>
              </w:rPr>
              <w:t>8</w:t>
            </w:r>
          </w:p>
        </w:tc>
        <w:tc>
          <w:tcPr>
            <w:tcW w:w="1914" w:type="dxa"/>
            <w:tcBorders>
              <w:bottom w:val="single" w:sz="4" w:space="0" w:color="auto"/>
            </w:tcBorders>
          </w:tcPr>
          <w:p w:rsidR="00443EC1" w:rsidRDefault="00443EC1">
            <w:pPr>
              <w:spacing w:before="20" w:after="60" w:line="320" w:lineRule="exact"/>
              <w:ind w:firstLine="724"/>
              <w:jc w:val="both"/>
              <w:rPr>
                <w:rFonts w:hint="cs"/>
                <w:spacing w:val="0"/>
              </w:rPr>
            </w:pPr>
            <w:r>
              <w:rPr>
                <w:rFonts w:hint="cs"/>
                <w:spacing w:val="0"/>
                <w:rtl/>
              </w:rPr>
              <w:t>27</w:t>
            </w:r>
          </w:p>
        </w:tc>
        <w:tc>
          <w:tcPr>
            <w:tcW w:w="1914" w:type="dxa"/>
            <w:tcBorders>
              <w:bottom w:val="single" w:sz="4" w:space="0" w:color="auto"/>
            </w:tcBorders>
          </w:tcPr>
          <w:p w:rsidR="00443EC1" w:rsidRDefault="00443EC1">
            <w:pPr>
              <w:spacing w:before="20" w:after="60" w:line="320" w:lineRule="exact"/>
              <w:jc w:val="center"/>
              <w:rPr>
                <w:rFonts w:hint="cs"/>
                <w:spacing w:val="0"/>
              </w:rPr>
            </w:pPr>
            <w:r>
              <w:rPr>
                <w:rFonts w:hint="cs"/>
                <w:spacing w:val="0"/>
                <w:rtl/>
              </w:rPr>
              <w:t>3</w:t>
            </w:r>
          </w:p>
        </w:tc>
        <w:tc>
          <w:tcPr>
            <w:tcW w:w="1914" w:type="dxa"/>
            <w:tcBorders>
              <w:bottom w:val="single" w:sz="4" w:space="0" w:color="auto"/>
              <w:right w:val="single" w:sz="4" w:space="0" w:color="auto"/>
            </w:tcBorders>
          </w:tcPr>
          <w:p w:rsidR="00443EC1" w:rsidRDefault="00443EC1">
            <w:pPr>
              <w:spacing w:before="20" w:after="60" w:line="320" w:lineRule="exact"/>
              <w:ind w:firstLine="648"/>
              <w:jc w:val="both"/>
              <w:rPr>
                <w:rFonts w:hint="cs"/>
                <w:spacing w:val="0"/>
              </w:rPr>
            </w:pPr>
            <w:r>
              <w:rPr>
                <w:rFonts w:hint="cs"/>
                <w:spacing w:val="0"/>
                <w:rtl/>
              </w:rPr>
              <w:t>38</w:t>
            </w:r>
          </w:p>
        </w:tc>
      </w:tr>
      <w:tr w:rsidR="00443EC1" w:rsidTr="00443EC1">
        <w:tblPrEx>
          <w:tblCellMar>
            <w:top w:w="0" w:type="dxa"/>
            <w:bottom w:w="0" w:type="dxa"/>
          </w:tblCellMar>
        </w:tblPrEx>
        <w:trPr>
          <w:jc w:val="center"/>
        </w:trPr>
        <w:tc>
          <w:tcPr>
            <w:tcW w:w="1749" w:type="dxa"/>
            <w:tcBorders>
              <w:top w:val="single" w:sz="4" w:space="0" w:color="auto"/>
              <w:left w:val="single" w:sz="4" w:space="0" w:color="auto"/>
              <w:bottom w:val="single" w:sz="4" w:space="0" w:color="auto"/>
            </w:tcBorders>
          </w:tcPr>
          <w:p w:rsidR="00443EC1" w:rsidRDefault="00443EC1">
            <w:pPr>
              <w:spacing w:before="20" w:after="60" w:line="320" w:lineRule="exact"/>
              <w:ind w:firstLine="465"/>
              <w:jc w:val="both"/>
              <w:rPr>
                <w:rFonts w:hint="cs"/>
                <w:spacing w:val="0"/>
                <w:rtl/>
              </w:rPr>
            </w:pPr>
            <w:r>
              <w:rPr>
                <w:rFonts w:hint="cs"/>
                <w:spacing w:val="0"/>
                <w:rtl/>
              </w:rPr>
              <w:t>المجموع</w:t>
            </w:r>
          </w:p>
        </w:tc>
        <w:tc>
          <w:tcPr>
            <w:tcW w:w="2079" w:type="dxa"/>
            <w:tcBorders>
              <w:top w:val="single" w:sz="4" w:space="0" w:color="auto"/>
              <w:bottom w:val="single" w:sz="4" w:space="0" w:color="auto"/>
            </w:tcBorders>
          </w:tcPr>
          <w:p w:rsidR="00443EC1" w:rsidRDefault="00443EC1">
            <w:pPr>
              <w:spacing w:before="20" w:after="60" w:line="320" w:lineRule="exact"/>
              <w:ind w:firstLine="732"/>
              <w:jc w:val="both"/>
              <w:rPr>
                <w:rFonts w:hint="cs"/>
                <w:spacing w:val="0"/>
                <w:rtl/>
              </w:rPr>
            </w:pPr>
            <w:r>
              <w:rPr>
                <w:rFonts w:hint="cs"/>
                <w:spacing w:val="0"/>
                <w:rtl/>
              </w:rPr>
              <w:t>23</w:t>
            </w:r>
          </w:p>
        </w:tc>
        <w:tc>
          <w:tcPr>
            <w:tcW w:w="1914" w:type="dxa"/>
            <w:tcBorders>
              <w:top w:val="single" w:sz="4" w:space="0" w:color="auto"/>
              <w:bottom w:val="single" w:sz="4" w:space="0" w:color="auto"/>
            </w:tcBorders>
          </w:tcPr>
          <w:p w:rsidR="00443EC1" w:rsidRDefault="00443EC1">
            <w:pPr>
              <w:spacing w:before="20" w:after="60" w:line="320" w:lineRule="exact"/>
              <w:ind w:firstLine="724"/>
              <w:jc w:val="both"/>
              <w:rPr>
                <w:rFonts w:hint="cs"/>
                <w:spacing w:val="0"/>
                <w:rtl/>
              </w:rPr>
            </w:pPr>
            <w:r>
              <w:rPr>
                <w:rFonts w:hint="cs"/>
                <w:spacing w:val="0"/>
                <w:rtl/>
              </w:rPr>
              <w:t>45</w:t>
            </w:r>
          </w:p>
        </w:tc>
        <w:tc>
          <w:tcPr>
            <w:tcW w:w="1914" w:type="dxa"/>
            <w:tcBorders>
              <w:top w:val="single" w:sz="4" w:space="0" w:color="auto"/>
              <w:bottom w:val="single" w:sz="4" w:space="0" w:color="auto"/>
            </w:tcBorders>
          </w:tcPr>
          <w:p w:rsidR="00443EC1" w:rsidRDefault="00443EC1">
            <w:pPr>
              <w:spacing w:before="20" w:after="60" w:line="320" w:lineRule="exact"/>
              <w:jc w:val="center"/>
              <w:rPr>
                <w:rFonts w:hint="cs"/>
                <w:spacing w:val="0"/>
                <w:rtl/>
              </w:rPr>
            </w:pPr>
            <w:r>
              <w:rPr>
                <w:rFonts w:hint="cs"/>
                <w:spacing w:val="0"/>
                <w:rtl/>
              </w:rPr>
              <w:t>3</w:t>
            </w:r>
          </w:p>
        </w:tc>
        <w:tc>
          <w:tcPr>
            <w:tcW w:w="1914" w:type="dxa"/>
            <w:tcBorders>
              <w:top w:val="single" w:sz="4" w:space="0" w:color="auto"/>
              <w:bottom w:val="single" w:sz="4" w:space="0" w:color="auto"/>
              <w:right w:val="single" w:sz="4" w:space="0" w:color="auto"/>
            </w:tcBorders>
          </w:tcPr>
          <w:p w:rsidR="00443EC1" w:rsidRDefault="00443EC1">
            <w:pPr>
              <w:spacing w:before="20" w:after="60" w:line="320" w:lineRule="exact"/>
              <w:ind w:firstLine="648"/>
              <w:jc w:val="both"/>
              <w:rPr>
                <w:rFonts w:hint="cs"/>
                <w:spacing w:val="0"/>
                <w:rtl/>
              </w:rPr>
            </w:pPr>
            <w:r>
              <w:rPr>
                <w:rFonts w:hint="cs"/>
                <w:spacing w:val="0"/>
                <w:rtl/>
              </w:rPr>
              <w:t>71</w:t>
            </w:r>
          </w:p>
        </w:tc>
      </w:tr>
    </w:tbl>
    <w:p w:rsidR="00000000" w:rsidRDefault="00443EC1">
      <w:pPr>
        <w:spacing w:line="380" w:lineRule="exact"/>
        <w:jc w:val="both"/>
        <w:rPr>
          <w:rFonts w:hint="cs"/>
          <w:i/>
          <w:iCs/>
          <w:rtl/>
        </w:rPr>
      </w:pPr>
      <w:r>
        <w:rPr>
          <w:rFonts w:hint="cs"/>
          <w:i/>
          <w:iCs/>
          <w:rtl/>
        </w:rPr>
        <w:t>مدونة قواعد الممارسات في مجال ال</w:t>
      </w:r>
      <w:r>
        <w:rPr>
          <w:rFonts w:hint="cs"/>
          <w:i/>
          <w:iCs/>
          <w:rtl/>
        </w:rPr>
        <w:t>تعليم بموجب قانون التمييز على أساس العجز</w:t>
      </w:r>
    </w:p>
    <w:p w:rsidR="00000000" w:rsidRDefault="00443EC1">
      <w:pPr>
        <w:spacing w:line="380" w:lineRule="exact"/>
        <w:jc w:val="both"/>
        <w:rPr>
          <w:rFonts w:hint="cs"/>
          <w:spacing w:val="0"/>
          <w:rtl/>
        </w:rPr>
      </w:pPr>
      <w:r>
        <w:rPr>
          <w:rFonts w:hint="cs"/>
          <w:spacing w:val="0"/>
          <w:rtl/>
        </w:rPr>
        <w:t>654-</w:t>
      </w:r>
      <w:r>
        <w:rPr>
          <w:rFonts w:hint="cs"/>
          <w:spacing w:val="0"/>
          <w:rtl/>
        </w:rPr>
        <w:tab/>
        <w:t>إن الاستفادة من التعليم مسألة جد هامة لتمكين الأشخاص المعاقين من الاندماج في المجتمع كليا. لذلك أصدرت لجنة تكافؤ الفرص، في عام 2001، وعياً منها بهذه المسألة، مدونة قواعد ممارسات بعدما عقدت مشاورات هامة مع كل من</w:t>
      </w:r>
      <w:r>
        <w:rPr>
          <w:rFonts w:hint="cs"/>
          <w:spacing w:val="0"/>
          <w:rtl/>
        </w:rPr>
        <w:t xml:space="preserve"> المربّين ومجتمع المعاقين ومع عامة الجمهور. وبدأ العمل بهذه المدونة في شهر تموز/يوليه من تلك السنة، قبل انطلاقة السنة الدراسية لعام 2001-2002. ونُشر، حتى يومنا هذا، حوالي 500 33 نسخة من هذه المدونة</w:t>
      </w:r>
      <w:r>
        <w:rPr>
          <w:rFonts w:hint="cs"/>
          <w:spacing w:val="0"/>
          <w:vertAlign w:val="superscript"/>
          <w:rtl/>
        </w:rPr>
        <w:t>(47)</w:t>
      </w:r>
      <w:r>
        <w:rPr>
          <w:rFonts w:hint="cs"/>
          <w:spacing w:val="0"/>
          <w:rtl/>
        </w:rPr>
        <w:t>.</w:t>
      </w:r>
    </w:p>
    <w:p w:rsidR="00000000" w:rsidRDefault="00443EC1">
      <w:pPr>
        <w:spacing w:line="380" w:lineRule="exact"/>
        <w:jc w:val="both"/>
        <w:rPr>
          <w:rFonts w:hint="cs"/>
          <w:spacing w:val="0"/>
          <w:rtl/>
        </w:rPr>
      </w:pPr>
      <w:r>
        <w:rPr>
          <w:rFonts w:hint="cs"/>
          <w:spacing w:val="0"/>
          <w:rtl/>
        </w:rPr>
        <w:t>655-</w:t>
      </w:r>
      <w:r>
        <w:rPr>
          <w:rFonts w:hint="cs"/>
          <w:spacing w:val="0"/>
          <w:rtl/>
        </w:rPr>
        <w:tab/>
        <w:t>وما انفكت لجنة تكافؤ الفرص، منذ ذلك الحين، تتعاو</w:t>
      </w:r>
      <w:r>
        <w:rPr>
          <w:rFonts w:hint="cs"/>
          <w:spacing w:val="0"/>
          <w:rtl/>
        </w:rPr>
        <w:t>ن مع مكتب التعليم والقوى العاملة، ومع الفئات موضع الاهتمام والمهنيين، حرصاً منها على توفير الدعم الكافي للمدارس والأطفال المعوقين ولذويهم. وثمة فريق عامل يعقد اجتماعات منتظمة يتناول فيها المسائل موضع الاهتمام وينسّق العمل لكفالة تنفيذ المدونة. وأفضى هذا ال</w:t>
      </w:r>
      <w:r>
        <w:rPr>
          <w:rFonts w:hint="cs"/>
          <w:spacing w:val="0"/>
          <w:rtl/>
        </w:rPr>
        <w:t>تعاون إلى إنشاء مكتب آلية الوساطة للنظر في المنازعات التي تنشأ بين الآباء/التلاميذ والمدارس ولنشر مواد إعلامية ذات صلة بالمدونة لفائدة المدارس والآباء. ويعمل كل من اللجنة والمكتب حاليا على إنتاج مواد تدريبية عن تكافؤ الفرص ووضع مدونة مديري المدارس وأساتذته</w:t>
      </w:r>
      <w:r>
        <w:rPr>
          <w:rFonts w:hint="cs"/>
          <w:spacing w:val="0"/>
          <w:rtl/>
        </w:rPr>
        <w:t>ا.</w:t>
      </w:r>
    </w:p>
    <w:p w:rsidR="00000000" w:rsidRDefault="00443EC1">
      <w:pPr>
        <w:spacing w:line="380" w:lineRule="exact"/>
        <w:jc w:val="both"/>
        <w:rPr>
          <w:rFonts w:hint="cs"/>
          <w:i/>
          <w:iCs/>
          <w:rtl/>
        </w:rPr>
      </w:pPr>
      <w:r>
        <w:rPr>
          <w:rFonts w:hint="cs"/>
          <w:i/>
          <w:iCs/>
          <w:rtl/>
        </w:rPr>
        <w:t>خدمات ومرافق خاصة بالمصابين بعاهات عقلية</w:t>
      </w:r>
    </w:p>
    <w:p w:rsidR="00000000" w:rsidRDefault="00443EC1">
      <w:pPr>
        <w:spacing w:line="380" w:lineRule="exact"/>
        <w:jc w:val="both"/>
        <w:rPr>
          <w:rFonts w:hint="cs"/>
          <w:spacing w:val="0"/>
          <w:rtl/>
        </w:rPr>
      </w:pPr>
      <w:r>
        <w:rPr>
          <w:rFonts w:hint="cs"/>
          <w:spacing w:val="0"/>
          <w:rtl/>
        </w:rPr>
        <w:t>656-</w:t>
      </w:r>
      <w:r>
        <w:rPr>
          <w:rFonts w:hint="cs"/>
          <w:spacing w:val="0"/>
          <w:rtl/>
        </w:rPr>
        <w:tab/>
      </w:r>
      <w:r>
        <w:rPr>
          <w:rFonts w:hint="cs"/>
          <w:sz w:val="26"/>
          <w:rtl/>
        </w:rPr>
        <w:t xml:space="preserve">لا يزال الوضع بشكل أساسي على النحو الوارد وصفه </w:t>
      </w:r>
      <w:r>
        <w:rPr>
          <w:rFonts w:hint="cs"/>
          <w:rtl/>
        </w:rPr>
        <w:t>في</w:t>
      </w:r>
      <w:r>
        <w:rPr>
          <w:rFonts w:hint="cs"/>
          <w:spacing w:val="0"/>
          <w:rtl/>
        </w:rPr>
        <w:t xml:space="preserve"> الفقرة 434 من التقرير الأولي، على الرغم من إحراز بعض التقدم. فتمشيا مع الاتجاهات الدولية، تحوِّل هيئة المستشفيات اهتمامها عن الرعاية المؤسسية لتركز على تطوير</w:t>
      </w:r>
      <w:r>
        <w:rPr>
          <w:rFonts w:hint="cs"/>
          <w:spacing w:val="0"/>
          <w:rtl/>
        </w:rPr>
        <w:t xml:space="preserve"> الخدمات المجتمعية النفسانية وتعزيز الدعم المتصل لفائدة المرضى الذين غادروا المستشفيات. وفي الفترة المتراوحة 2001-2002، وبتعاون مع بعض مقدمي الرعاية الأولية ومع وكالات التعليم والرعاية، وضعت الهيئة برنامجاً تجريبيا</w:t>
      </w:r>
      <w:r>
        <w:rPr>
          <w:rFonts w:hint="eastAsia"/>
          <w:spacing w:val="0"/>
          <w:rtl/>
        </w:rPr>
        <w:t> </w:t>
      </w:r>
      <w:r>
        <w:rPr>
          <w:rFonts w:hint="cs"/>
          <w:spacing w:val="0"/>
          <w:rtl/>
        </w:rPr>
        <w:t>للإبكار باكتشاف المشاكل النفسانية لدى الص</w:t>
      </w:r>
      <w:r>
        <w:rPr>
          <w:rFonts w:hint="cs"/>
          <w:spacing w:val="0"/>
          <w:rtl/>
        </w:rPr>
        <w:t>غار ولمعالجتهم. وتعتزم الهيئة وضع مخطط تجريبي آخر، في الفترة 2002-2003، لتوفير برنامج للتأهيل والمعالجة المكثـفين لصالح الأشخاص المصابين بمرض نفسي والمقيمين في منازلهم، بهدف تسهيل إدماجهم المبكر في المجتمع.</w:t>
      </w:r>
    </w:p>
    <w:p w:rsidR="00000000" w:rsidRDefault="00443EC1">
      <w:pPr>
        <w:spacing w:line="380" w:lineRule="exact"/>
        <w:jc w:val="both"/>
        <w:rPr>
          <w:rFonts w:hint="cs"/>
          <w:spacing w:val="0"/>
          <w:rtl/>
        </w:rPr>
      </w:pPr>
      <w:r>
        <w:rPr>
          <w:rFonts w:hint="cs"/>
          <w:spacing w:val="0"/>
          <w:rtl/>
        </w:rPr>
        <w:t>657-</w:t>
      </w:r>
      <w:r>
        <w:rPr>
          <w:rFonts w:hint="cs"/>
          <w:spacing w:val="0"/>
          <w:rtl/>
        </w:rPr>
        <w:tab/>
        <w:t>ولقد أعربت اللجنة، في الفقرة 20 من ملاحظاتها</w:t>
      </w:r>
      <w:r>
        <w:rPr>
          <w:rFonts w:hint="cs"/>
          <w:spacing w:val="0"/>
          <w:rtl/>
        </w:rPr>
        <w:t xml:space="preserve"> الختامية لعام 2001، عن أسفها:</w:t>
      </w:r>
    </w:p>
    <w:p w:rsidR="00000000" w:rsidRDefault="00443EC1">
      <w:pPr>
        <w:spacing w:before="180" w:after="180" w:line="360" w:lineRule="exact"/>
        <w:ind w:left="720" w:hanging="720"/>
        <w:jc w:val="both"/>
        <w:rPr>
          <w:rFonts w:hint="cs"/>
          <w:spacing w:val="0"/>
          <w:rtl/>
        </w:rPr>
      </w:pPr>
      <w:r>
        <w:rPr>
          <w:rFonts w:hint="cs"/>
          <w:spacing w:val="0"/>
          <w:rtl/>
        </w:rPr>
        <w:tab/>
        <w:t>"لأنه، فيما يتعلق بالعناية بالمصابين بالأمراض العقلية، تحجم منطقة هونغ كونغ عن الإذن بوصف عقاقير جديدة لهؤلاء المرضى هي عقاقير أكثر كلفة لكنها أكثر فعالية وتَبَيَّن أن لها آثاراً جانبية أقل".</w:t>
      </w:r>
    </w:p>
    <w:p w:rsidR="00000000" w:rsidRDefault="00443EC1">
      <w:pPr>
        <w:spacing w:before="180" w:after="180" w:line="360" w:lineRule="exact"/>
        <w:jc w:val="both"/>
        <w:rPr>
          <w:rFonts w:hint="cs"/>
          <w:spacing w:val="0"/>
          <w:rtl/>
        </w:rPr>
      </w:pPr>
      <w:r>
        <w:rPr>
          <w:rFonts w:hint="cs"/>
          <w:spacing w:val="0"/>
          <w:rtl/>
        </w:rPr>
        <w:t>658-</w:t>
      </w:r>
      <w:r>
        <w:rPr>
          <w:rFonts w:hint="cs"/>
          <w:spacing w:val="0"/>
          <w:rtl/>
        </w:rPr>
        <w:tab/>
        <w:t>ويتعلق الأمر بوجود عقاقير ج</w:t>
      </w:r>
      <w:r>
        <w:rPr>
          <w:rFonts w:hint="cs"/>
          <w:spacing w:val="0"/>
          <w:rtl/>
        </w:rPr>
        <w:t xml:space="preserve">ديدة لعلاج الأمراض النفسية توصف للمرضى وِفقا لبروتوكولات سريرية محددة. وليس صحيحاً أن ثمة مرضى ذوو احتياجات سريرية خاصة حُرموا من العقاقير الجديدة لعلاج الأمراض النفسية. فقد حصلت هيئة المستشفيات، في واقع الأمر، على المزيد من التمويل الحكومي بغية الاستجابة </w:t>
      </w:r>
      <w:r>
        <w:rPr>
          <w:rFonts w:hint="cs"/>
          <w:spacing w:val="0"/>
          <w:rtl/>
        </w:rPr>
        <w:t>للطلب المتزايد على هذه العقاقير، علماً بأن عدد الأشخاص الذين حصلوا عليها قد ارتفع من 000 3 شخص في الفترة 2000-2001 ليصل إلى 000 5 شخص في الفترة 2001-2002.</w:t>
      </w:r>
    </w:p>
    <w:p w:rsidR="00000000" w:rsidRDefault="00443EC1">
      <w:pPr>
        <w:spacing w:before="180" w:after="180" w:line="360" w:lineRule="exact"/>
        <w:jc w:val="both"/>
        <w:rPr>
          <w:rFonts w:hint="cs"/>
          <w:i/>
          <w:iCs/>
          <w:spacing w:val="0"/>
          <w:rtl/>
        </w:rPr>
      </w:pPr>
      <w:r>
        <w:rPr>
          <w:rFonts w:hint="cs"/>
          <w:i/>
          <w:iCs/>
          <w:spacing w:val="0"/>
          <w:rtl/>
        </w:rPr>
        <w:t>توعية الجمهور</w:t>
      </w:r>
    </w:p>
    <w:p w:rsidR="00000000" w:rsidRDefault="00443EC1">
      <w:pPr>
        <w:spacing w:before="180" w:after="180" w:line="360" w:lineRule="exact"/>
        <w:jc w:val="both"/>
        <w:rPr>
          <w:rFonts w:hint="cs"/>
          <w:spacing w:val="0"/>
          <w:rtl/>
        </w:rPr>
      </w:pPr>
      <w:r>
        <w:rPr>
          <w:rFonts w:hint="cs"/>
          <w:spacing w:val="0"/>
          <w:rtl/>
        </w:rPr>
        <w:t>659-</w:t>
      </w:r>
      <w:r>
        <w:rPr>
          <w:rFonts w:hint="cs"/>
          <w:spacing w:val="0"/>
          <w:rtl/>
        </w:rPr>
        <w:tab/>
        <w:t>لاحظت اللجنة، في الفقرة 20 من ملاحظاتها الختامية لعام 2001، مع القلق "عدم مبادرة م</w:t>
      </w:r>
      <w:r>
        <w:rPr>
          <w:rFonts w:hint="cs"/>
          <w:spacing w:val="0"/>
          <w:rtl/>
        </w:rPr>
        <w:t>نطقة هونغ كونغ إلى الشروع في حملات توعية عامة لمكافحة التمييز ضد المعوقين عقليا". وفي الفقرة 45 من ملاحظاتها الختامية، حثت اللجنة كذلك "منطقة هونغ كونغ على توعية الجمهور بمكافحة التمييز ضد المصابين بالأمراض العقلية".</w:t>
      </w:r>
    </w:p>
    <w:p w:rsidR="00000000" w:rsidRDefault="00443EC1">
      <w:pPr>
        <w:spacing w:before="180" w:after="180" w:line="360" w:lineRule="exact"/>
        <w:jc w:val="both"/>
        <w:rPr>
          <w:rFonts w:hint="cs"/>
          <w:spacing w:val="0"/>
          <w:rtl/>
        </w:rPr>
      </w:pPr>
      <w:r>
        <w:rPr>
          <w:rFonts w:hint="cs"/>
          <w:spacing w:val="0"/>
          <w:rtl/>
        </w:rPr>
        <w:t>660-</w:t>
      </w:r>
      <w:r>
        <w:rPr>
          <w:rFonts w:hint="cs"/>
          <w:spacing w:val="0"/>
          <w:rtl/>
        </w:rPr>
        <w:tab/>
        <w:t xml:space="preserve">ومنذ تموز/يوليه 1997، أنفقت حكومة </w:t>
      </w:r>
      <w:r>
        <w:rPr>
          <w:rFonts w:hint="cs"/>
          <w:spacing w:val="0"/>
          <w:rtl/>
        </w:rPr>
        <w:t>منطقة هونغ كونغ ما يربو على 23 مليون دولار من دولارات هونغ كونغ في توعية الجمهور وفي حملات الدعاية لتعزيز إدماج المعاقين في المجتمع وقبولهم فيه. وخصصت الحكومة نصف هذا المبلغ تقريباً لتعزيز قبول الجمهور للمصابين بعاهة عقلية وللأشخاص الذين استعادوا عافيتهم أ</w:t>
      </w:r>
      <w:r>
        <w:rPr>
          <w:rFonts w:hint="cs"/>
          <w:spacing w:val="0"/>
          <w:rtl/>
        </w:rPr>
        <w:t>و الذين يعانون من مرض عقلي.</w:t>
      </w:r>
    </w:p>
    <w:p w:rsidR="00000000" w:rsidRDefault="00443EC1">
      <w:pPr>
        <w:spacing w:before="180" w:after="180" w:line="360" w:lineRule="exact"/>
        <w:jc w:val="both"/>
        <w:rPr>
          <w:rFonts w:hint="cs"/>
          <w:spacing w:val="0"/>
          <w:rtl/>
        </w:rPr>
      </w:pPr>
      <w:r>
        <w:rPr>
          <w:rFonts w:hint="cs"/>
          <w:spacing w:val="0"/>
          <w:rtl/>
        </w:rPr>
        <w:t>661-</w:t>
      </w:r>
      <w:r>
        <w:rPr>
          <w:rFonts w:hint="cs"/>
          <w:spacing w:val="0"/>
          <w:rtl/>
        </w:rPr>
        <w:tab/>
        <w:t>ويشتمل برنامج توعية الجمهور السنوي على القيام بحملات تلفزيونية وإذاعية</w:t>
      </w:r>
      <w:r>
        <w:rPr>
          <w:rFonts w:hint="cs"/>
          <w:spacing w:val="0"/>
          <w:vertAlign w:val="superscript"/>
          <w:rtl/>
        </w:rPr>
        <w:t>(48)</w:t>
      </w:r>
      <w:r>
        <w:rPr>
          <w:rFonts w:hint="cs"/>
          <w:spacing w:val="0"/>
          <w:rtl/>
        </w:rPr>
        <w:t xml:space="preserve"> تُستكمل بحملات إعلانات ومسرحيات تلفزيونية ومحادثات إذاعية وحلقات دراسية، وتقديم جوائز لأفضل مستخدمي الأشخاص المعاقين وهلم جرا. ونتعاون، في شهر تشرين</w:t>
      </w:r>
      <w:r>
        <w:rPr>
          <w:rFonts w:hint="cs"/>
          <w:spacing w:val="0"/>
          <w:rtl/>
        </w:rPr>
        <w:t xml:space="preserve"> الأول/أكتوبر من كل سنة، مع الأجهزة الدستورية والمنظمات غير الحكومية على تنظيم "شهر للصحة العقلية" على نطاق الإقليم لإذكاء وعي الجمهور بالصحة العقلية وإدماج المصابين سابقاً بمرض عقلي. كما نموِّل الاحتفالات السنوية المحلية ب</w:t>
      </w:r>
      <w:r>
        <w:rPr>
          <w:spacing w:val="0"/>
          <w:rtl/>
        </w:rPr>
        <w:t>اليوم الدولي للمعوقين</w:t>
      </w:r>
      <w:r>
        <w:rPr>
          <w:rFonts w:hint="cs"/>
          <w:spacing w:val="0"/>
          <w:rtl/>
        </w:rPr>
        <w:t>.</w:t>
      </w:r>
    </w:p>
    <w:p w:rsidR="00000000" w:rsidRDefault="00443EC1">
      <w:pPr>
        <w:spacing w:before="180" w:after="180" w:line="360" w:lineRule="exact"/>
        <w:jc w:val="both"/>
        <w:rPr>
          <w:rFonts w:hint="cs"/>
          <w:spacing w:val="0"/>
          <w:rtl/>
        </w:rPr>
      </w:pPr>
      <w:r>
        <w:rPr>
          <w:rFonts w:hint="cs"/>
          <w:spacing w:val="0"/>
          <w:rtl/>
        </w:rPr>
        <w:t>662-</w:t>
      </w:r>
      <w:r>
        <w:rPr>
          <w:rFonts w:hint="cs"/>
          <w:spacing w:val="0"/>
          <w:rtl/>
        </w:rPr>
        <w:tab/>
        <w:t>وفي ا</w:t>
      </w:r>
      <w:r>
        <w:rPr>
          <w:rFonts w:hint="cs"/>
          <w:spacing w:val="0"/>
          <w:rtl/>
        </w:rPr>
        <w:t xml:space="preserve">لفترة 2002-2003، أنفقنا 1.5 مليون دولار من دولارات هونغ كونغ على برنامجي الاحتفال بانتهاء </w:t>
      </w:r>
      <w:r>
        <w:rPr>
          <w:spacing w:val="0"/>
          <w:rtl/>
        </w:rPr>
        <w:t xml:space="preserve">عقد </w:t>
      </w:r>
      <w:r>
        <w:rPr>
          <w:rFonts w:hint="cs"/>
          <w:spacing w:val="0"/>
          <w:rtl/>
        </w:rPr>
        <w:t xml:space="preserve">المعاقين في </w:t>
      </w:r>
      <w:r>
        <w:rPr>
          <w:spacing w:val="0"/>
          <w:rtl/>
        </w:rPr>
        <w:t xml:space="preserve">آسيا والمحيط الهادئ </w:t>
      </w:r>
      <w:r>
        <w:rPr>
          <w:rFonts w:hint="cs"/>
          <w:spacing w:val="0"/>
          <w:rtl/>
        </w:rPr>
        <w:t xml:space="preserve">(1993-2002) والاحتفال بالشروع في العقد الثاني. وعزز هذان البرنامجان الغرض من إقامة مجتمع يشمل المعوقين ويقبلهم، بمن فيهم المصابون </w:t>
      </w:r>
      <w:r>
        <w:rPr>
          <w:rFonts w:hint="cs"/>
          <w:spacing w:val="0"/>
          <w:rtl/>
        </w:rPr>
        <w:t>بخلل عقلي.</w:t>
      </w:r>
    </w:p>
    <w:p w:rsidR="00000000" w:rsidRDefault="00443EC1">
      <w:pPr>
        <w:spacing w:before="180" w:after="180" w:line="360" w:lineRule="exact"/>
        <w:jc w:val="both"/>
        <w:rPr>
          <w:rFonts w:hint="cs"/>
          <w:spacing w:val="0"/>
          <w:rtl/>
        </w:rPr>
      </w:pPr>
      <w:r>
        <w:rPr>
          <w:rFonts w:hint="cs"/>
          <w:spacing w:val="0"/>
          <w:rtl/>
        </w:rPr>
        <w:t>663-</w:t>
      </w:r>
      <w:r>
        <w:rPr>
          <w:rFonts w:hint="cs"/>
          <w:spacing w:val="0"/>
          <w:rtl/>
        </w:rPr>
        <w:tab/>
        <w:t>وأفادتنا آخر استقصاء لتتبع مواقف الجمهور من المعوقين أن ثمة قبول متزايد لدى سكان هونغ كونغ إزاء المعوقين. وسنواصل رصدنا للتغيرات التي تطرأ في مواقف الجمهور وسلوكه، لا سيما إزاء المختلين عقليا.</w:t>
      </w:r>
    </w:p>
    <w:p w:rsidR="00000000" w:rsidRDefault="00443EC1">
      <w:pPr>
        <w:spacing w:before="180" w:after="180" w:line="360" w:lineRule="exact"/>
        <w:jc w:val="both"/>
        <w:rPr>
          <w:b/>
          <w:bCs/>
          <w:spacing w:val="0"/>
          <w:rtl/>
        </w:rPr>
      </w:pPr>
      <w:r>
        <w:rPr>
          <w:b/>
          <w:bCs/>
          <w:spacing w:val="0"/>
          <w:rtl/>
        </w:rPr>
        <w:t>الصحة البيئية والصناعية</w:t>
      </w:r>
    </w:p>
    <w:p w:rsidR="00000000" w:rsidRDefault="00443EC1">
      <w:pPr>
        <w:spacing w:before="180" w:after="180" w:line="360" w:lineRule="exact"/>
        <w:jc w:val="both"/>
        <w:rPr>
          <w:i/>
          <w:iCs/>
          <w:spacing w:val="0"/>
          <w:rtl/>
        </w:rPr>
      </w:pPr>
      <w:r>
        <w:rPr>
          <w:i/>
          <w:iCs/>
          <w:spacing w:val="0"/>
          <w:rtl/>
        </w:rPr>
        <w:t>استراتيجية حماية البيئة</w:t>
      </w:r>
    </w:p>
    <w:p w:rsidR="00000000" w:rsidRDefault="00443EC1">
      <w:pPr>
        <w:spacing w:before="180" w:after="180" w:line="360" w:lineRule="exact"/>
        <w:jc w:val="both"/>
        <w:rPr>
          <w:rFonts w:hint="cs"/>
          <w:spacing w:val="0"/>
          <w:rtl/>
        </w:rPr>
      </w:pPr>
      <w:r>
        <w:rPr>
          <w:rFonts w:hint="cs"/>
          <w:spacing w:val="0"/>
          <w:rtl/>
        </w:rPr>
        <w:t>664-</w:t>
      </w:r>
      <w:r>
        <w:rPr>
          <w:rFonts w:hint="cs"/>
          <w:spacing w:val="0"/>
          <w:rtl/>
        </w:rPr>
        <w:tab/>
        <w:t xml:space="preserve">أوضح </w:t>
      </w:r>
      <w:r>
        <w:rPr>
          <w:spacing w:val="0"/>
          <w:rtl/>
        </w:rPr>
        <w:t>البيان المقدم من رئيس الهيئة التنفيذية بشأن السياسة العامة</w:t>
      </w:r>
      <w:r>
        <w:rPr>
          <w:rFonts w:hint="cs"/>
          <w:spacing w:val="0"/>
          <w:rtl/>
        </w:rPr>
        <w:t xml:space="preserve"> لسنة 1999 أن تلوث الهواء والماء والنفايات الصلبة هي أخطر المشاكل البيئية التي تواجهها هونغ كونغ واقترح خططا لحلّها. كما ألزم البيان الحكومة بمبدأ التنمية المستدامة.</w:t>
      </w:r>
    </w:p>
    <w:p w:rsidR="00000000" w:rsidRDefault="00443EC1">
      <w:pPr>
        <w:spacing w:line="380" w:lineRule="exact"/>
        <w:jc w:val="both"/>
        <w:rPr>
          <w:rFonts w:hint="cs"/>
          <w:i/>
          <w:iCs/>
          <w:spacing w:val="0"/>
          <w:rtl/>
        </w:rPr>
      </w:pPr>
      <w:r>
        <w:rPr>
          <w:rFonts w:hint="cs"/>
          <w:i/>
          <w:iCs/>
          <w:spacing w:val="0"/>
          <w:rtl/>
        </w:rPr>
        <w:t>إنشاء وحدة التنمية ال</w:t>
      </w:r>
      <w:r>
        <w:rPr>
          <w:rFonts w:hint="cs"/>
          <w:i/>
          <w:iCs/>
          <w:spacing w:val="0"/>
          <w:rtl/>
        </w:rPr>
        <w:t>مستدامة</w:t>
      </w:r>
    </w:p>
    <w:p w:rsidR="00000000" w:rsidRDefault="00443EC1">
      <w:pPr>
        <w:spacing w:line="380" w:lineRule="exact"/>
        <w:jc w:val="both"/>
        <w:rPr>
          <w:rFonts w:hint="cs"/>
          <w:spacing w:val="0"/>
          <w:rtl/>
        </w:rPr>
      </w:pPr>
      <w:r>
        <w:rPr>
          <w:rFonts w:hint="cs"/>
          <w:spacing w:val="0"/>
          <w:rtl/>
        </w:rPr>
        <w:t>665-</w:t>
      </w:r>
      <w:r>
        <w:rPr>
          <w:rFonts w:hint="cs"/>
          <w:spacing w:val="0"/>
          <w:rtl/>
        </w:rPr>
        <w:tab/>
        <w:t>أنشئت وحدة التنمية المستدامة في نيسان/أبريل 2001. وتعمل هذه الوحدة على التنسيق بين المبادرات لتعزيز التنمية المستدامة داخل الإدارة وخارجها. وأدرجت الوحدة، منذ نيسان/أبريل 2002، نظاماً لتقييم الاستدامة لإدماج مبادئ الاستدامة في عمليات اتخاذ الق</w:t>
      </w:r>
      <w:r>
        <w:rPr>
          <w:rFonts w:hint="cs"/>
          <w:spacing w:val="0"/>
          <w:rtl/>
        </w:rPr>
        <w:t>رار من قِبل الحكومة. كما أن الوحدة تعزز التنمية المستدامة في المجتمع. وفي عام 2002، أصدرت منشورات وتقارير ونظمت عروضا استكشافية وشاركت في منتديات وحلقات دراسية متعددة لتوضيح المسائل المتعلقة بالاستدامة ولاستكشافها.</w:t>
      </w:r>
    </w:p>
    <w:p w:rsidR="00000000" w:rsidRDefault="00443EC1">
      <w:pPr>
        <w:spacing w:line="380" w:lineRule="exact"/>
        <w:jc w:val="both"/>
        <w:rPr>
          <w:rFonts w:hint="cs"/>
          <w:i/>
          <w:iCs/>
          <w:spacing w:val="0"/>
          <w:rtl/>
        </w:rPr>
      </w:pPr>
      <w:r>
        <w:rPr>
          <w:rFonts w:hint="cs"/>
          <w:i/>
          <w:iCs/>
          <w:spacing w:val="0"/>
          <w:rtl/>
        </w:rPr>
        <w:t>تنفيذ نظام تقييم الاستدامة</w:t>
      </w:r>
    </w:p>
    <w:p w:rsidR="00000000" w:rsidRDefault="00443EC1">
      <w:pPr>
        <w:spacing w:line="380" w:lineRule="exact"/>
        <w:jc w:val="both"/>
        <w:rPr>
          <w:rFonts w:hint="cs"/>
          <w:spacing w:val="0"/>
          <w:rtl/>
        </w:rPr>
      </w:pPr>
      <w:r>
        <w:rPr>
          <w:rFonts w:hint="cs"/>
          <w:spacing w:val="0"/>
          <w:rtl/>
        </w:rPr>
        <w:t>666-</w:t>
      </w:r>
      <w:r>
        <w:rPr>
          <w:rFonts w:hint="cs"/>
          <w:spacing w:val="0"/>
          <w:rtl/>
        </w:rPr>
        <w:tab/>
        <w:t>دعيت الحك</w:t>
      </w:r>
      <w:r>
        <w:rPr>
          <w:rFonts w:hint="cs"/>
          <w:spacing w:val="0"/>
          <w:rtl/>
        </w:rPr>
        <w:t>ومة بمكاتبها ووزاراتها، منذ نيسان/أبريل 2002، إلى تقييم آثار الاستدامة بالنسبة لأهم مبادراتها وبرامجها ولتوضيح الاستنتاجات التي توصلت إليها في تقاريرها المقدمة إلى لجنة السياسات</w:t>
      </w:r>
      <w:r>
        <w:rPr>
          <w:rFonts w:hint="cs"/>
          <w:spacing w:val="0"/>
          <w:vertAlign w:val="superscript"/>
          <w:rtl/>
        </w:rPr>
        <w:t>(49)</w:t>
      </w:r>
      <w:r>
        <w:rPr>
          <w:rFonts w:hint="cs"/>
          <w:spacing w:val="0"/>
          <w:rtl/>
        </w:rPr>
        <w:t xml:space="preserve"> أو إلى المجلس التنفيذي. ويقتضي نظام تقييم الاستدامة من المكاتب والوزارات ت</w:t>
      </w:r>
      <w:r>
        <w:rPr>
          <w:rFonts w:hint="cs"/>
          <w:spacing w:val="0"/>
          <w:rtl/>
        </w:rPr>
        <w:t>حديد ما يمكن لأي تدبير جديد أن يخلفه من أثر على التنمية المستدامة في هونغ كونغ وتقييم هذا الأثر.</w:t>
      </w:r>
    </w:p>
    <w:p w:rsidR="00000000" w:rsidRDefault="00443EC1">
      <w:pPr>
        <w:spacing w:line="380" w:lineRule="exact"/>
        <w:jc w:val="both"/>
        <w:rPr>
          <w:i/>
          <w:iCs/>
          <w:spacing w:val="0"/>
          <w:rtl/>
        </w:rPr>
      </w:pPr>
      <w:r>
        <w:rPr>
          <w:i/>
          <w:iCs/>
          <w:spacing w:val="0"/>
          <w:rtl/>
        </w:rPr>
        <w:t>مكافحة تلوث المياه</w:t>
      </w:r>
    </w:p>
    <w:p w:rsidR="00000000" w:rsidRDefault="00443EC1">
      <w:pPr>
        <w:spacing w:line="380" w:lineRule="exact"/>
        <w:jc w:val="both"/>
        <w:rPr>
          <w:rFonts w:hint="cs"/>
          <w:i/>
          <w:iCs/>
          <w:spacing w:val="0"/>
          <w:rtl/>
        </w:rPr>
      </w:pPr>
      <w:r>
        <w:rPr>
          <w:rFonts w:hint="cs"/>
          <w:i/>
          <w:iCs/>
          <w:spacing w:val="0"/>
          <w:rtl/>
        </w:rPr>
        <w:tab/>
        <w:t>خطة معالجة منطقة الميناء</w:t>
      </w:r>
    </w:p>
    <w:p w:rsidR="00000000" w:rsidRDefault="00443EC1">
      <w:pPr>
        <w:spacing w:line="380" w:lineRule="exact"/>
        <w:jc w:val="both"/>
        <w:rPr>
          <w:rFonts w:hint="cs"/>
          <w:spacing w:val="0"/>
          <w:rtl/>
          <w:lang w:val="fr-CH"/>
        </w:rPr>
      </w:pPr>
      <w:r>
        <w:rPr>
          <w:rFonts w:hint="cs"/>
          <w:spacing w:val="0"/>
          <w:rtl/>
          <w:lang w:val="fr-CH"/>
        </w:rPr>
        <w:t>667-</w:t>
      </w:r>
      <w:r>
        <w:rPr>
          <w:rFonts w:hint="cs"/>
          <w:spacing w:val="0"/>
          <w:rtl/>
          <w:lang w:val="fr-CH"/>
        </w:rPr>
        <w:tab/>
        <w:t>حُدِّدت المرحلة الأولى من هذه الخطة في كانون الأول/ديسمبر 2001 وانطوت على الإبكار بتحسين ميناء فيكتوريا. ويعا</w:t>
      </w:r>
      <w:r>
        <w:rPr>
          <w:rFonts w:hint="cs"/>
          <w:spacing w:val="0"/>
          <w:rtl/>
          <w:lang w:val="fr-CH"/>
        </w:rPr>
        <w:t>لج نظام المرحلة الأولى 70 في المائة من مجاري مياه المناطق الحضرية والمتجمعة حول ميناء فيكتوريا (حوالي 1.3 مليون متر مكعب)، كما تعمل هذه المرحلة على منع تسرب 600 طن من الحمأة إلى مينائنا يوميا. وفي تشرين الثاني/نوفمبر 2000، أبدى فريق استعراض دولي توصيات بشأ</w:t>
      </w:r>
      <w:r>
        <w:rPr>
          <w:rFonts w:hint="cs"/>
          <w:spacing w:val="0"/>
          <w:rtl/>
          <w:lang w:val="fr-CH"/>
        </w:rPr>
        <w:t>ن المراحل المتبقية من الخطة، ونُجري اليوم تجارب ودراسات لتقييم هذه المراحل. وستمتد هذه التجارب والدراسات حتى أواخر عام 2003 وسنستشير الجمهور حول مستقبلها بعد إطلاعه على ما توصلنا إليه من نتائج.</w:t>
      </w:r>
    </w:p>
    <w:p w:rsidR="00000000" w:rsidRDefault="00443EC1">
      <w:pPr>
        <w:spacing w:line="380" w:lineRule="exact"/>
        <w:jc w:val="both"/>
        <w:rPr>
          <w:i/>
          <w:iCs/>
          <w:spacing w:val="0"/>
          <w:rtl/>
        </w:rPr>
      </w:pPr>
      <w:r>
        <w:rPr>
          <w:rFonts w:hint="cs"/>
          <w:i/>
          <w:iCs/>
          <w:spacing w:val="0"/>
          <w:rtl/>
        </w:rPr>
        <w:tab/>
      </w:r>
      <w:r>
        <w:rPr>
          <w:i/>
          <w:iCs/>
          <w:spacing w:val="0"/>
          <w:rtl/>
        </w:rPr>
        <w:t>نوعية المياه في الشواطئ</w:t>
      </w:r>
    </w:p>
    <w:p w:rsidR="00000000" w:rsidRDefault="00443EC1">
      <w:pPr>
        <w:spacing w:line="380" w:lineRule="exact"/>
        <w:jc w:val="both"/>
        <w:rPr>
          <w:rFonts w:hint="cs"/>
          <w:spacing w:val="0"/>
          <w:rtl/>
          <w:lang w:val="fr-CH"/>
        </w:rPr>
      </w:pPr>
      <w:r>
        <w:rPr>
          <w:rFonts w:hint="cs"/>
          <w:spacing w:val="0"/>
          <w:rtl/>
          <w:lang w:val="fr-CH"/>
        </w:rPr>
        <w:t>668-</w:t>
      </w:r>
      <w:r>
        <w:rPr>
          <w:rFonts w:hint="cs"/>
          <w:spacing w:val="0"/>
          <w:rtl/>
          <w:lang w:val="fr-CH"/>
        </w:rPr>
        <w:tab/>
        <w:t>تحسنت نوعية المياه في الشواطئ بف</w:t>
      </w:r>
      <w:r>
        <w:rPr>
          <w:rFonts w:hint="cs"/>
          <w:spacing w:val="0"/>
          <w:rtl/>
          <w:lang w:val="fr-CH"/>
        </w:rPr>
        <w:t>ضل ا</w:t>
      </w:r>
      <w:r>
        <w:rPr>
          <w:spacing w:val="0"/>
          <w:rtl/>
          <w:lang w:val="fr-CH"/>
        </w:rPr>
        <w:t xml:space="preserve">لإتاحة التدريجية </w:t>
      </w:r>
      <w:r>
        <w:rPr>
          <w:rFonts w:hint="cs"/>
          <w:spacing w:val="0"/>
          <w:rtl/>
          <w:lang w:val="fr-CH"/>
        </w:rPr>
        <w:t>للمعالجة المحلية لمياه المجاري وتحسين هذه المعالجة. ففي عام 2002، استجاب 33 شاطئاً من أصل 41 شاطئا (81 في المائة) وارداً في القائمة الرسمية لشواطئ المنطقة للشروط المتعلقة بنوعية المياه في شواطئ الاستحمام، وحظي 23 منها لرتبة جيد و10 منه</w:t>
      </w:r>
      <w:r>
        <w:rPr>
          <w:rFonts w:hint="cs"/>
          <w:spacing w:val="0"/>
          <w:rtl/>
          <w:lang w:val="fr-CH"/>
        </w:rPr>
        <w:t>ا لرتبة حسن و2 رديء و6 جد رديء. ولا تزال حالة ثمانية شواطئ تصنف كرديئة أو جد رديئة لأنها لا تزال عرضة للتلوث الذي تصبه المناطق الساحلية وكذلك جراء تصريف مياه المجاري غير المعالجة من مناطق الميناء التي لم تشملها بعدُ المرحلة الثانية من خطة معالجة منطقة المي</w:t>
      </w:r>
      <w:r>
        <w:rPr>
          <w:rFonts w:hint="cs"/>
          <w:spacing w:val="0"/>
          <w:rtl/>
          <w:lang w:val="fr-CH"/>
        </w:rPr>
        <w:t>ناء. وسنواصل العمل على تحسين أعمال معالجة شبكات ومياه المجاري.</w:t>
      </w:r>
    </w:p>
    <w:p w:rsidR="00000000" w:rsidRDefault="00443EC1">
      <w:pPr>
        <w:spacing w:line="380" w:lineRule="exact"/>
        <w:jc w:val="both"/>
        <w:rPr>
          <w:rFonts w:hint="cs"/>
          <w:i/>
          <w:iCs/>
          <w:spacing w:val="0"/>
          <w:rtl/>
        </w:rPr>
      </w:pPr>
    </w:p>
    <w:p w:rsidR="00000000" w:rsidRDefault="00443EC1">
      <w:pPr>
        <w:spacing w:line="380" w:lineRule="exact"/>
        <w:jc w:val="both"/>
        <w:rPr>
          <w:rFonts w:hint="cs"/>
          <w:i/>
          <w:iCs/>
          <w:spacing w:val="0"/>
          <w:rtl/>
        </w:rPr>
      </w:pPr>
    </w:p>
    <w:p w:rsidR="00000000" w:rsidRDefault="00443EC1">
      <w:pPr>
        <w:spacing w:line="380" w:lineRule="exact"/>
        <w:jc w:val="both"/>
        <w:rPr>
          <w:rFonts w:hint="cs"/>
          <w:i/>
          <w:iCs/>
          <w:spacing w:val="0"/>
          <w:rtl/>
        </w:rPr>
      </w:pPr>
      <w:r>
        <w:rPr>
          <w:rFonts w:hint="cs"/>
          <w:i/>
          <w:iCs/>
          <w:spacing w:val="0"/>
          <w:rtl/>
        </w:rPr>
        <w:tab/>
      </w:r>
      <w:r>
        <w:rPr>
          <w:i/>
          <w:iCs/>
          <w:spacing w:val="0"/>
          <w:rtl/>
        </w:rPr>
        <w:t>نوعية الماء في المياه البحرية</w:t>
      </w:r>
    </w:p>
    <w:p w:rsidR="00000000" w:rsidRDefault="00443EC1">
      <w:pPr>
        <w:spacing w:line="380" w:lineRule="exact"/>
        <w:jc w:val="both"/>
        <w:rPr>
          <w:rFonts w:hint="cs"/>
          <w:spacing w:val="0"/>
          <w:rtl/>
          <w:lang w:val="fr-CH"/>
        </w:rPr>
      </w:pPr>
      <w:r>
        <w:rPr>
          <w:rFonts w:hint="cs"/>
          <w:spacing w:val="0"/>
          <w:rtl/>
          <w:lang w:val="fr-CH"/>
        </w:rPr>
        <w:t>669-</w:t>
      </w:r>
      <w:r>
        <w:rPr>
          <w:rFonts w:hint="cs"/>
          <w:spacing w:val="0"/>
          <w:rtl/>
          <w:lang w:val="fr-CH"/>
        </w:rPr>
        <w:tab/>
        <w:t>لا تزال نوعية المياه في خليج ديب على الحالة الوارد وصفها في الفقرة 472 من التقرير الأولي. وللأسباب المذكورة في الفقرة 667 أعلاه، شهدت المناطق الوسطى والشرق</w:t>
      </w:r>
      <w:r>
        <w:rPr>
          <w:rFonts w:hint="cs"/>
          <w:spacing w:val="0"/>
          <w:rtl/>
          <w:lang w:val="fr-CH"/>
        </w:rPr>
        <w:t>ية من ميناء فيكتوريا تحسّنا هاما: إذ ارتفع الأكسجين المذاب بنسبة تتراوح بين 20 و30 في المائة، وتناقص غاز النشادر بنسبة تتراوح بين 20 و50 في المائة، كما تقلصت مستويات البكتيريا بحوالي 90 في المائة. بيد أن الجهة الغربية من الميناء لا تزال عرضة لتصريف مياه ال</w:t>
      </w:r>
      <w:r>
        <w:rPr>
          <w:rFonts w:hint="cs"/>
          <w:spacing w:val="0"/>
          <w:rtl/>
          <w:lang w:val="fr-CH"/>
        </w:rPr>
        <w:t>مجاري غير المعالجة الواردة من مناطق لم تشملها بعدُ المرحلة الأولى من خطة معالجة منطقة الميناء، ولم نحرز إلا بعض التقدم في هذه المناطق (أي ارتفاع ضئيل في نسبة الأكسجين المذاب والقليل من التقلص في نسبة غاز النشادر). ويتوقف تحقيق المزيد من التقدم في مياه المي</w:t>
      </w:r>
      <w:r>
        <w:rPr>
          <w:rFonts w:hint="cs"/>
          <w:spacing w:val="0"/>
          <w:rtl/>
          <w:lang w:val="fr-CH"/>
        </w:rPr>
        <w:t>ناء على تنفيذ المراحل المتبقية من الخطة.</w:t>
      </w:r>
    </w:p>
    <w:p w:rsidR="00000000" w:rsidRDefault="00443EC1">
      <w:pPr>
        <w:spacing w:line="380" w:lineRule="exact"/>
        <w:jc w:val="both"/>
        <w:rPr>
          <w:rFonts w:hint="cs"/>
          <w:i/>
          <w:iCs/>
          <w:spacing w:val="0"/>
          <w:rtl/>
        </w:rPr>
      </w:pPr>
      <w:r>
        <w:rPr>
          <w:rFonts w:hint="cs"/>
          <w:i/>
          <w:iCs/>
          <w:spacing w:val="0"/>
          <w:rtl/>
        </w:rPr>
        <w:tab/>
      </w:r>
      <w:r>
        <w:rPr>
          <w:i/>
          <w:iCs/>
          <w:spacing w:val="0"/>
          <w:rtl/>
        </w:rPr>
        <w:t>التخلص من النفايات الصلبة</w:t>
      </w:r>
    </w:p>
    <w:p w:rsidR="00000000" w:rsidRDefault="00443EC1">
      <w:pPr>
        <w:spacing w:line="380" w:lineRule="exact"/>
        <w:jc w:val="both"/>
        <w:rPr>
          <w:rFonts w:hint="cs"/>
          <w:spacing w:val="0"/>
          <w:rtl/>
          <w:lang w:val="fr-CH"/>
        </w:rPr>
      </w:pPr>
      <w:r>
        <w:rPr>
          <w:rFonts w:hint="cs"/>
          <w:spacing w:val="0"/>
          <w:rtl/>
          <w:lang w:val="fr-CH"/>
        </w:rPr>
        <w:t>670-</w:t>
      </w:r>
      <w:r>
        <w:rPr>
          <w:rFonts w:hint="cs"/>
          <w:spacing w:val="0"/>
          <w:rtl/>
          <w:lang w:val="fr-CH"/>
        </w:rPr>
        <w:tab/>
        <w:t xml:space="preserve"> من المزمع أن تدخل ضوابط قانونية جديدة خاصة بمعالجة النفايات الطبية وجمعها وتصريفها حيز النفاذ في عام 2004 مع إدخال تعديلات على قانون تصريف النفايات (الفصل 354). ونعتزم استخدام </w:t>
      </w:r>
      <w:r>
        <w:rPr>
          <w:spacing w:val="0"/>
          <w:rtl/>
          <w:lang w:val="fr-CH"/>
        </w:rPr>
        <w:t>مركز م</w:t>
      </w:r>
      <w:r>
        <w:rPr>
          <w:spacing w:val="0"/>
          <w:rtl/>
          <w:lang w:val="fr-CH"/>
        </w:rPr>
        <w:t>عالجة النفايات الكيميائية</w:t>
      </w:r>
      <w:r>
        <w:rPr>
          <w:rFonts w:hint="cs"/>
          <w:spacing w:val="0"/>
          <w:rtl/>
          <w:lang w:val="fr-CH"/>
        </w:rPr>
        <w:t xml:space="preserve"> (انظر الفقرة 474 من التقرير الأولي) لمعالجة النفايات الطبية فور دخول الضوابط حيز النفاذ. وأفدنا كذلك، في الفقرة 474، بأننا نعتزم بناء محرقة لأجساد الحيوانات. أما دراسة الجدوى المصرح بها في هذه الفقرة فيجري حاليا النظر فيها.</w:t>
      </w:r>
    </w:p>
    <w:p w:rsidR="00000000" w:rsidRDefault="00443EC1">
      <w:pPr>
        <w:spacing w:line="380" w:lineRule="exact"/>
        <w:jc w:val="both"/>
        <w:rPr>
          <w:rFonts w:hint="cs"/>
          <w:i/>
          <w:iCs/>
          <w:spacing w:val="0"/>
          <w:rtl/>
        </w:rPr>
      </w:pPr>
      <w:r>
        <w:rPr>
          <w:rFonts w:hint="cs"/>
          <w:i/>
          <w:iCs/>
          <w:spacing w:val="0"/>
          <w:rtl/>
        </w:rPr>
        <w:tab/>
        <w:t xml:space="preserve">الحد </w:t>
      </w:r>
      <w:r>
        <w:rPr>
          <w:rFonts w:hint="cs"/>
          <w:i/>
          <w:iCs/>
          <w:spacing w:val="0"/>
          <w:rtl/>
        </w:rPr>
        <w:t>من النفايات</w:t>
      </w:r>
    </w:p>
    <w:p w:rsidR="00000000" w:rsidRDefault="00443EC1">
      <w:pPr>
        <w:spacing w:line="380" w:lineRule="exact"/>
        <w:jc w:val="both"/>
        <w:rPr>
          <w:rFonts w:hint="cs"/>
          <w:spacing w:val="0"/>
          <w:rtl/>
          <w:lang w:val="fr-CH"/>
        </w:rPr>
      </w:pPr>
      <w:r>
        <w:rPr>
          <w:rFonts w:hint="cs"/>
          <w:spacing w:val="0"/>
          <w:rtl/>
          <w:lang w:val="fr-CH"/>
        </w:rPr>
        <w:t>671-</w:t>
      </w:r>
      <w:r>
        <w:rPr>
          <w:rFonts w:hint="cs"/>
          <w:spacing w:val="0"/>
          <w:rtl/>
          <w:lang w:val="fr-CH"/>
        </w:rPr>
        <w:tab/>
        <w:t xml:space="preserve">لا تزال </w:t>
      </w:r>
      <w:r>
        <w:rPr>
          <w:spacing w:val="0"/>
          <w:rtl/>
          <w:lang w:val="fr-CH"/>
        </w:rPr>
        <w:t>الخطة الإطارية للحد من النفايات</w:t>
      </w:r>
      <w:r>
        <w:rPr>
          <w:rFonts w:hint="cs"/>
          <w:spacing w:val="0"/>
          <w:rtl/>
          <w:lang w:val="fr-CH"/>
        </w:rPr>
        <w:t xml:space="preserve">، التي انطلقت عام 1998 (الفقرة 475 من التقرير الأولي) فعالة. وتنطوي استراتيجية إدارة النفايات التي وضعناها على تجنب النفايات والحد منها؛ وعلى </w:t>
      </w:r>
      <w:r>
        <w:rPr>
          <w:spacing w:val="0"/>
          <w:rtl/>
          <w:lang w:val="fr-CH"/>
        </w:rPr>
        <w:t xml:space="preserve">إعادة </w:t>
      </w:r>
      <w:r>
        <w:rPr>
          <w:rFonts w:hint="cs"/>
          <w:spacing w:val="0"/>
          <w:rtl/>
          <w:lang w:val="fr-CH"/>
        </w:rPr>
        <w:t>استخدامها وإعادة</w:t>
      </w:r>
      <w:r>
        <w:rPr>
          <w:spacing w:val="0"/>
          <w:rtl/>
          <w:lang w:val="fr-CH"/>
        </w:rPr>
        <w:t xml:space="preserve"> تدوير</w:t>
      </w:r>
      <w:r>
        <w:rPr>
          <w:rFonts w:hint="cs"/>
          <w:spacing w:val="0"/>
          <w:rtl/>
          <w:lang w:val="fr-CH"/>
        </w:rPr>
        <w:t>ها؛ وعلى معالجة النفايات القاب</w:t>
      </w:r>
      <w:r>
        <w:rPr>
          <w:rFonts w:hint="cs"/>
          <w:spacing w:val="0"/>
          <w:rtl/>
          <w:lang w:val="fr-CH"/>
        </w:rPr>
        <w:t>لة للتدوير وتصريفها. وينطوي مجال التركيز على الوقاية من النفايات واستخلاص ما بقي بها من مواد نافعة.</w:t>
      </w:r>
    </w:p>
    <w:p w:rsidR="00000000" w:rsidRDefault="00443EC1">
      <w:pPr>
        <w:spacing w:line="380" w:lineRule="exact"/>
        <w:jc w:val="both"/>
        <w:rPr>
          <w:i/>
          <w:iCs/>
          <w:spacing w:val="0"/>
          <w:rtl/>
        </w:rPr>
      </w:pPr>
      <w:r>
        <w:rPr>
          <w:i/>
          <w:iCs/>
          <w:spacing w:val="0"/>
          <w:rtl/>
        </w:rPr>
        <w:t>مراقبة تلوث الهواء</w:t>
      </w:r>
    </w:p>
    <w:p w:rsidR="00000000" w:rsidRDefault="00443EC1">
      <w:pPr>
        <w:spacing w:line="380" w:lineRule="exact"/>
        <w:jc w:val="both"/>
        <w:rPr>
          <w:rFonts w:hint="cs"/>
          <w:spacing w:val="0"/>
          <w:rtl/>
          <w:lang w:val="fr-CH"/>
        </w:rPr>
      </w:pPr>
      <w:r>
        <w:rPr>
          <w:rFonts w:hint="cs"/>
          <w:spacing w:val="0"/>
          <w:rtl/>
          <w:lang w:val="fr-CH"/>
        </w:rPr>
        <w:t>672-</w:t>
      </w:r>
      <w:r>
        <w:rPr>
          <w:rFonts w:hint="cs"/>
          <w:spacing w:val="0"/>
          <w:rtl/>
          <w:lang w:val="fr-CH"/>
        </w:rPr>
        <w:tab/>
        <w:t>أعلنّا، في عام 1999، عن وضع برنامج شامل للحد من انبعاثات السيارات بهدف تحسين نوعية الهواء. وبعد تنفيذ البرنامج بالتمام، نتوقع أن تنخ</w:t>
      </w:r>
      <w:r>
        <w:rPr>
          <w:rFonts w:hint="cs"/>
          <w:spacing w:val="0"/>
          <w:rtl/>
          <w:lang w:val="fr-CH"/>
        </w:rPr>
        <w:t>فض انبعاثات الجسيمات (الجسيمات العالقة القابلة للاستنشاق) وأكاسيد النيتروجين من المركبات الآلية - وهما أهم ملوثين للهواء في هونغ كونغ - بنسبة تتراوح بين 80 و30 في المائة على التوالي مع أواخر عام 2005.</w:t>
      </w:r>
    </w:p>
    <w:p w:rsidR="00000000" w:rsidRDefault="00443EC1">
      <w:pPr>
        <w:spacing w:line="380" w:lineRule="exact"/>
        <w:jc w:val="both"/>
        <w:rPr>
          <w:rFonts w:hint="cs"/>
          <w:spacing w:val="0"/>
          <w:rtl/>
          <w:lang w:val="fr-CH"/>
        </w:rPr>
      </w:pPr>
      <w:r>
        <w:rPr>
          <w:rFonts w:hint="cs"/>
          <w:spacing w:val="0"/>
          <w:rtl/>
          <w:lang w:val="fr-CH"/>
        </w:rPr>
        <w:t>673-</w:t>
      </w:r>
      <w:r>
        <w:rPr>
          <w:rFonts w:hint="cs"/>
          <w:spacing w:val="0"/>
          <w:rtl/>
          <w:lang w:val="fr-CH"/>
        </w:rPr>
        <w:tab/>
        <w:t>وتشتمل التدابير التي اتخذناها أو التي نتخذها حاليا</w:t>
      </w:r>
      <w:r>
        <w:rPr>
          <w:rFonts w:hint="cs"/>
          <w:spacing w:val="0"/>
          <w:rtl/>
          <w:lang w:val="fr-CH"/>
        </w:rPr>
        <w:t xml:space="preserve"> على ما يلي:</w:t>
      </w:r>
    </w:p>
    <w:p w:rsidR="00000000" w:rsidRDefault="00443EC1">
      <w:pPr>
        <w:spacing w:line="380" w:lineRule="exact"/>
        <w:jc w:val="both"/>
        <w:rPr>
          <w:rFonts w:hint="cs"/>
          <w:spacing w:val="0"/>
          <w:rtl/>
          <w:lang w:val="fr-CH"/>
        </w:rPr>
      </w:pPr>
      <w:r>
        <w:rPr>
          <w:rFonts w:hint="cs"/>
          <w:spacing w:val="0"/>
          <w:rtl/>
          <w:lang w:val="fr-CH"/>
        </w:rPr>
        <w:tab/>
        <w:t>(أ)</w:t>
      </w:r>
      <w:r>
        <w:rPr>
          <w:rFonts w:hint="cs"/>
          <w:spacing w:val="0"/>
          <w:rtl/>
          <w:lang w:val="fr-CH"/>
        </w:rPr>
        <w:tab/>
        <w:t>الاستعاضة عن سيارات الأجرة التي تعمل بالديزل بسيارات أخرى تعمل ب</w:t>
      </w:r>
      <w:r>
        <w:rPr>
          <w:spacing w:val="0"/>
          <w:rtl/>
          <w:lang w:val="fr-CH"/>
        </w:rPr>
        <w:t>غاز النفط السائل</w:t>
      </w:r>
      <w:r>
        <w:rPr>
          <w:rFonts w:hint="cs"/>
          <w:spacing w:val="0"/>
          <w:rtl/>
          <w:lang w:val="fr-CH"/>
        </w:rPr>
        <w:t>: إذ استعيض عن 93 في المائة من هذه السيارات (أي ما يربو على 800 16 سيارة أجرة) في إطار خطة حوافز بدأ العمل بها في آب/أغسطس 2000؛</w:t>
      </w:r>
    </w:p>
    <w:p w:rsidR="00000000" w:rsidRDefault="00443EC1">
      <w:pPr>
        <w:spacing w:line="380" w:lineRule="exact"/>
        <w:jc w:val="both"/>
        <w:rPr>
          <w:rFonts w:hint="cs"/>
          <w:spacing w:val="0"/>
          <w:rtl/>
          <w:lang w:val="fr-CH"/>
        </w:rPr>
      </w:pPr>
      <w:r>
        <w:rPr>
          <w:rFonts w:hint="cs"/>
          <w:spacing w:val="0"/>
          <w:rtl/>
          <w:lang w:val="fr-CH"/>
        </w:rPr>
        <w:tab/>
        <w:t>ب)</w:t>
      </w:r>
      <w:r>
        <w:rPr>
          <w:rFonts w:hint="cs"/>
          <w:spacing w:val="0"/>
          <w:rtl/>
          <w:lang w:val="fr-CH"/>
        </w:rPr>
        <w:tab/>
        <w:t>الاستعاضة عن الحافلات الخ</w:t>
      </w:r>
      <w:r>
        <w:rPr>
          <w:rFonts w:hint="cs"/>
          <w:spacing w:val="0"/>
          <w:rtl/>
          <w:lang w:val="fr-CH"/>
        </w:rPr>
        <w:t>فيفة التي تعمل بالديزل بحافلات تعمل بغاز النفط السائل: فقد بدأ العمل بخطة حوافز لتشجيع الإبكار بالاستعاضة عن الحافلات الخفيفة التي تعمل بالديزل في آب/أغسطس 2002؛</w:t>
      </w:r>
    </w:p>
    <w:p w:rsidR="00000000" w:rsidRDefault="00443EC1">
      <w:pPr>
        <w:spacing w:line="380" w:lineRule="exact"/>
        <w:jc w:val="both"/>
        <w:rPr>
          <w:rFonts w:hint="cs"/>
          <w:spacing w:val="0"/>
          <w:rtl/>
          <w:lang w:val="fr-CH"/>
        </w:rPr>
      </w:pPr>
      <w:r>
        <w:rPr>
          <w:rFonts w:hint="cs"/>
          <w:spacing w:val="0"/>
          <w:rtl/>
          <w:lang w:val="fr-CH"/>
        </w:rPr>
        <w:tab/>
        <w:t>(ج)</w:t>
      </w:r>
      <w:r>
        <w:rPr>
          <w:rFonts w:hint="cs"/>
          <w:spacing w:val="0"/>
          <w:rtl/>
          <w:lang w:val="fr-CH"/>
        </w:rPr>
        <w:tab/>
        <w:t>إدراج الديزل الذي يحتوي على نسبة جد منخفضة من الكبريت (على ألا تتجاوز نسبة الكبريت 50 جزء</w:t>
      </w:r>
      <w:r>
        <w:rPr>
          <w:rFonts w:hint="cs"/>
          <w:spacing w:val="0"/>
          <w:rtl/>
          <w:lang w:val="fr-CH"/>
        </w:rPr>
        <w:t xml:space="preserve"> من المليون): فمنذ أيلول/سبتمبر 2000، أصبح الديزل الذي يحتوي على نسبة جد منخفضة من الكبريت المادة الوحيدة التي تعمل بها المركبات في هونغ كونغ، وهو في الوقت الحاضر المعيار القانوني للمركبات التي تعمل بالديزل؛</w:t>
      </w:r>
    </w:p>
    <w:p w:rsidR="00000000" w:rsidRDefault="00443EC1">
      <w:pPr>
        <w:spacing w:line="380" w:lineRule="exact"/>
        <w:jc w:val="both"/>
        <w:rPr>
          <w:rFonts w:hint="cs"/>
          <w:spacing w:val="0"/>
          <w:rtl/>
          <w:lang w:val="fr-CH"/>
        </w:rPr>
      </w:pPr>
      <w:r>
        <w:rPr>
          <w:rFonts w:hint="cs"/>
          <w:spacing w:val="0"/>
          <w:rtl/>
          <w:lang w:val="fr-CH"/>
        </w:rPr>
        <w:tab/>
        <w:t>(د)</w:t>
      </w:r>
      <w:r>
        <w:rPr>
          <w:rFonts w:hint="cs"/>
          <w:spacing w:val="0"/>
          <w:rtl/>
          <w:lang w:val="fr-CH"/>
        </w:rPr>
        <w:tab/>
        <w:t>مواءمة المركبات العتيقة التي تعمل بالديزل ب</w:t>
      </w:r>
      <w:r>
        <w:rPr>
          <w:rFonts w:hint="cs"/>
          <w:spacing w:val="0"/>
          <w:rtl/>
          <w:lang w:val="fr-CH"/>
        </w:rPr>
        <w:t>تجهيزها بمعدات للحد من الجسيمات: إذ تمت مواءمة ما يزيد على 80 في المائة من المركبات الخفيفة التي كانت تعمل سابقاً بالديزل الأوروبي من خلال مد أصحابها بإعانات مالية. وقد بدأ العمل، في أواخر عام 2002، ببرنامج مشابه فيما يتعلق بالمركبات الثقيلة التي كانت تعمل</w:t>
      </w:r>
      <w:r>
        <w:rPr>
          <w:rFonts w:hint="cs"/>
          <w:spacing w:val="0"/>
          <w:rtl/>
          <w:lang w:val="fr-CH"/>
        </w:rPr>
        <w:t xml:space="preserve"> سابقا بالديزل الأوروبي؛</w:t>
      </w:r>
    </w:p>
    <w:p w:rsidR="00000000" w:rsidRDefault="00443EC1">
      <w:pPr>
        <w:spacing w:line="380" w:lineRule="exact"/>
        <w:jc w:val="both"/>
        <w:rPr>
          <w:rFonts w:hint="cs"/>
          <w:spacing w:val="0"/>
          <w:rtl/>
          <w:lang w:val="fr-CH"/>
        </w:rPr>
      </w:pPr>
      <w:r>
        <w:rPr>
          <w:rFonts w:hint="cs"/>
          <w:spacing w:val="0"/>
          <w:rtl/>
          <w:lang w:val="fr-CH"/>
        </w:rPr>
        <w:tab/>
        <w:t>(ه‍‍‍)</w:t>
      </w:r>
      <w:r>
        <w:rPr>
          <w:rFonts w:hint="cs"/>
          <w:spacing w:val="0"/>
          <w:rtl/>
          <w:lang w:val="fr-CH"/>
        </w:rPr>
        <w:tab/>
        <w:t>زيادة التشدد والتفتيش على المركبات التي تعد مصدراً لانبعاثات مفرطة: إذ ارتفعت الغرامة المفروضة على المركبات التي تصدر دخانا لتصل إلى 000 1 دولار من دولارات هونغ كونغ (أي ما يعادل 128 دولاراً من دولارات الولايات المتحدة) وفُ</w:t>
      </w:r>
      <w:r>
        <w:rPr>
          <w:rFonts w:hint="cs"/>
          <w:spacing w:val="0"/>
          <w:rtl/>
          <w:lang w:val="fr-CH"/>
        </w:rPr>
        <w:t>رِض على جميع أصحاب المركبات التي اكتشف أنها تصدر دخاناً إخضاع مركباتهم إلى اختبار مقياس قوة الانبعاث وإلا سُحبت منهم تراخيص هذه المركبات؛</w:t>
      </w:r>
    </w:p>
    <w:p w:rsidR="00000000" w:rsidRDefault="00443EC1">
      <w:pPr>
        <w:spacing w:line="380" w:lineRule="exact"/>
        <w:jc w:val="both"/>
        <w:rPr>
          <w:rFonts w:hint="cs"/>
          <w:spacing w:val="0"/>
          <w:rtl/>
          <w:lang w:val="fr-CH"/>
        </w:rPr>
      </w:pPr>
      <w:r>
        <w:rPr>
          <w:rFonts w:hint="cs"/>
          <w:spacing w:val="0"/>
          <w:rtl/>
          <w:lang w:val="fr-CH"/>
        </w:rPr>
        <w:tab/>
        <w:t>(و)</w:t>
      </w:r>
      <w:r>
        <w:rPr>
          <w:rFonts w:hint="cs"/>
          <w:spacing w:val="0"/>
          <w:rtl/>
          <w:lang w:val="fr-CH"/>
        </w:rPr>
        <w:tab/>
        <w:t>فرض شروط صارمة خاصة بالانبعاثات على المركبات المسجّلة حديثاً: فنحن نتقدم خطوة خطوة مع الاتحاد الأوروبي كما أننا أ</w:t>
      </w:r>
      <w:r>
        <w:rPr>
          <w:rFonts w:hint="cs"/>
          <w:spacing w:val="0"/>
          <w:rtl/>
          <w:lang w:val="fr-CH"/>
        </w:rPr>
        <w:t>درجنا المعايير الأوروبية من الصنف الثالث.</w:t>
      </w:r>
    </w:p>
    <w:p w:rsidR="00000000" w:rsidRDefault="00443EC1">
      <w:pPr>
        <w:spacing w:line="380" w:lineRule="exact"/>
        <w:jc w:val="both"/>
        <w:rPr>
          <w:rFonts w:hint="cs"/>
          <w:spacing w:val="0"/>
          <w:rtl/>
          <w:lang w:val="fr-CH"/>
        </w:rPr>
      </w:pPr>
      <w:r>
        <w:rPr>
          <w:rFonts w:hint="cs"/>
          <w:spacing w:val="0"/>
          <w:rtl/>
          <w:lang w:val="fr-CH"/>
        </w:rPr>
        <w:t>674-</w:t>
      </w:r>
      <w:r>
        <w:rPr>
          <w:rFonts w:hint="cs"/>
          <w:spacing w:val="0"/>
          <w:rtl/>
          <w:lang w:val="fr-CH"/>
        </w:rPr>
        <w:tab/>
        <w:t xml:space="preserve">ولقد خلَّفت هذه التدابير آثاراً إيجابية. إذ انخفض تمركز الجسيمات العالقة القابلة للاستنشاق في جوانب الطريق في المدن، في عام 2002، بنسبة 19 في المائة كما انخفض تمركز أكاسيد النيتروجين بنسبة 16 في المائة مقارنة </w:t>
      </w:r>
      <w:r>
        <w:rPr>
          <w:rFonts w:hint="cs"/>
          <w:spacing w:val="0"/>
          <w:rtl/>
          <w:lang w:val="fr-CH"/>
        </w:rPr>
        <w:t>مع مستويات عام 1999. وفي الفترة ذاتها، انخفض عدد الحالات التي تم فيها تجاوز أهداف نوعية الهواء على المدى القصير بنسبة 70 في المائة. ونتوقع أن يُحرز المزيد من التقدم مع تقدّم برنامج التدابير.</w:t>
      </w:r>
    </w:p>
    <w:p w:rsidR="00000000" w:rsidRDefault="00443EC1">
      <w:pPr>
        <w:spacing w:line="380" w:lineRule="exact"/>
        <w:jc w:val="both"/>
        <w:rPr>
          <w:rFonts w:hint="cs"/>
          <w:spacing w:val="0"/>
          <w:rtl/>
          <w:lang w:val="fr-CH"/>
        </w:rPr>
      </w:pPr>
      <w:r>
        <w:rPr>
          <w:rFonts w:hint="cs"/>
          <w:spacing w:val="0"/>
          <w:rtl/>
          <w:lang w:val="fr-CH"/>
        </w:rPr>
        <w:t>675-</w:t>
      </w:r>
      <w:r>
        <w:rPr>
          <w:rFonts w:hint="cs"/>
          <w:spacing w:val="0"/>
          <w:rtl/>
          <w:lang w:val="fr-CH"/>
        </w:rPr>
        <w:tab/>
        <w:t>ونحن نعمل مع حكومة مقاطعة غوانغدونغ لتحسين نوعية الهواء الإق</w:t>
      </w:r>
      <w:r>
        <w:rPr>
          <w:rFonts w:hint="cs"/>
          <w:spacing w:val="0"/>
          <w:rtl/>
          <w:lang w:val="fr-CH"/>
        </w:rPr>
        <w:t>ليمي. وفي نسيان/أبريل 2002، أجمعت الحكومتان، على أساس أفضل المساعي، على تقليص انبعاثات الملوثات الأربعة الرئيسية على الصعيد الإقليمي (ثاني أكسيد الكبريت والجسيمات العالقة القابلة للاستنشاق وأكاسيد النيتروجين والمركبات العضوية المتطايرة). ويكمن الهدف من ذلك</w:t>
      </w:r>
      <w:r>
        <w:rPr>
          <w:rFonts w:hint="cs"/>
          <w:spacing w:val="0"/>
          <w:rtl/>
          <w:lang w:val="fr-CH"/>
        </w:rPr>
        <w:t xml:space="preserve"> في تقليص هذه الانبعاثات بحلول عام 2010 لتصل إلى مستويات تمكّن هونغ كونغ والمدن الواقعة في منطقة </w:t>
      </w:r>
      <w:r>
        <w:rPr>
          <w:spacing w:val="0"/>
          <w:rtl/>
          <w:lang w:val="fr-CH"/>
        </w:rPr>
        <w:t>دلتا نهر اللؤلؤ</w:t>
      </w:r>
      <w:r>
        <w:rPr>
          <w:rFonts w:hint="cs"/>
          <w:spacing w:val="0"/>
          <w:rtl/>
          <w:lang w:val="fr-CH"/>
        </w:rPr>
        <w:t xml:space="preserve"> من الاستجابة على نطاق واسع لأهداف نوعية الهواء. كما تقوم هونغ كونغ وغوانغدونغ بدراسة جدوى وضع خطة تجريبية لتبادل حقوق الانبعاثات فيما بين محطات</w:t>
      </w:r>
      <w:r>
        <w:rPr>
          <w:rFonts w:hint="cs"/>
          <w:spacing w:val="0"/>
          <w:rtl/>
          <w:lang w:val="fr-CH"/>
        </w:rPr>
        <w:t xml:space="preserve"> مختارة للطاقة في هونغ كونغ وفي منطقة دلتا نهر اللؤلؤ.</w:t>
      </w:r>
    </w:p>
    <w:p w:rsidR="00000000" w:rsidRDefault="00443EC1">
      <w:pPr>
        <w:spacing w:line="380" w:lineRule="exact"/>
        <w:jc w:val="both"/>
        <w:rPr>
          <w:rFonts w:hint="cs"/>
          <w:i/>
          <w:iCs/>
          <w:spacing w:val="0"/>
          <w:rtl/>
        </w:rPr>
      </w:pPr>
      <w:r>
        <w:rPr>
          <w:i/>
          <w:iCs/>
          <w:spacing w:val="0"/>
          <w:rtl/>
        </w:rPr>
        <w:t>مكافحة التلوث بالضوضاء</w:t>
      </w:r>
    </w:p>
    <w:p w:rsidR="00000000" w:rsidRDefault="00443EC1">
      <w:pPr>
        <w:spacing w:line="380" w:lineRule="exact"/>
        <w:jc w:val="both"/>
        <w:rPr>
          <w:rFonts w:hint="cs"/>
          <w:spacing w:val="0"/>
          <w:rtl/>
          <w:lang w:val="fr-CH"/>
        </w:rPr>
      </w:pPr>
      <w:r>
        <w:rPr>
          <w:rFonts w:hint="cs"/>
          <w:spacing w:val="0"/>
          <w:rtl/>
          <w:lang w:val="fr-CH"/>
        </w:rPr>
        <w:t>676-</w:t>
      </w:r>
      <w:r>
        <w:rPr>
          <w:rFonts w:hint="cs"/>
          <w:spacing w:val="0"/>
          <w:rtl/>
          <w:lang w:val="fr-CH"/>
        </w:rPr>
        <w:tab/>
        <w:t>أدخلنا، في عام 2002، تعديلات على قانون مكافحة الضوضاء (المادة 400) لتحميل المسؤول عن إدارة كيان معنوي ما مسؤولية صريحة عن جرائم الضوضاء التي يرتكبها الكيان المعنوي. والهدف م</w:t>
      </w:r>
      <w:r>
        <w:rPr>
          <w:rFonts w:hint="cs"/>
          <w:spacing w:val="0"/>
          <w:rtl/>
          <w:lang w:val="fr-CH"/>
        </w:rPr>
        <w:t>ن هذا التعديل هو الحيلولة دون ارتكاب الكيانات المعنوية جرائم متكررة. كما شددنا على معايير انبعاث الضوضاء بالنسبة للمركبات المسجَّلة حديثاً.</w:t>
      </w:r>
    </w:p>
    <w:p w:rsidR="00000000" w:rsidRDefault="00443EC1">
      <w:pPr>
        <w:spacing w:line="380" w:lineRule="exact"/>
        <w:jc w:val="both"/>
        <w:rPr>
          <w:rFonts w:hint="cs"/>
          <w:spacing w:val="0"/>
          <w:rtl/>
          <w:lang w:val="fr-CH"/>
        </w:rPr>
      </w:pPr>
      <w:r>
        <w:rPr>
          <w:rFonts w:hint="cs"/>
          <w:spacing w:val="0"/>
          <w:rtl/>
          <w:lang w:val="fr-CH"/>
        </w:rPr>
        <w:t>677-</w:t>
      </w:r>
      <w:r>
        <w:rPr>
          <w:rFonts w:hint="cs"/>
          <w:spacing w:val="0"/>
          <w:rtl/>
          <w:lang w:val="fr-CH"/>
        </w:rPr>
        <w:tab/>
        <w:t>ووضعنا برنامجاً لتناول ما تخلِّفه ضوضاء حركة المرور في الطرق الموجودة من أثر. كما نعتزم تنفيذ حلول هندسية أينما</w:t>
      </w:r>
      <w:r>
        <w:rPr>
          <w:rFonts w:hint="cs"/>
          <w:spacing w:val="0"/>
          <w:rtl/>
          <w:lang w:val="fr-CH"/>
        </w:rPr>
        <w:t xml:space="preserve"> أمكن تطبيقها في الطرق الموجودة التي تكثر فيها الضوضاء، وذلك شريطة الحصول على التمويل الكافي. وتشتمل هذه الحلول على مواءمة الحواجز والمكتنفات، وإعادة تعبيد هذه الطرق بأدوات تخفض من الضوضاء. أما بالنسبة للطرق التي لا يمكن تطبيق حلول هندسية فيها، فسنكتشف حلو</w:t>
      </w:r>
      <w:r>
        <w:rPr>
          <w:rFonts w:hint="cs"/>
          <w:spacing w:val="0"/>
          <w:rtl/>
          <w:lang w:val="fr-CH"/>
        </w:rPr>
        <w:t>لاً غير هندسية - من قبيل اتخاذ تدابير لإدارة حركة المرور - على أساس دراسة كل حالة على حدة.</w:t>
      </w:r>
    </w:p>
    <w:p w:rsidR="00000000" w:rsidRDefault="00443EC1">
      <w:pPr>
        <w:spacing w:line="380" w:lineRule="exact"/>
        <w:jc w:val="both"/>
        <w:rPr>
          <w:rFonts w:hint="cs"/>
          <w:i/>
          <w:iCs/>
          <w:spacing w:val="0"/>
          <w:rtl/>
        </w:rPr>
      </w:pPr>
      <w:r>
        <w:rPr>
          <w:i/>
          <w:iCs/>
          <w:spacing w:val="0"/>
          <w:rtl/>
        </w:rPr>
        <w:t>التربية البيئية</w:t>
      </w:r>
    </w:p>
    <w:p w:rsidR="00000000" w:rsidRDefault="00443EC1">
      <w:pPr>
        <w:spacing w:line="380" w:lineRule="exact"/>
        <w:jc w:val="both"/>
        <w:rPr>
          <w:rFonts w:hint="cs"/>
          <w:spacing w:val="0"/>
          <w:rtl/>
          <w:lang w:val="fr-CH"/>
        </w:rPr>
      </w:pPr>
      <w:r>
        <w:rPr>
          <w:rFonts w:hint="cs"/>
          <w:spacing w:val="0"/>
          <w:rtl/>
          <w:lang w:val="fr-CH"/>
        </w:rPr>
        <w:t>678-</w:t>
      </w:r>
      <w:r>
        <w:rPr>
          <w:rFonts w:hint="cs"/>
          <w:spacing w:val="0"/>
          <w:rtl/>
          <w:lang w:val="fr-CH"/>
        </w:rPr>
        <w:tab/>
        <w:t xml:space="preserve"> لا يزال </w:t>
      </w:r>
      <w:r>
        <w:rPr>
          <w:spacing w:val="0"/>
          <w:rtl/>
          <w:lang w:val="fr-CH"/>
        </w:rPr>
        <w:t xml:space="preserve">صندوق البيئة </w:t>
      </w:r>
      <w:r>
        <w:rPr>
          <w:rFonts w:hint="cs"/>
          <w:spacing w:val="0"/>
          <w:rtl/>
          <w:lang w:val="fr-CH"/>
        </w:rPr>
        <w:t>والمحافظة عليها (انظر الفقرة 489 من التقرير الأولي) يضطلع بعمله التربوي ويمول المنظمات المجتمعية والمدارس والمجموعات الخضر</w:t>
      </w:r>
      <w:r>
        <w:rPr>
          <w:rFonts w:hint="cs"/>
          <w:spacing w:val="0"/>
          <w:rtl/>
          <w:lang w:val="fr-CH"/>
        </w:rPr>
        <w:t>اء بغية تنظيم أنشطة لتعزيز حماية البيئة. وبعد صرف 100 مليون دولار من دولارات هونغ كونغ المشار إليها في الفقرة 489 من التقرير الأولي، حقّنا في الصندوق مبلغاً إضافياً قدره 100 مليون دولار من دولارات هونغ كونغ حتى يتمكن الصندوق من مواصلة تمويل المشاريع ذات ال</w:t>
      </w:r>
      <w:r>
        <w:rPr>
          <w:rFonts w:hint="cs"/>
          <w:spacing w:val="0"/>
          <w:rtl/>
          <w:lang w:val="fr-CH"/>
        </w:rPr>
        <w:t>أهمية.</w:t>
      </w:r>
    </w:p>
    <w:p w:rsidR="00000000" w:rsidRDefault="00443EC1">
      <w:pPr>
        <w:spacing w:line="380" w:lineRule="exact"/>
        <w:jc w:val="both"/>
        <w:rPr>
          <w:rFonts w:hint="cs"/>
          <w:spacing w:val="0"/>
          <w:rtl/>
          <w:lang w:val="fr-CH"/>
        </w:rPr>
      </w:pPr>
      <w:r>
        <w:rPr>
          <w:rFonts w:hint="cs"/>
          <w:spacing w:val="0"/>
          <w:rtl/>
          <w:lang w:val="fr-CH"/>
        </w:rPr>
        <w:t>679-</w:t>
      </w:r>
      <w:r>
        <w:rPr>
          <w:rFonts w:hint="cs"/>
          <w:spacing w:val="0"/>
          <w:rtl/>
          <w:lang w:val="fr-CH"/>
        </w:rPr>
        <w:tab/>
        <w:t>ولا تزال لجنة حملة البيئة تضطلع بعملها الوارد وصفه في الفقرة 490 من التقرير الأولي.</w:t>
      </w:r>
    </w:p>
    <w:p w:rsidR="00000000" w:rsidRDefault="00443EC1">
      <w:pPr>
        <w:spacing w:line="380" w:lineRule="exact"/>
        <w:jc w:val="both"/>
        <w:rPr>
          <w:rFonts w:hint="cs"/>
          <w:i/>
          <w:iCs/>
          <w:spacing w:val="0"/>
          <w:rtl/>
        </w:rPr>
      </w:pPr>
      <w:r>
        <w:rPr>
          <w:rFonts w:hint="cs"/>
          <w:i/>
          <w:iCs/>
          <w:spacing w:val="0"/>
          <w:rtl/>
        </w:rPr>
        <w:t>تقييم الأثر البيئي</w:t>
      </w:r>
    </w:p>
    <w:p w:rsidR="00000000" w:rsidRDefault="00443EC1">
      <w:pPr>
        <w:spacing w:line="380" w:lineRule="exact"/>
        <w:jc w:val="both"/>
        <w:rPr>
          <w:rFonts w:hint="cs"/>
          <w:spacing w:val="0"/>
          <w:rtl/>
          <w:lang w:val="fr-CH"/>
        </w:rPr>
      </w:pPr>
      <w:r>
        <w:rPr>
          <w:rFonts w:hint="cs"/>
          <w:spacing w:val="0"/>
          <w:rtl/>
          <w:lang w:val="fr-CH"/>
        </w:rPr>
        <w:t>680-</w:t>
      </w:r>
      <w:r>
        <w:rPr>
          <w:rFonts w:hint="cs"/>
          <w:spacing w:val="0"/>
          <w:rtl/>
          <w:lang w:val="fr-CH"/>
        </w:rPr>
        <w:tab/>
        <w:t>لا يزال الوضع على النحو الوارد شرحه في الفقرة 491 من التقرير الأولي.</w:t>
      </w:r>
    </w:p>
    <w:p w:rsidR="00000000" w:rsidRDefault="00443EC1">
      <w:pPr>
        <w:spacing w:line="380" w:lineRule="exact"/>
        <w:jc w:val="both"/>
        <w:rPr>
          <w:rFonts w:hint="cs"/>
          <w:i/>
          <w:iCs/>
          <w:spacing w:val="0"/>
          <w:rtl/>
        </w:rPr>
      </w:pPr>
      <w:r>
        <w:rPr>
          <w:rFonts w:hint="cs"/>
          <w:i/>
          <w:iCs/>
          <w:spacing w:val="0"/>
          <w:rtl/>
        </w:rPr>
        <w:t>الصحة المهنية</w:t>
      </w:r>
    </w:p>
    <w:p w:rsidR="00000000" w:rsidRDefault="00443EC1">
      <w:pPr>
        <w:spacing w:line="380" w:lineRule="exact"/>
        <w:jc w:val="both"/>
        <w:rPr>
          <w:rFonts w:hint="cs"/>
          <w:spacing w:val="0"/>
          <w:rtl/>
          <w:lang w:val="fr-CH"/>
        </w:rPr>
      </w:pPr>
      <w:r>
        <w:rPr>
          <w:rFonts w:hint="cs"/>
          <w:spacing w:val="0"/>
          <w:rtl/>
          <w:lang w:val="fr-CH"/>
        </w:rPr>
        <w:t>681-</w:t>
      </w:r>
      <w:r>
        <w:rPr>
          <w:rFonts w:hint="cs"/>
          <w:spacing w:val="0"/>
          <w:rtl/>
          <w:lang w:val="fr-CH"/>
        </w:rPr>
        <w:tab/>
        <w:t>لا يزال الوضع على النحو الوارد شرحه في الفقرات م</w:t>
      </w:r>
      <w:r>
        <w:rPr>
          <w:rFonts w:hint="cs"/>
          <w:spacing w:val="0"/>
          <w:rtl/>
          <w:lang w:val="fr-CH"/>
        </w:rPr>
        <w:t>ن 98 إلى 101 من التقرير الأولي فيما يتعلق بالمادة 7، وفي الفقرات من 492 إلى 496 من التقرير الأولي فيما يتعلق المادة 12.</w:t>
      </w:r>
    </w:p>
    <w:p w:rsidR="00000000" w:rsidRDefault="00443EC1">
      <w:pPr>
        <w:spacing w:line="380" w:lineRule="exact"/>
        <w:jc w:val="center"/>
        <w:rPr>
          <w:rFonts w:hint="cs"/>
          <w:b/>
          <w:bCs/>
          <w:rtl/>
        </w:rPr>
      </w:pPr>
      <w:r>
        <w:rPr>
          <w:rFonts w:hint="cs"/>
          <w:b/>
          <w:bCs/>
          <w:rtl/>
        </w:rPr>
        <w:t>ميم - المادتان 12 و14</w:t>
      </w:r>
    </w:p>
    <w:p w:rsidR="00000000" w:rsidRDefault="00443EC1">
      <w:pPr>
        <w:spacing w:line="380" w:lineRule="exact"/>
        <w:jc w:val="center"/>
        <w:rPr>
          <w:rFonts w:hint="cs"/>
          <w:b/>
          <w:bCs/>
          <w:rtl/>
        </w:rPr>
      </w:pPr>
      <w:r>
        <w:rPr>
          <w:rFonts w:hint="cs"/>
          <w:b/>
          <w:bCs/>
          <w:rtl/>
        </w:rPr>
        <w:t>الحق في التعليم</w:t>
      </w:r>
    </w:p>
    <w:p w:rsidR="00000000" w:rsidRDefault="00443EC1">
      <w:pPr>
        <w:spacing w:line="380" w:lineRule="exact"/>
        <w:jc w:val="both"/>
        <w:rPr>
          <w:rFonts w:hint="cs"/>
          <w:rtl/>
        </w:rPr>
      </w:pPr>
      <w:r>
        <w:rPr>
          <w:rFonts w:hint="cs"/>
          <w:rtl/>
        </w:rPr>
        <w:t>682-</w:t>
      </w:r>
      <w:r>
        <w:rPr>
          <w:rFonts w:hint="cs"/>
          <w:rtl/>
        </w:rPr>
        <w:tab/>
        <w:t>لم يتغير الوضع الدستوري عما ورد توضيحه في الفقرة 497 من التقرير الأولي.</w:t>
      </w:r>
    </w:p>
    <w:p w:rsidR="00000000" w:rsidRDefault="00443EC1">
      <w:pPr>
        <w:spacing w:line="380" w:lineRule="exact"/>
        <w:jc w:val="both"/>
        <w:rPr>
          <w:rFonts w:hint="cs"/>
          <w:b/>
          <w:bCs/>
          <w:rtl/>
        </w:rPr>
      </w:pPr>
      <w:r>
        <w:rPr>
          <w:rFonts w:hint="cs"/>
          <w:b/>
          <w:bCs/>
          <w:rtl/>
        </w:rPr>
        <w:t>الوصول إلى التعليم وا</w:t>
      </w:r>
      <w:r>
        <w:rPr>
          <w:rFonts w:hint="cs"/>
          <w:b/>
          <w:bCs/>
          <w:rtl/>
        </w:rPr>
        <w:t>لتحصيل الدراسي</w:t>
      </w:r>
    </w:p>
    <w:p w:rsidR="00000000" w:rsidRDefault="00443EC1">
      <w:pPr>
        <w:spacing w:line="380" w:lineRule="exact"/>
        <w:jc w:val="both"/>
        <w:rPr>
          <w:rFonts w:hint="cs"/>
          <w:rtl/>
        </w:rPr>
      </w:pPr>
      <w:r>
        <w:rPr>
          <w:rFonts w:hint="cs"/>
          <w:i/>
          <w:iCs/>
          <w:rtl/>
        </w:rPr>
        <w:t>التعليم المجاني والإلزامي لمدة 9 سنوات</w:t>
      </w:r>
      <w:r>
        <w:rPr>
          <w:rFonts w:hint="cs"/>
          <w:vertAlign w:val="superscript"/>
          <w:rtl/>
        </w:rPr>
        <w:t>(50)</w:t>
      </w:r>
    </w:p>
    <w:p w:rsidR="00000000" w:rsidRDefault="00443EC1">
      <w:pPr>
        <w:spacing w:line="380" w:lineRule="exact"/>
        <w:jc w:val="both"/>
        <w:rPr>
          <w:rFonts w:hint="cs"/>
          <w:rtl/>
        </w:rPr>
      </w:pPr>
      <w:r>
        <w:rPr>
          <w:rFonts w:hint="cs"/>
          <w:rtl/>
        </w:rPr>
        <w:t>683-</w:t>
      </w:r>
      <w:r>
        <w:rPr>
          <w:rFonts w:hint="cs"/>
          <w:rtl/>
        </w:rPr>
        <w:tab/>
        <w:t>لم يتغير الوضع عما ورد توضيحه في الفقرة 498 من التقرير الأولي.</w:t>
      </w:r>
    </w:p>
    <w:p w:rsidR="00000000" w:rsidRDefault="00443EC1">
      <w:pPr>
        <w:spacing w:line="380" w:lineRule="exact"/>
        <w:jc w:val="both"/>
        <w:rPr>
          <w:rFonts w:hint="cs"/>
          <w:i/>
          <w:iCs/>
          <w:rtl/>
        </w:rPr>
      </w:pPr>
      <w:r>
        <w:rPr>
          <w:rFonts w:hint="cs"/>
          <w:i/>
          <w:iCs/>
          <w:rtl/>
        </w:rPr>
        <w:t>التعليم الثانوي الإعدادي والفني والعالي</w:t>
      </w:r>
    </w:p>
    <w:p w:rsidR="00000000" w:rsidRDefault="00443EC1">
      <w:pPr>
        <w:spacing w:line="380" w:lineRule="exact"/>
        <w:jc w:val="both"/>
        <w:rPr>
          <w:rFonts w:hint="cs"/>
          <w:rtl/>
        </w:rPr>
      </w:pPr>
      <w:r>
        <w:rPr>
          <w:rFonts w:hint="cs"/>
          <w:rtl/>
        </w:rPr>
        <w:t>684-</w:t>
      </w:r>
      <w:r>
        <w:rPr>
          <w:rFonts w:hint="cs"/>
          <w:rtl/>
        </w:rPr>
        <w:tab/>
        <w:t>بيّنا في الفقرات من 498 إلى 500 من التقرير الأولي هيكل التعليم بعد السنة التاسعة. وكا</w:t>
      </w:r>
      <w:r>
        <w:rPr>
          <w:rFonts w:hint="cs"/>
          <w:rtl/>
        </w:rPr>
        <w:t>نت هناك في عام 1998مقاعد مدعومة متاحة لنسبة 85 في المائة من الفئة العمرية 15-17 عاماً. والآن</w:t>
      </w:r>
      <w:r>
        <w:rPr>
          <w:rFonts w:hint="cs"/>
          <w:vertAlign w:val="superscript"/>
          <w:rtl/>
        </w:rPr>
        <w:t>(51)</w:t>
      </w:r>
      <w:r>
        <w:rPr>
          <w:rFonts w:hint="cs"/>
          <w:rtl/>
        </w:rPr>
        <w:t xml:space="preserve"> هناك مقاعد مدعومة كافية متاحة في الصفين الثانويين الرابع والخامس لجميع طلاب المستوى الثانوي الثالث القادرين على مواصلة التعليم والراغبين في ذلك.</w:t>
      </w:r>
    </w:p>
    <w:p w:rsidR="00000000" w:rsidRDefault="00443EC1">
      <w:pPr>
        <w:spacing w:line="380" w:lineRule="exact"/>
        <w:jc w:val="both"/>
        <w:rPr>
          <w:rFonts w:hint="cs"/>
          <w:rtl/>
        </w:rPr>
      </w:pPr>
      <w:r>
        <w:rPr>
          <w:rFonts w:hint="cs"/>
          <w:rtl/>
        </w:rPr>
        <w:t>685-</w:t>
      </w:r>
      <w:r>
        <w:rPr>
          <w:rFonts w:hint="cs"/>
          <w:rtl/>
        </w:rPr>
        <w:tab/>
        <w:t xml:space="preserve">لم يتغير </w:t>
      </w:r>
      <w:r>
        <w:rPr>
          <w:rFonts w:hint="cs"/>
          <w:rtl/>
        </w:rPr>
        <w:t>الوضع بالنسبة للصفين الثانويين السادس والسابع - اللذين يعدان الطلاب من سن 17 إلى 19 عاماً لامتحان المستوى المتقدم في هونغ كونغ، وهو امتحان القبول بالجامعة لدورات الدرجة الأولى - عن الوضع الموضح في الفقرة 15 من التقرير الأولي. ولكننا نقترح الآن، بعد هذا الم</w:t>
      </w:r>
      <w:r>
        <w:rPr>
          <w:rFonts w:hint="cs"/>
          <w:rtl/>
        </w:rPr>
        <w:t xml:space="preserve">ستوى، توسيع نطاق التعليم ما بعد الثانوي تدريجياً. ولهذا الغرض، نعمل على تمكين نسبة 60 في المائة من طلابنا الذين يتخرجون من المرحلة الثانوية العليا بالالتحاق بالتعليم ما بعد الثانوي بحلول 2010-2011. والتحقت نسبة تقترب من 42 في المائة من الفئة العمرية 17-20 </w:t>
      </w:r>
      <w:r>
        <w:rPr>
          <w:rFonts w:hint="cs"/>
          <w:rtl/>
        </w:rPr>
        <w:t>عاماً، بالتعليم ما بعد الثانوي في السنة الدراسية 2002-2003.</w:t>
      </w:r>
    </w:p>
    <w:p w:rsidR="00000000" w:rsidRDefault="00443EC1">
      <w:pPr>
        <w:spacing w:line="380" w:lineRule="exact"/>
        <w:jc w:val="both"/>
        <w:rPr>
          <w:rFonts w:hint="cs"/>
          <w:i/>
          <w:iCs/>
          <w:rtl/>
        </w:rPr>
      </w:pPr>
      <w:r>
        <w:rPr>
          <w:rFonts w:hint="cs"/>
          <w:i/>
          <w:iCs/>
          <w:rtl/>
        </w:rPr>
        <w:t>المدارس الخاصة</w:t>
      </w:r>
    </w:p>
    <w:p w:rsidR="00000000" w:rsidRDefault="00443EC1">
      <w:pPr>
        <w:spacing w:line="380" w:lineRule="exact"/>
        <w:jc w:val="both"/>
        <w:rPr>
          <w:rFonts w:hint="cs"/>
          <w:rtl/>
        </w:rPr>
      </w:pPr>
      <w:r>
        <w:rPr>
          <w:rFonts w:hint="cs"/>
          <w:rtl/>
        </w:rPr>
        <w:t>686-</w:t>
      </w:r>
      <w:r>
        <w:rPr>
          <w:rFonts w:hint="cs"/>
          <w:rtl/>
        </w:rPr>
        <w:tab/>
        <w:t xml:space="preserve"> أوضحنا في الفقرات من 501 إلى 503 من التقرير الأولي، أن المدارس الخاصة هي المصدر الرئيسي للتعليم فيما قبل المدرسة. وتتيح هذه المدارس للآباء، في المستوى الابتدائي وما بعده، خيار</w:t>
      </w:r>
      <w:r>
        <w:rPr>
          <w:rFonts w:hint="cs"/>
          <w:rtl/>
        </w:rPr>
        <w:t>ات بديلة لتيار الدراسة الرئيسي. وفي عام 1999، أدخلنا فئة جديدة من المدارس الخاصة المعروفة ب‍ "المدارس الخاصة المستقلة" - بغية تعزيز توسيع نطاق قطاع التعليم الخاص. والمدارس المدرجة في هذه الفئة يجب ألا يكون هدفها تحقيق الربح. وهي تتلقى منحاً في شكل أرض بسعر</w:t>
      </w:r>
      <w:r>
        <w:rPr>
          <w:rFonts w:hint="cs"/>
          <w:rtl/>
        </w:rPr>
        <w:t xml:space="preserve"> إسمي ومنحاً في شكل أموال لبناء المباني المدرسية. ولا تتلقى هذه المدارس إعانات متكررة من الحكومة. وبدأت مدرستان من هذا القبيل بالعمل في السنة الدراسية 2002-2003. ومن المتوقع أن تبدأ ثماني مدارس أخرى بالعمل بين العامين الدراسيين 2003-2004 و2007-2008. وترد ف</w:t>
      </w:r>
      <w:r>
        <w:rPr>
          <w:rFonts w:hint="cs"/>
          <w:rtl/>
        </w:rPr>
        <w:t>ي المرفق 26 من التقرير الأولي إحصاءات أخرى تتعلق بالمدارس الخاصة.</w:t>
      </w:r>
    </w:p>
    <w:p w:rsidR="00000000" w:rsidRDefault="00443EC1">
      <w:pPr>
        <w:spacing w:line="380" w:lineRule="exact"/>
        <w:jc w:val="both"/>
        <w:rPr>
          <w:rFonts w:hint="cs"/>
          <w:i/>
          <w:iCs/>
          <w:rtl/>
        </w:rPr>
      </w:pPr>
      <w:r>
        <w:rPr>
          <w:rFonts w:hint="cs"/>
          <w:i/>
          <w:iCs/>
          <w:rtl/>
        </w:rPr>
        <w:t>المساعدة المالية المقدمة إلى الطلاب المعوزين</w:t>
      </w:r>
    </w:p>
    <w:p w:rsidR="00000000" w:rsidRDefault="00443EC1">
      <w:pPr>
        <w:spacing w:line="380" w:lineRule="exact"/>
        <w:jc w:val="both"/>
        <w:rPr>
          <w:rFonts w:hint="cs"/>
          <w:rtl/>
        </w:rPr>
      </w:pPr>
      <w:r>
        <w:rPr>
          <w:rFonts w:hint="cs"/>
          <w:rtl/>
        </w:rPr>
        <w:t>687-</w:t>
      </w:r>
      <w:r>
        <w:rPr>
          <w:rFonts w:hint="cs"/>
          <w:rtl/>
        </w:rPr>
        <w:tab/>
        <w:t>لم يتغير الوضع عما هو مبين في الفقرة 504 من التقرير الأولي.</w:t>
      </w:r>
    </w:p>
    <w:p w:rsidR="00000000" w:rsidRDefault="00443EC1">
      <w:pPr>
        <w:spacing w:line="380" w:lineRule="exact"/>
        <w:jc w:val="both"/>
        <w:rPr>
          <w:rFonts w:hint="cs"/>
          <w:b/>
          <w:bCs/>
          <w:rtl/>
        </w:rPr>
      </w:pPr>
      <w:r>
        <w:rPr>
          <w:rFonts w:hint="cs"/>
          <w:b/>
          <w:bCs/>
          <w:rtl/>
        </w:rPr>
        <w:t>المصروفات على التعليم كنسبة مئوية من إجمالي الناتج المحلي</w:t>
      </w:r>
    </w:p>
    <w:p w:rsidR="00000000" w:rsidRDefault="00443EC1">
      <w:pPr>
        <w:spacing w:line="380" w:lineRule="exact"/>
        <w:jc w:val="both"/>
        <w:rPr>
          <w:rFonts w:hint="cs"/>
          <w:rtl/>
        </w:rPr>
      </w:pPr>
      <w:r>
        <w:rPr>
          <w:rFonts w:hint="cs"/>
          <w:rtl/>
        </w:rPr>
        <w:t>688-</w:t>
      </w:r>
      <w:r>
        <w:rPr>
          <w:rFonts w:hint="cs"/>
          <w:rtl/>
        </w:rPr>
        <w:tab/>
        <w:t>قُدرت المصروفات ع</w:t>
      </w:r>
      <w:r>
        <w:rPr>
          <w:rFonts w:hint="cs"/>
          <w:rtl/>
        </w:rPr>
        <w:t xml:space="preserve">لى التعليم في الفترة 2002-2003 بمبلغ 61 مليار دولار من دولارات هونغ كونغ أي بنسبة 4.9 في المائة من الناتج المحلي الإجمالي. وكانت الأرقام المقابلة لذلك 47 مليار دولار من دولارات الولايات المتحدة في الفترة 1997-1998 (3.5 في المائة من الناتج المحلي الإجمالي) </w:t>
      </w:r>
      <w:r>
        <w:rPr>
          <w:rFonts w:hint="cs"/>
          <w:rtl/>
        </w:rPr>
        <w:t>و22 مليار دولار من دولارات هونغ كونغ في الفترة 1992-1993 (2.7 في المائة). وأنفق نحو ثلث الميزانية على التعليم العالي (20 مليار دولار من دولارات هونغ كونغ).</w:t>
      </w:r>
    </w:p>
    <w:p w:rsidR="00000000" w:rsidRDefault="00443EC1">
      <w:pPr>
        <w:spacing w:line="380" w:lineRule="exact"/>
        <w:jc w:val="both"/>
        <w:rPr>
          <w:rFonts w:hint="cs"/>
          <w:b/>
          <w:bCs/>
          <w:rtl/>
        </w:rPr>
      </w:pPr>
      <w:r>
        <w:rPr>
          <w:rFonts w:hint="cs"/>
          <w:b/>
          <w:bCs/>
          <w:rtl/>
        </w:rPr>
        <w:t>مجمل التحصيل الدراسي</w:t>
      </w:r>
    </w:p>
    <w:p w:rsidR="00000000" w:rsidRDefault="00443EC1">
      <w:pPr>
        <w:spacing w:line="380" w:lineRule="exact"/>
        <w:jc w:val="both"/>
        <w:rPr>
          <w:rFonts w:hint="cs"/>
          <w:rtl/>
        </w:rPr>
      </w:pPr>
      <w:r>
        <w:rPr>
          <w:rFonts w:hint="cs"/>
          <w:rtl/>
        </w:rPr>
        <w:t>689-</w:t>
      </w:r>
      <w:r>
        <w:rPr>
          <w:rFonts w:hint="cs"/>
          <w:rtl/>
        </w:rPr>
        <w:tab/>
        <w:t>ترد مؤشرات التحصيل الدراسي في المرفق 13-ألف.</w:t>
      </w:r>
    </w:p>
    <w:p w:rsidR="00000000" w:rsidRDefault="00443EC1">
      <w:pPr>
        <w:spacing w:line="380" w:lineRule="exact"/>
        <w:jc w:val="both"/>
        <w:rPr>
          <w:rFonts w:hint="cs"/>
          <w:b/>
          <w:bCs/>
          <w:rtl/>
        </w:rPr>
      </w:pPr>
    </w:p>
    <w:p w:rsidR="00000000" w:rsidRDefault="00443EC1">
      <w:pPr>
        <w:spacing w:line="380" w:lineRule="exact"/>
        <w:jc w:val="both"/>
        <w:rPr>
          <w:rFonts w:hint="cs"/>
          <w:b/>
          <w:bCs/>
          <w:rtl/>
        </w:rPr>
      </w:pPr>
      <w:r>
        <w:rPr>
          <w:rFonts w:hint="cs"/>
          <w:b/>
          <w:bCs/>
          <w:rtl/>
        </w:rPr>
        <w:t>التعليم ما قبل الابتدائي</w:t>
      </w:r>
    </w:p>
    <w:p w:rsidR="00000000" w:rsidRDefault="00443EC1">
      <w:pPr>
        <w:spacing w:line="380" w:lineRule="exact"/>
        <w:jc w:val="both"/>
        <w:rPr>
          <w:rFonts w:hint="cs"/>
          <w:rtl/>
        </w:rPr>
      </w:pPr>
      <w:r>
        <w:rPr>
          <w:rFonts w:hint="cs"/>
          <w:rtl/>
        </w:rPr>
        <w:t>690</w:t>
      </w:r>
      <w:r>
        <w:rPr>
          <w:rFonts w:hint="cs"/>
          <w:rtl/>
        </w:rPr>
        <w:t>-</w:t>
      </w:r>
      <w:r>
        <w:rPr>
          <w:rFonts w:hint="cs"/>
          <w:rtl/>
        </w:rPr>
        <w:tab/>
        <w:t>لم يتغير الوضع أساساً عما تم توضيحه في الفقرة 507 من التقرير السابق.</w:t>
      </w:r>
    </w:p>
    <w:p w:rsidR="00000000" w:rsidRDefault="00443EC1">
      <w:pPr>
        <w:spacing w:line="380" w:lineRule="exact"/>
        <w:jc w:val="both"/>
        <w:rPr>
          <w:rFonts w:hint="cs"/>
          <w:b/>
          <w:bCs/>
          <w:rtl/>
        </w:rPr>
      </w:pPr>
      <w:r>
        <w:rPr>
          <w:rFonts w:hint="cs"/>
          <w:b/>
          <w:bCs/>
          <w:rtl/>
        </w:rPr>
        <w:t>التعليم الابتدائي والثانوي</w:t>
      </w:r>
    </w:p>
    <w:p w:rsidR="00000000" w:rsidRDefault="00443EC1">
      <w:pPr>
        <w:spacing w:line="380" w:lineRule="exact"/>
        <w:jc w:val="both"/>
        <w:rPr>
          <w:rFonts w:hint="cs"/>
          <w:i/>
          <w:iCs/>
          <w:rtl/>
        </w:rPr>
      </w:pPr>
      <w:r>
        <w:rPr>
          <w:rFonts w:hint="cs"/>
          <w:i/>
          <w:iCs/>
          <w:rtl/>
        </w:rPr>
        <w:t>الصفوف المتنقلة</w:t>
      </w:r>
    </w:p>
    <w:p w:rsidR="00000000" w:rsidRDefault="00443EC1">
      <w:pPr>
        <w:spacing w:line="380" w:lineRule="exact"/>
        <w:jc w:val="both"/>
        <w:rPr>
          <w:rFonts w:hint="cs"/>
          <w:rtl/>
        </w:rPr>
      </w:pPr>
      <w:r>
        <w:rPr>
          <w:rFonts w:hint="cs"/>
          <w:rtl/>
        </w:rPr>
        <w:t>691-</w:t>
      </w:r>
      <w:r>
        <w:rPr>
          <w:rFonts w:hint="cs"/>
          <w:rtl/>
        </w:rPr>
        <w:tab/>
        <w:t xml:space="preserve">بيّنا في الفقرة 508 من التقرير الأولي أن بعض المدارس الثانوية في هونغ كونغ ملزمة بتشغيل أكثر من 24 صفاً. وليس للصفوف الزائدة "مكان عّام" </w:t>
      </w:r>
      <w:r>
        <w:rPr>
          <w:rFonts w:hint="cs"/>
          <w:rtl/>
        </w:rPr>
        <w:t>ولا بد أن تتلقى دروسها في قاعات خاصة مثل مختبرات اللغة والعلوم. وبما أن التلاميذ مضطرون إلى الانتقال من قاعة إلى أخرى أثناء اليوم المدرسي، فقد سميت هذه الصفوف "بالصفوف المتنقلة"، وسميت العملية "بالتنقل". وقد بيّنا أن معظم المعلمين يعتبرون عملية التنقّل غير</w:t>
      </w:r>
      <w:r>
        <w:rPr>
          <w:rFonts w:hint="cs"/>
          <w:rtl/>
        </w:rPr>
        <w:t xml:space="preserve"> مرغوب فيها وكنا نأمل إلغاء الصفوف المتنقلة على المستويـات الثانويـة مـن الأول إلى الخامـس بحلول العام الدراسي 2000-2001. وقد بذلنا كل ما في وسعنا لتحقيق هذا الهدف وهناك الآن أقل من 40 صفاً متنقلاًً في المستويات الثانوية من الأول إلى الخامس في المدارس الثا</w:t>
      </w:r>
      <w:r>
        <w:rPr>
          <w:rFonts w:hint="cs"/>
          <w:rtl/>
        </w:rPr>
        <w:t>نوية الحكومية. وقد تأخر إنجاز أعمال التحسينات الضرورية عن الموعد المحدد ولكنها الآن في تقدم. وبعد إنجاز هذه الأعمال، سنتمكن من إلغاء جميع الصفوف المتنقلة المتبقية.</w:t>
      </w:r>
    </w:p>
    <w:p w:rsidR="00000000" w:rsidRDefault="00443EC1">
      <w:pPr>
        <w:spacing w:line="380" w:lineRule="exact"/>
        <w:jc w:val="both"/>
        <w:rPr>
          <w:rFonts w:hint="cs"/>
          <w:i/>
          <w:iCs/>
          <w:rtl/>
        </w:rPr>
      </w:pPr>
      <w:r>
        <w:rPr>
          <w:rFonts w:hint="cs"/>
          <w:i/>
          <w:iCs/>
          <w:rtl/>
        </w:rPr>
        <w:t>حجم الصفوف</w:t>
      </w:r>
    </w:p>
    <w:p w:rsidR="00000000" w:rsidRDefault="00443EC1">
      <w:pPr>
        <w:spacing w:line="380" w:lineRule="exact"/>
        <w:jc w:val="both"/>
        <w:rPr>
          <w:rFonts w:hint="cs"/>
          <w:rtl/>
        </w:rPr>
      </w:pPr>
      <w:r>
        <w:rPr>
          <w:rFonts w:hint="cs"/>
          <w:rtl/>
        </w:rPr>
        <w:t>692-</w:t>
      </w:r>
      <w:r>
        <w:rPr>
          <w:rFonts w:hint="cs"/>
          <w:rtl/>
        </w:rPr>
        <w:tab/>
        <w:t>ذكر بعض المعلقين أن تقليص حجم الصفوف سيؤدي إلى تحسين مستوى التعليم. وهذا موق</w:t>
      </w:r>
      <w:r>
        <w:rPr>
          <w:rFonts w:hint="cs"/>
          <w:rtl/>
        </w:rPr>
        <w:t xml:space="preserve">ف ينضم إليه العديدون بطبيعة الحال. ولكن ليس هناك توافق في الآراء حول حجم الصف الأمثل كما أن البحوث الدولية التي أُجريت خلال العقدين الماضيين قدمت استنتاجات متضاربة بشأن أثر حجم الصف على تعلم الطالب. فمن منظور التعليم، يكون حجم الصف مجرد عامل واحد فقط يؤثر </w:t>
      </w:r>
      <w:r>
        <w:rPr>
          <w:rFonts w:hint="cs"/>
          <w:rtl/>
        </w:rPr>
        <w:t>على عملية ونتائج التعليم والتعلم. كما أن العديد من متغيرات السياق العام، مثل القيادة، واحتراف مهنة التعليم، والمرافق المدرسية، ودعم الآباء والأمهات، وما إلى ذلك، هي عوامل مهمة أيضاً. ولذلك، فليس هناك، حتى الآن، أي أساس إثبات يؤيد الرأي القائل بأن الصفوف ال</w:t>
      </w:r>
      <w:r>
        <w:rPr>
          <w:rFonts w:hint="cs"/>
          <w:rtl/>
        </w:rPr>
        <w:t>أصغر حجماً سترفع بالضرورة من مستوى نوعية التعلم والتعليم.</w:t>
      </w:r>
    </w:p>
    <w:p w:rsidR="00000000" w:rsidRDefault="00443EC1">
      <w:pPr>
        <w:spacing w:line="380" w:lineRule="exact"/>
        <w:jc w:val="both"/>
        <w:rPr>
          <w:rFonts w:hint="cs"/>
          <w:i/>
          <w:iCs/>
          <w:rtl/>
        </w:rPr>
      </w:pPr>
      <w:r>
        <w:rPr>
          <w:rFonts w:hint="cs"/>
          <w:i/>
          <w:iCs/>
          <w:rtl/>
        </w:rPr>
        <w:t>مدرسة اليوم الكامل الابتدائية</w:t>
      </w:r>
    </w:p>
    <w:p w:rsidR="00000000" w:rsidRDefault="00443EC1">
      <w:pPr>
        <w:spacing w:line="380" w:lineRule="exact"/>
        <w:jc w:val="both"/>
        <w:rPr>
          <w:rFonts w:hint="cs"/>
          <w:rtl/>
        </w:rPr>
      </w:pPr>
      <w:r>
        <w:rPr>
          <w:rFonts w:hint="cs"/>
          <w:rtl/>
        </w:rPr>
        <w:t>693-</w:t>
      </w:r>
      <w:r>
        <w:rPr>
          <w:rFonts w:hint="cs"/>
          <w:rtl/>
        </w:rPr>
        <w:tab/>
        <w:t>بينّا في الفقرة 509 من التقرير الأولي أن الدراسة "على حصتين" أو "لنصف اليوم" هي عملية تتقاسم فيها مدرستان مبنى واحد: يستخدمه تلاميذ "مدرسة" ما في الصباح وتلاميذ مد</w:t>
      </w:r>
      <w:r>
        <w:rPr>
          <w:rFonts w:hint="cs"/>
          <w:rtl/>
        </w:rPr>
        <w:t>رسة أخرى بعد الظهر. وكانت هذه الممارسة شائعة في المدارس الابتدائية بالدرجة الأولى. ورأى معظم المعلمين أن دراسة اليوم الكامل أفضل من الناحية التعليمية: وهو رأي تشاطره الحكومة. وبيّنا في الفقرة 510 من التقرير الأولي أن هدفنا هو التوصل إلى جعل نسبة 60 في الما</w:t>
      </w:r>
      <w:r>
        <w:rPr>
          <w:rFonts w:hint="cs"/>
          <w:rtl/>
        </w:rPr>
        <w:t>ئة من أماكن الدراسة الابتدائية أماكن للدراسة في مدارس اليوم الكامل، بحلول العام الدراسي 2002-2003. وقد حققنا هذا الهدف وهدفنا الآن هو أن نكفل لكل تلاميذ المدارس الابتدائية تقريباً إمكانية الالتحاق بمدراس اليوم الكامل، بحلول العام الدراسي 2007-2008.</w:t>
      </w:r>
    </w:p>
    <w:p w:rsidR="00000000" w:rsidRDefault="00443EC1">
      <w:pPr>
        <w:spacing w:line="380" w:lineRule="exact"/>
        <w:jc w:val="both"/>
        <w:rPr>
          <w:rFonts w:hint="cs"/>
          <w:i/>
          <w:iCs/>
          <w:rtl/>
        </w:rPr>
      </w:pPr>
      <w:r>
        <w:rPr>
          <w:rFonts w:hint="cs"/>
          <w:i/>
          <w:iCs/>
          <w:rtl/>
        </w:rPr>
        <w:t>مستوى ا</w:t>
      </w:r>
      <w:r>
        <w:rPr>
          <w:rFonts w:hint="cs"/>
          <w:i/>
          <w:iCs/>
          <w:rtl/>
        </w:rPr>
        <w:t>لإعانات المقدمة على المستوى الثانوي العالي</w:t>
      </w:r>
    </w:p>
    <w:p w:rsidR="00000000" w:rsidRDefault="00443EC1">
      <w:pPr>
        <w:spacing w:line="380" w:lineRule="exact"/>
        <w:jc w:val="both"/>
        <w:rPr>
          <w:rFonts w:hint="cs"/>
          <w:rtl/>
        </w:rPr>
      </w:pPr>
      <w:r>
        <w:rPr>
          <w:rFonts w:hint="cs"/>
          <w:rtl/>
        </w:rPr>
        <w:t>694-</w:t>
      </w:r>
      <w:r>
        <w:rPr>
          <w:rFonts w:hint="cs"/>
          <w:rtl/>
        </w:rPr>
        <w:tab/>
        <w:t>بينا في الفقرة 511 من التقرير الأولي أن الرسوم الدراسية على هذا المستوى حُددت بنسبة 18 في المائة من التكاليف المتكررة</w:t>
      </w:r>
      <w:r>
        <w:rPr>
          <w:rFonts w:hint="cs"/>
          <w:vertAlign w:val="superscript"/>
          <w:rtl/>
        </w:rPr>
        <w:t>(52)</w:t>
      </w:r>
      <w:r>
        <w:rPr>
          <w:rFonts w:hint="cs"/>
          <w:rtl/>
        </w:rPr>
        <w:t>. وهكذا، فإن مستوى الإعانة يبلغ 82 في المائة. ومع ذلك، فقد تم تجميد رسوم المدارس الثانو</w:t>
      </w:r>
      <w:r>
        <w:rPr>
          <w:rFonts w:hint="cs"/>
          <w:rtl/>
        </w:rPr>
        <w:t>ية منذ العام الدراسي 1997-1998، وبذلك انخفضت الرسوم بصورة تدريجية إلى المستوى الحالي البالغ 15 في المائة من التكاليف المتكررة. وفيما يلي الرسوم الدراسية القياسية ومعدل الاسترداد الفعلي للرسوم:</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2"/>
        <w:gridCol w:w="1161"/>
        <w:gridCol w:w="1218"/>
        <w:gridCol w:w="1092"/>
        <w:gridCol w:w="1036"/>
        <w:gridCol w:w="1036"/>
        <w:gridCol w:w="1050"/>
      </w:tblGrid>
      <w:tr w:rsidR="00443EC1" w:rsidTr="00443EC1">
        <w:tblPrEx>
          <w:tblCellMar>
            <w:top w:w="0" w:type="dxa"/>
            <w:bottom w:w="0" w:type="dxa"/>
          </w:tblCellMar>
        </w:tblPrEx>
        <w:trPr>
          <w:trHeight w:val="932"/>
          <w:jc w:val="center"/>
        </w:trPr>
        <w:tc>
          <w:tcPr>
            <w:tcW w:w="2772" w:type="dxa"/>
            <w:tcBorders>
              <w:bottom w:val="nil"/>
            </w:tcBorders>
          </w:tcPr>
          <w:p w:rsidR="00443EC1" w:rsidRDefault="00443EC1">
            <w:pPr>
              <w:spacing w:before="0" w:after="0" w:line="320" w:lineRule="exact"/>
              <w:jc w:val="both"/>
              <w:rPr>
                <w:rStyle w:val="FootnoteReference"/>
                <w:rFonts w:hint="cs"/>
                <w:sz w:val="28"/>
              </w:rPr>
            </w:pPr>
            <w:r>
              <w:rPr>
                <w:rFonts w:hint="cs"/>
                <w:sz w:val="28"/>
                <w:szCs w:val="28"/>
                <w:rtl/>
              </w:rPr>
              <w:t>المستوى الثانوي العالي</w:t>
            </w:r>
          </w:p>
        </w:tc>
        <w:tc>
          <w:tcPr>
            <w:tcW w:w="6593" w:type="dxa"/>
            <w:gridSpan w:val="6"/>
          </w:tcPr>
          <w:p w:rsidR="00443EC1" w:rsidRDefault="00443EC1">
            <w:pPr>
              <w:spacing w:before="0" w:after="0" w:line="320" w:lineRule="exact"/>
              <w:jc w:val="center"/>
              <w:rPr>
                <w:rStyle w:val="FootnoteReference"/>
                <w:rFonts w:hint="cs"/>
                <w:sz w:val="28"/>
              </w:rPr>
            </w:pPr>
            <w:r>
              <w:rPr>
                <w:rFonts w:hint="cs"/>
                <w:sz w:val="28"/>
                <w:szCs w:val="28"/>
                <w:rtl/>
              </w:rPr>
              <w:t>الرسوم الدراسية القياسية</w:t>
            </w:r>
            <w:r>
              <w:rPr>
                <w:sz w:val="28"/>
                <w:szCs w:val="28"/>
                <w:rtl/>
              </w:rPr>
              <w:br/>
            </w:r>
            <w:r>
              <w:rPr>
                <w:rFonts w:hint="cs"/>
                <w:sz w:val="28"/>
                <w:szCs w:val="28"/>
                <w:rtl/>
              </w:rPr>
              <w:t>(بالدولارات) عن كل تلميذ في كل عام دراسي (معدل الاسترداد الفعلي)</w:t>
            </w:r>
          </w:p>
        </w:tc>
      </w:tr>
      <w:tr w:rsidR="00443EC1" w:rsidTr="00443EC1">
        <w:tblPrEx>
          <w:tblCellMar>
            <w:top w:w="0" w:type="dxa"/>
            <w:bottom w:w="0" w:type="dxa"/>
          </w:tblCellMar>
        </w:tblPrEx>
        <w:trPr>
          <w:jc w:val="center"/>
        </w:trPr>
        <w:tc>
          <w:tcPr>
            <w:tcW w:w="2772" w:type="dxa"/>
            <w:tcBorders>
              <w:top w:val="nil"/>
            </w:tcBorders>
          </w:tcPr>
          <w:p w:rsidR="00443EC1" w:rsidRDefault="00443EC1">
            <w:pPr>
              <w:spacing w:before="0" w:after="0" w:line="320" w:lineRule="exact"/>
              <w:jc w:val="both"/>
              <w:rPr>
                <w:rStyle w:val="FootnoteReference"/>
                <w:rFonts w:hint="cs"/>
                <w:bCs w:val="0"/>
                <w:sz w:val="26"/>
                <w:szCs w:val="26"/>
                <w:vertAlign w:val="baseline"/>
              </w:rPr>
            </w:pPr>
          </w:p>
        </w:tc>
        <w:tc>
          <w:tcPr>
            <w:tcW w:w="1161" w:type="dxa"/>
          </w:tcPr>
          <w:p w:rsidR="00443EC1" w:rsidRDefault="00443EC1">
            <w:pPr>
              <w:spacing w:before="0" w:after="0" w:line="320" w:lineRule="exact"/>
              <w:jc w:val="both"/>
              <w:rPr>
                <w:rStyle w:val="FootnoteReference"/>
                <w:rFonts w:hint="cs"/>
                <w:bCs w:val="0"/>
                <w:sz w:val="24"/>
                <w:szCs w:val="24"/>
                <w:vertAlign w:val="baseline"/>
              </w:rPr>
            </w:pPr>
            <w:r>
              <w:rPr>
                <w:rFonts w:hint="cs"/>
                <w:sz w:val="24"/>
                <w:szCs w:val="24"/>
                <w:rtl/>
              </w:rPr>
              <w:t>97-1998</w:t>
            </w:r>
          </w:p>
        </w:tc>
        <w:tc>
          <w:tcPr>
            <w:tcW w:w="1218" w:type="dxa"/>
          </w:tcPr>
          <w:p w:rsidR="00443EC1" w:rsidRDefault="00443EC1">
            <w:pPr>
              <w:spacing w:before="0" w:after="0" w:line="320" w:lineRule="exact"/>
              <w:jc w:val="both"/>
              <w:rPr>
                <w:rStyle w:val="FootnoteReference"/>
                <w:rFonts w:hint="cs"/>
                <w:bCs w:val="0"/>
                <w:sz w:val="24"/>
                <w:szCs w:val="24"/>
                <w:vertAlign w:val="baseline"/>
              </w:rPr>
            </w:pPr>
            <w:r>
              <w:rPr>
                <w:rFonts w:hint="cs"/>
                <w:sz w:val="24"/>
                <w:szCs w:val="24"/>
                <w:rtl/>
              </w:rPr>
              <w:t>98-1999</w:t>
            </w:r>
          </w:p>
        </w:tc>
        <w:tc>
          <w:tcPr>
            <w:tcW w:w="1092" w:type="dxa"/>
          </w:tcPr>
          <w:p w:rsidR="00443EC1" w:rsidRDefault="00443EC1">
            <w:pPr>
              <w:spacing w:before="0" w:after="0" w:line="320" w:lineRule="exact"/>
              <w:jc w:val="both"/>
              <w:rPr>
                <w:rStyle w:val="FootnoteReference"/>
                <w:rFonts w:hint="cs"/>
                <w:bCs w:val="0"/>
                <w:sz w:val="24"/>
                <w:szCs w:val="24"/>
                <w:vertAlign w:val="baseline"/>
              </w:rPr>
            </w:pPr>
            <w:r>
              <w:rPr>
                <w:rFonts w:hint="cs"/>
                <w:sz w:val="24"/>
                <w:szCs w:val="24"/>
                <w:rtl/>
              </w:rPr>
              <w:t>99-2000</w:t>
            </w:r>
          </w:p>
        </w:tc>
        <w:tc>
          <w:tcPr>
            <w:tcW w:w="1036" w:type="dxa"/>
          </w:tcPr>
          <w:p w:rsidR="00443EC1" w:rsidRDefault="00443EC1">
            <w:pPr>
              <w:spacing w:before="0" w:after="0" w:line="320" w:lineRule="exact"/>
              <w:jc w:val="both"/>
              <w:rPr>
                <w:rStyle w:val="FootnoteReference"/>
                <w:rFonts w:hint="cs"/>
                <w:bCs w:val="0"/>
                <w:sz w:val="24"/>
                <w:szCs w:val="24"/>
                <w:vertAlign w:val="baseline"/>
              </w:rPr>
            </w:pPr>
            <w:r>
              <w:rPr>
                <w:rFonts w:hint="cs"/>
                <w:sz w:val="24"/>
                <w:szCs w:val="24"/>
                <w:rtl/>
              </w:rPr>
              <w:t>00-2001</w:t>
            </w:r>
          </w:p>
        </w:tc>
        <w:tc>
          <w:tcPr>
            <w:tcW w:w="1036" w:type="dxa"/>
          </w:tcPr>
          <w:p w:rsidR="00443EC1" w:rsidRDefault="00443EC1">
            <w:pPr>
              <w:spacing w:before="0" w:after="0" w:line="320" w:lineRule="exact"/>
              <w:jc w:val="both"/>
              <w:rPr>
                <w:rStyle w:val="FootnoteReference"/>
                <w:rFonts w:hint="cs"/>
                <w:bCs w:val="0"/>
                <w:sz w:val="24"/>
                <w:szCs w:val="24"/>
                <w:vertAlign w:val="baseline"/>
              </w:rPr>
            </w:pPr>
            <w:r>
              <w:rPr>
                <w:rFonts w:hint="cs"/>
                <w:sz w:val="24"/>
                <w:szCs w:val="24"/>
                <w:rtl/>
              </w:rPr>
              <w:t>01-2002</w:t>
            </w:r>
          </w:p>
        </w:tc>
        <w:tc>
          <w:tcPr>
            <w:tcW w:w="1050" w:type="dxa"/>
          </w:tcPr>
          <w:p w:rsidR="00443EC1" w:rsidRDefault="00443EC1">
            <w:pPr>
              <w:spacing w:before="0" w:after="0" w:line="320" w:lineRule="exact"/>
              <w:jc w:val="both"/>
              <w:rPr>
                <w:rStyle w:val="FootnoteReference"/>
                <w:rFonts w:hint="cs"/>
                <w:bCs w:val="0"/>
                <w:sz w:val="24"/>
                <w:szCs w:val="24"/>
                <w:vertAlign w:val="baseline"/>
              </w:rPr>
            </w:pPr>
            <w:r>
              <w:rPr>
                <w:rFonts w:hint="cs"/>
                <w:sz w:val="24"/>
                <w:szCs w:val="24"/>
                <w:rtl/>
              </w:rPr>
              <w:t>02-2003</w:t>
            </w:r>
          </w:p>
        </w:tc>
      </w:tr>
      <w:tr w:rsidR="00443EC1" w:rsidTr="00443EC1">
        <w:tblPrEx>
          <w:tblCellMar>
            <w:top w:w="0" w:type="dxa"/>
            <w:bottom w:w="0" w:type="dxa"/>
          </w:tblCellMar>
        </w:tblPrEx>
        <w:trPr>
          <w:trHeight w:val="708"/>
          <w:jc w:val="center"/>
        </w:trPr>
        <w:tc>
          <w:tcPr>
            <w:tcW w:w="2772" w:type="dxa"/>
          </w:tcPr>
          <w:p w:rsidR="00443EC1" w:rsidRDefault="00443EC1">
            <w:pPr>
              <w:spacing w:before="0" w:after="0" w:line="320" w:lineRule="exact"/>
              <w:jc w:val="both"/>
              <w:rPr>
                <w:rStyle w:val="FootnoteReference"/>
                <w:rFonts w:hint="cs"/>
                <w:bCs w:val="0"/>
                <w:sz w:val="26"/>
                <w:szCs w:val="26"/>
                <w:vertAlign w:val="baseline"/>
              </w:rPr>
            </w:pPr>
            <w:r>
              <w:rPr>
                <w:rFonts w:hint="cs"/>
                <w:sz w:val="26"/>
                <w:szCs w:val="26"/>
                <w:rtl/>
              </w:rPr>
              <w:t>الصفان الرابع والخامس</w:t>
            </w:r>
          </w:p>
        </w:tc>
        <w:tc>
          <w:tcPr>
            <w:tcW w:w="1161" w:type="dxa"/>
          </w:tcPr>
          <w:p w:rsidR="00443EC1" w:rsidRDefault="00443EC1">
            <w:pPr>
              <w:spacing w:before="0" w:after="0" w:line="320" w:lineRule="exact"/>
              <w:jc w:val="both"/>
              <w:rPr>
                <w:rStyle w:val="FootnoteReference"/>
                <w:rFonts w:hint="cs"/>
                <w:bCs w:val="0"/>
                <w:sz w:val="24"/>
                <w:szCs w:val="24"/>
                <w:vertAlign w:val="baseline"/>
              </w:rPr>
            </w:pPr>
            <w:r>
              <w:rPr>
                <w:rFonts w:hint="cs"/>
                <w:sz w:val="24"/>
                <w:szCs w:val="24"/>
                <w:rtl/>
              </w:rPr>
              <w:t>050 5</w:t>
            </w:r>
            <w:r>
              <w:rPr>
                <w:sz w:val="24"/>
                <w:szCs w:val="24"/>
                <w:rtl/>
              </w:rPr>
              <w:br/>
              <w:t>(18</w:t>
            </w:r>
            <w:r>
              <w:rPr>
                <w:rFonts w:cs="Mudir MT" w:hint="cs"/>
                <w:sz w:val="24"/>
                <w:szCs w:val="24"/>
                <w:rtl/>
                <w:lang w:eastAsia="en-US"/>
              </w:rPr>
              <w:t>%</w:t>
            </w:r>
            <w:r>
              <w:rPr>
                <w:rFonts w:hint="cs"/>
                <w:sz w:val="24"/>
                <w:szCs w:val="24"/>
                <w:rtl/>
              </w:rPr>
              <w:t>)</w:t>
            </w:r>
          </w:p>
        </w:tc>
        <w:tc>
          <w:tcPr>
            <w:tcW w:w="1218" w:type="dxa"/>
          </w:tcPr>
          <w:p w:rsidR="00443EC1" w:rsidRDefault="00443EC1">
            <w:pPr>
              <w:spacing w:before="0" w:after="0" w:line="320" w:lineRule="exact"/>
              <w:jc w:val="both"/>
              <w:rPr>
                <w:rStyle w:val="FootnoteReference"/>
                <w:rFonts w:hint="cs"/>
                <w:bCs w:val="0"/>
                <w:sz w:val="24"/>
                <w:szCs w:val="24"/>
                <w:vertAlign w:val="baseline"/>
              </w:rPr>
            </w:pPr>
            <w:r>
              <w:rPr>
                <w:rFonts w:hint="cs"/>
                <w:sz w:val="24"/>
                <w:szCs w:val="24"/>
                <w:rtl/>
              </w:rPr>
              <w:t>050 5</w:t>
            </w:r>
            <w:r>
              <w:rPr>
                <w:sz w:val="24"/>
                <w:szCs w:val="24"/>
                <w:rtl/>
              </w:rPr>
              <w:br/>
            </w:r>
            <w:r>
              <w:rPr>
                <w:rFonts w:hint="cs"/>
                <w:sz w:val="24"/>
                <w:szCs w:val="24"/>
                <w:rtl/>
              </w:rPr>
              <w:t>(17</w:t>
            </w:r>
            <w:r>
              <w:rPr>
                <w:rFonts w:cs="Mudir MT" w:hint="cs"/>
                <w:sz w:val="24"/>
                <w:szCs w:val="24"/>
                <w:rtl/>
                <w:lang w:eastAsia="en-US"/>
              </w:rPr>
              <w:t>%</w:t>
            </w:r>
            <w:r>
              <w:rPr>
                <w:rFonts w:hint="cs"/>
                <w:sz w:val="24"/>
                <w:szCs w:val="24"/>
                <w:rtl/>
              </w:rPr>
              <w:t>)</w:t>
            </w:r>
          </w:p>
        </w:tc>
        <w:tc>
          <w:tcPr>
            <w:tcW w:w="1092" w:type="dxa"/>
          </w:tcPr>
          <w:p w:rsidR="00443EC1" w:rsidRDefault="00443EC1">
            <w:pPr>
              <w:spacing w:before="0" w:after="0" w:line="320" w:lineRule="exact"/>
              <w:jc w:val="both"/>
              <w:rPr>
                <w:rStyle w:val="FootnoteReference"/>
                <w:rFonts w:hint="cs"/>
                <w:bCs w:val="0"/>
                <w:sz w:val="24"/>
                <w:szCs w:val="24"/>
                <w:vertAlign w:val="baseline"/>
              </w:rPr>
            </w:pPr>
            <w:r>
              <w:rPr>
                <w:rFonts w:hint="cs"/>
                <w:sz w:val="24"/>
                <w:szCs w:val="24"/>
                <w:rtl/>
              </w:rPr>
              <w:t>050 5</w:t>
            </w:r>
            <w:r>
              <w:rPr>
                <w:sz w:val="24"/>
                <w:szCs w:val="24"/>
                <w:rtl/>
              </w:rPr>
              <w:br/>
            </w:r>
            <w:r>
              <w:rPr>
                <w:rFonts w:hint="cs"/>
                <w:sz w:val="24"/>
                <w:szCs w:val="24"/>
                <w:rtl/>
              </w:rPr>
              <w:t>(17</w:t>
            </w:r>
            <w:r>
              <w:rPr>
                <w:rFonts w:cs="Mudir MT" w:hint="cs"/>
                <w:sz w:val="24"/>
                <w:szCs w:val="24"/>
                <w:rtl/>
                <w:lang w:eastAsia="en-US"/>
              </w:rPr>
              <w:t>%</w:t>
            </w:r>
            <w:r>
              <w:rPr>
                <w:rFonts w:hint="cs"/>
                <w:sz w:val="24"/>
                <w:szCs w:val="24"/>
                <w:rtl/>
              </w:rPr>
              <w:t>)</w:t>
            </w:r>
          </w:p>
        </w:tc>
        <w:tc>
          <w:tcPr>
            <w:tcW w:w="1036" w:type="dxa"/>
          </w:tcPr>
          <w:p w:rsidR="00443EC1" w:rsidRDefault="00443EC1">
            <w:pPr>
              <w:spacing w:before="0" w:after="0" w:line="320" w:lineRule="exact"/>
              <w:jc w:val="both"/>
              <w:rPr>
                <w:rStyle w:val="FootnoteReference"/>
                <w:rFonts w:hint="cs"/>
                <w:bCs w:val="0"/>
                <w:sz w:val="24"/>
                <w:szCs w:val="24"/>
                <w:vertAlign w:val="baseline"/>
              </w:rPr>
            </w:pPr>
            <w:r>
              <w:rPr>
                <w:rFonts w:hint="cs"/>
                <w:sz w:val="24"/>
                <w:szCs w:val="24"/>
                <w:rtl/>
              </w:rPr>
              <w:t>050 5</w:t>
            </w:r>
            <w:r>
              <w:rPr>
                <w:sz w:val="24"/>
                <w:szCs w:val="24"/>
                <w:rtl/>
              </w:rPr>
              <w:br/>
            </w:r>
            <w:r>
              <w:rPr>
                <w:rFonts w:hint="cs"/>
                <w:sz w:val="24"/>
                <w:szCs w:val="24"/>
                <w:rtl/>
              </w:rPr>
              <w:t>(15</w:t>
            </w:r>
            <w:r>
              <w:rPr>
                <w:rFonts w:cs="Mudir MT" w:hint="cs"/>
                <w:sz w:val="24"/>
                <w:szCs w:val="24"/>
                <w:rtl/>
                <w:lang w:eastAsia="en-US"/>
              </w:rPr>
              <w:t>%</w:t>
            </w:r>
            <w:r>
              <w:rPr>
                <w:rFonts w:hint="cs"/>
                <w:sz w:val="24"/>
                <w:szCs w:val="24"/>
                <w:rtl/>
              </w:rPr>
              <w:t>)</w:t>
            </w:r>
          </w:p>
        </w:tc>
        <w:tc>
          <w:tcPr>
            <w:tcW w:w="1036" w:type="dxa"/>
          </w:tcPr>
          <w:p w:rsidR="00443EC1" w:rsidRDefault="00443EC1">
            <w:pPr>
              <w:spacing w:before="0" w:after="0" w:line="320" w:lineRule="exact"/>
              <w:jc w:val="both"/>
              <w:rPr>
                <w:rStyle w:val="FootnoteReference"/>
                <w:rFonts w:hint="cs"/>
                <w:bCs w:val="0"/>
                <w:sz w:val="24"/>
                <w:szCs w:val="24"/>
                <w:vertAlign w:val="baseline"/>
              </w:rPr>
            </w:pPr>
            <w:r>
              <w:rPr>
                <w:rFonts w:hint="cs"/>
                <w:sz w:val="24"/>
                <w:szCs w:val="24"/>
                <w:rtl/>
              </w:rPr>
              <w:t>050 5</w:t>
            </w:r>
            <w:r>
              <w:rPr>
                <w:sz w:val="24"/>
                <w:szCs w:val="24"/>
                <w:rtl/>
              </w:rPr>
              <w:br/>
            </w:r>
            <w:r>
              <w:rPr>
                <w:rFonts w:hint="cs"/>
                <w:sz w:val="24"/>
                <w:szCs w:val="24"/>
                <w:rtl/>
              </w:rPr>
              <w:t>(15</w:t>
            </w:r>
            <w:r>
              <w:rPr>
                <w:rFonts w:cs="Mudir MT" w:hint="cs"/>
                <w:sz w:val="24"/>
                <w:szCs w:val="24"/>
                <w:rtl/>
                <w:lang w:eastAsia="en-US"/>
              </w:rPr>
              <w:t>%)</w:t>
            </w:r>
          </w:p>
        </w:tc>
        <w:tc>
          <w:tcPr>
            <w:tcW w:w="1050" w:type="dxa"/>
          </w:tcPr>
          <w:p w:rsidR="00443EC1" w:rsidRDefault="00443EC1">
            <w:pPr>
              <w:spacing w:before="0" w:after="0" w:line="320" w:lineRule="exact"/>
              <w:jc w:val="both"/>
              <w:rPr>
                <w:rStyle w:val="FootnoteReference"/>
                <w:rFonts w:hint="cs"/>
                <w:bCs w:val="0"/>
                <w:sz w:val="24"/>
                <w:szCs w:val="24"/>
                <w:vertAlign w:val="baseline"/>
              </w:rPr>
            </w:pPr>
            <w:r>
              <w:rPr>
                <w:rFonts w:hint="cs"/>
                <w:sz w:val="24"/>
                <w:szCs w:val="24"/>
                <w:rtl/>
              </w:rPr>
              <w:t>050 5</w:t>
            </w:r>
            <w:r>
              <w:rPr>
                <w:sz w:val="24"/>
                <w:szCs w:val="24"/>
                <w:rtl/>
              </w:rPr>
              <w:br/>
            </w:r>
            <w:r>
              <w:rPr>
                <w:rFonts w:hint="cs"/>
                <w:sz w:val="24"/>
                <w:szCs w:val="24"/>
                <w:rtl/>
              </w:rPr>
              <w:t>(14</w:t>
            </w:r>
            <w:r>
              <w:rPr>
                <w:rFonts w:cs="Mudir MT" w:hint="cs"/>
                <w:sz w:val="24"/>
                <w:szCs w:val="24"/>
                <w:rtl/>
                <w:lang w:eastAsia="en-US"/>
              </w:rPr>
              <w:t>%</w:t>
            </w:r>
            <w:r>
              <w:rPr>
                <w:rFonts w:hint="cs"/>
                <w:sz w:val="24"/>
                <w:szCs w:val="24"/>
                <w:rtl/>
              </w:rPr>
              <w:t>)</w:t>
            </w:r>
          </w:p>
        </w:tc>
      </w:tr>
      <w:tr w:rsidR="00443EC1" w:rsidTr="00443EC1">
        <w:tblPrEx>
          <w:tblCellMar>
            <w:top w:w="0" w:type="dxa"/>
            <w:bottom w:w="0" w:type="dxa"/>
          </w:tblCellMar>
        </w:tblPrEx>
        <w:trPr>
          <w:trHeight w:val="692"/>
          <w:jc w:val="center"/>
        </w:trPr>
        <w:tc>
          <w:tcPr>
            <w:tcW w:w="2772" w:type="dxa"/>
          </w:tcPr>
          <w:p w:rsidR="00443EC1" w:rsidRDefault="00443EC1">
            <w:pPr>
              <w:spacing w:before="0" w:after="0" w:line="320" w:lineRule="exact"/>
              <w:jc w:val="both"/>
              <w:rPr>
                <w:rStyle w:val="FootnoteReference"/>
                <w:rFonts w:hint="cs"/>
                <w:bCs w:val="0"/>
                <w:sz w:val="26"/>
                <w:szCs w:val="26"/>
                <w:vertAlign w:val="baseline"/>
              </w:rPr>
            </w:pPr>
            <w:r>
              <w:rPr>
                <w:rFonts w:hint="cs"/>
                <w:sz w:val="26"/>
                <w:szCs w:val="26"/>
                <w:rtl/>
              </w:rPr>
              <w:t>الصفان السادس والسابع</w:t>
            </w:r>
          </w:p>
        </w:tc>
        <w:tc>
          <w:tcPr>
            <w:tcW w:w="1161" w:type="dxa"/>
          </w:tcPr>
          <w:p w:rsidR="00443EC1" w:rsidRDefault="00443EC1">
            <w:pPr>
              <w:spacing w:before="0" w:after="0" w:line="320" w:lineRule="exact"/>
              <w:jc w:val="both"/>
              <w:rPr>
                <w:rStyle w:val="FootnoteReference"/>
                <w:rFonts w:hint="cs"/>
                <w:bCs w:val="0"/>
                <w:sz w:val="24"/>
                <w:szCs w:val="24"/>
                <w:vertAlign w:val="baseline"/>
              </w:rPr>
            </w:pPr>
            <w:r>
              <w:rPr>
                <w:rFonts w:hint="cs"/>
                <w:sz w:val="24"/>
                <w:szCs w:val="24"/>
                <w:rtl/>
              </w:rPr>
              <w:t>750 8</w:t>
            </w:r>
            <w:r>
              <w:rPr>
                <w:sz w:val="24"/>
                <w:szCs w:val="24"/>
                <w:rtl/>
              </w:rPr>
              <w:br/>
              <w:t>(18</w:t>
            </w:r>
            <w:r>
              <w:rPr>
                <w:rFonts w:cs="Mudir MT" w:hint="cs"/>
                <w:sz w:val="24"/>
                <w:szCs w:val="24"/>
                <w:rtl/>
                <w:lang w:eastAsia="en-US"/>
              </w:rPr>
              <w:t>%</w:t>
            </w:r>
            <w:r>
              <w:rPr>
                <w:rFonts w:hint="cs"/>
                <w:sz w:val="24"/>
                <w:szCs w:val="24"/>
                <w:rtl/>
              </w:rPr>
              <w:t>)</w:t>
            </w:r>
          </w:p>
        </w:tc>
        <w:tc>
          <w:tcPr>
            <w:tcW w:w="1218" w:type="dxa"/>
          </w:tcPr>
          <w:p w:rsidR="00443EC1" w:rsidRDefault="00443EC1">
            <w:pPr>
              <w:spacing w:before="0" w:after="0" w:line="320" w:lineRule="exact"/>
              <w:jc w:val="both"/>
              <w:rPr>
                <w:rStyle w:val="FootnoteReference"/>
                <w:rFonts w:hint="cs"/>
                <w:bCs w:val="0"/>
                <w:sz w:val="24"/>
                <w:szCs w:val="24"/>
                <w:vertAlign w:val="baseline"/>
              </w:rPr>
            </w:pPr>
            <w:r>
              <w:rPr>
                <w:rFonts w:hint="cs"/>
                <w:sz w:val="24"/>
                <w:szCs w:val="24"/>
                <w:rtl/>
              </w:rPr>
              <w:t>750 8</w:t>
            </w:r>
            <w:r>
              <w:rPr>
                <w:sz w:val="24"/>
                <w:szCs w:val="24"/>
                <w:rtl/>
              </w:rPr>
              <w:br/>
            </w:r>
            <w:r>
              <w:rPr>
                <w:rFonts w:hint="cs"/>
                <w:sz w:val="24"/>
                <w:szCs w:val="24"/>
                <w:rtl/>
              </w:rPr>
              <w:t>(17</w:t>
            </w:r>
            <w:r>
              <w:rPr>
                <w:rFonts w:cs="Mudir MT" w:hint="cs"/>
                <w:sz w:val="24"/>
                <w:szCs w:val="24"/>
                <w:rtl/>
                <w:lang w:eastAsia="en-US"/>
              </w:rPr>
              <w:t>%</w:t>
            </w:r>
            <w:r>
              <w:rPr>
                <w:rFonts w:hint="cs"/>
                <w:sz w:val="24"/>
                <w:szCs w:val="24"/>
                <w:rtl/>
              </w:rPr>
              <w:t>)</w:t>
            </w:r>
          </w:p>
        </w:tc>
        <w:tc>
          <w:tcPr>
            <w:tcW w:w="1092" w:type="dxa"/>
          </w:tcPr>
          <w:p w:rsidR="00443EC1" w:rsidRDefault="00443EC1">
            <w:pPr>
              <w:spacing w:before="0" w:after="0" w:line="320" w:lineRule="exact"/>
              <w:jc w:val="both"/>
              <w:rPr>
                <w:rStyle w:val="FootnoteReference"/>
                <w:rFonts w:hint="cs"/>
                <w:bCs w:val="0"/>
                <w:sz w:val="24"/>
                <w:szCs w:val="24"/>
                <w:vertAlign w:val="baseline"/>
              </w:rPr>
            </w:pPr>
            <w:r>
              <w:rPr>
                <w:rFonts w:hint="cs"/>
                <w:sz w:val="24"/>
                <w:szCs w:val="24"/>
                <w:rtl/>
              </w:rPr>
              <w:t>750 8</w:t>
            </w:r>
            <w:r>
              <w:rPr>
                <w:sz w:val="24"/>
                <w:szCs w:val="24"/>
                <w:rtl/>
              </w:rPr>
              <w:br/>
            </w:r>
            <w:r>
              <w:rPr>
                <w:rFonts w:hint="cs"/>
                <w:sz w:val="24"/>
                <w:szCs w:val="24"/>
                <w:rtl/>
              </w:rPr>
              <w:t>(17</w:t>
            </w:r>
            <w:r>
              <w:rPr>
                <w:rFonts w:cs="Mudir MT" w:hint="cs"/>
                <w:sz w:val="24"/>
                <w:szCs w:val="24"/>
                <w:rtl/>
                <w:lang w:eastAsia="en-US"/>
              </w:rPr>
              <w:t>%</w:t>
            </w:r>
            <w:r>
              <w:rPr>
                <w:rFonts w:hint="cs"/>
                <w:sz w:val="24"/>
                <w:szCs w:val="24"/>
                <w:rtl/>
              </w:rPr>
              <w:t>)</w:t>
            </w:r>
          </w:p>
        </w:tc>
        <w:tc>
          <w:tcPr>
            <w:tcW w:w="1036" w:type="dxa"/>
          </w:tcPr>
          <w:p w:rsidR="00443EC1" w:rsidRDefault="00443EC1">
            <w:pPr>
              <w:spacing w:before="0" w:after="0" w:line="320" w:lineRule="exact"/>
              <w:jc w:val="both"/>
              <w:rPr>
                <w:rStyle w:val="FootnoteReference"/>
                <w:rFonts w:hint="cs"/>
                <w:bCs w:val="0"/>
                <w:sz w:val="24"/>
                <w:szCs w:val="24"/>
                <w:vertAlign w:val="baseline"/>
              </w:rPr>
            </w:pPr>
            <w:r>
              <w:rPr>
                <w:rFonts w:hint="cs"/>
                <w:sz w:val="24"/>
                <w:szCs w:val="24"/>
                <w:rtl/>
              </w:rPr>
              <w:t>750 8</w:t>
            </w:r>
            <w:r>
              <w:rPr>
                <w:sz w:val="24"/>
                <w:szCs w:val="24"/>
                <w:rtl/>
              </w:rPr>
              <w:br/>
            </w:r>
            <w:r>
              <w:rPr>
                <w:rFonts w:hint="cs"/>
                <w:sz w:val="24"/>
                <w:szCs w:val="24"/>
                <w:rtl/>
              </w:rPr>
              <w:t>(16</w:t>
            </w:r>
            <w:r>
              <w:rPr>
                <w:rFonts w:cs="Mudir MT" w:hint="cs"/>
                <w:sz w:val="24"/>
                <w:szCs w:val="24"/>
                <w:rtl/>
                <w:lang w:eastAsia="en-US"/>
              </w:rPr>
              <w:t>%</w:t>
            </w:r>
            <w:r>
              <w:rPr>
                <w:rFonts w:hint="cs"/>
                <w:sz w:val="24"/>
                <w:szCs w:val="24"/>
                <w:rtl/>
              </w:rPr>
              <w:t>)</w:t>
            </w:r>
          </w:p>
        </w:tc>
        <w:tc>
          <w:tcPr>
            <w:tcW w:w="1036" w:type="dxa"/>
          </w:tcPr>
          <w:p w:rsidR="00443EC1" w:rsidRDefault="00443EC1">
            <w:pPr>
              <w:spacing w:before="0" w:after="0" w:line="320" w:lineRule="exact"/>
              <w:jc w:val="both"/>
              <w:rPr>
                <w:rStyle w:val="FootnoteReference"/>
                <w:rFonts w:hint="cs"/>
                <w:bCs w:val="0"/>
                <w:sz w:val="24"/>
                <w:szCs w:val="24"/>
                <w:vertAlign w:val="baseline"/>
              </w:rPr>
            </w:pPr>
            <w:r>
              <w:rPr>
                <w:rFonts w:hint="cs"/>
                <w:sz w:val="24"/>
                <w:szCs w:val="24"/>
                <w:rtl/>
              </w:rPr>
              <w:t>750 8</w:t>
            </w:r>
            <w:r>
              <w:rPr>
                <w:sz w:val="24"/>
                <w:szCs w:val="24"/>
                <w:rtl/>
              </w:rPr>
              <w:br/>
            </w:r>
            <w:r>
              <w:rPr>
                <w:rFonts w:hint="cs"/>
                <w:sz w:val="24"/>
                <w:szCs w:val="24"/>
                <w:rtl/>
              </w:rPr>
              <w:t>(15</w:t>
            </w:r>
            <w:r>
              <w:rPr>
                <w:rFonts w:cs="Mudir MT" w:hint="cs"/>
                <w:sz w:val="24"/>
                <w:szCs w:val="24"/>
                <w:rtl/>
                <w:lang w:eastAsia="en-US"/>
              </w:rPr>
              <w:t>%</w:t>
            </w:r>
            <w:r>
              <w:rPr>
                <w:rFonts w:hint="cs"/>
                <w:sz w:val="24"/>
                <w:szCs w:val="24"/>
                <w:rtl/>
              </w:rPr>
              <w:t>)</w:t>
            </w:r>
          </w:p>
        </w:tc>
        <w:tc>
          <w:tcPr>
            <w:tcW w:w="1050" w:type="dxa"/>
          </w:tcPr>
          <w:p w:rsidR="00443EC1" w:rsidRDefault="00443EC1">
            <w:pPr>
              <w:spacing w:before="0" w:after="0" w:line="320" w:lineRule="exact"/>
              <w:jc w:val="both"/>
              <w:rPr>
                <w:rStyle w:val="FootnoteReference"/>
                <w:rFonts w:hint="cs"/>
                <w:bCs w:val="0"/>
                <w:sz w:val="24"/>
                <w:szCs w:val="24"/>
                <w:vertAlign w:val="baseline"/>
              </w:rPr>
            </w:pPr>
            <w:r>
              <w:rPr>
                <w:rFonts w:hint="cs"/>
                <w:sz w:val="24"/>
                <w:szCs w:val="24"/>
                <w:rtl/>
              </w:rPr>
              <w:t>750 8</w:t>
            </w:r>
            <w:r>
              <w:rPr>
                <w:sz w:val="24"/>
                <w:szCs w:val="24"/>
                <w:rtl/>
              </w:rPr>
              <w:br/>
            </w:r>
            <w:r>
              <w:rPr>
                <w:rFonts w:hint="cs"/>
                <w:sz w:val="24"/>
                <w:szCs w:val="24"/>
                <w:rtl/>
              </w:rPr>
              <w:t>(14</w:t>
            </w:r>
            <w:r>
              <w:rPr>
                <w:rFonts w:cs="Mudir MT" w:hint="cs"/>
                <w:sz w:val="24"/>
                <w:szCs w:val="24"/>
                <w:rtl/>
                <w:lang w:eastAsia="en-US"/>
              </w:rPr>
              <w:t>%</w:t>
            </w:r>
            <w:r>
              <w:rPr>
                <w:rFonts w:hint="cs"/>
                <w:sz w:val="24"/>
                <w:szCs w:val="24"/>
                <w:rtl/>
              </w:rPr>
              <w:t>)</w:t>
            </w:r>
          </w:p>
        </w:tc>
      </w:tr>
    </w:tbl>
    <w:p w:rsidR="00000000" w:rsidRDefault="00443EC1">
      <w:pPr>
        <w:spacing w:line="380" w:lineRule="exact"/>
        <w:jc w:val="both"/>
        <w:rPr>
          <w:rFonts w:hint="cs"/>
          <w:rtl/>
        </w:rPr>
      </w:pPr>
      <w:r>
        <w:rPr>
          <w:rFonts w:hint="cs"/>
          <w:rtl/>
        </w:rPr>
        <w:t>ويجوز للطلاب المعوزين في مدارس القطاع العام المطالبة باسترداد نصف الرسوم أو كلها.</w:t>
      </w:r>
    </w:p>
    <w:p w:rsidR="00000000" w:rsidRDefault="00443EC1">
      <w:pPr>
        <w:spacing w:line="380" w:lineRule="exact"/>
        <w:jc w:val="both"/>
        <w:rPr>
          <w:rFonts w:hint="cs"/>
          <w:b/>
          <w:bCs/>
          <w:rtl/>
        </w:rPr>
      </w:pPr>
      <w:r>
        <w:rPr>
          <w:rFonts w:hint="cs"/>
          <w:b/>
          <w:bCs/>
          <w:rtl/>
        </w:rPr>
        <w:t>المدرسون</w:t>
      </w:r>
    </w:p>
    <w:p w:rsidR="00000000" w:rsidRDefault="00443EC1">
      <w:pPr>
        <w:spacing w:line="380" w:lineRule="exact"/>
        <w:jc w:val="both"/>
        <w:rPr>
          <w:rFonts w:hint="cs"/>
          <w:i/>
          <w:iCs/>
          <w:rtl/>
        </w:rPr>
      </w:pPr>
      <w:r>
        <w:rPr>
          <w:rFonts w:hint="cs"/>
          <w:i/>
          <w:iCs/>
          <w:rtl/>
        </w:rPr>
        <w:t>الأجور</w:t>
      </w:r>
    </w:p>
    <w:p w:rsidR="00000000" w:rsidRDefault="00443EC1">
      <w:pPr>
        <w:spacing w:line="380" w:lineRule="exact"/>
        <w:jc w:val="both"/>
        <w:rPr>
          <w:rFonts w:hint="cs"/>
          <w:rtl/>
        </w:rPr>
      </w:pPr>
      <w:r>
        <w:rPr>
          <w:rFonts w:hint="cs"/>
          <w:rtl/>
        </w:rPr>
        <w:t>695-</w:t>
      </w:r>
      <w:r>
        <w:rPr>
          <w:rFonts w:hint="cs"/>
          <w:rtl/>
        </w:rPr>
        <w:tab/>
        <w:t>لم يتغير الوضع عما هو مبين في الفقرة 512 من التقرير الأولي.</w:t>
      </w:r>
    </w:p>
    <w:p w:rsidR="00000000" w:rsidRDefault="00443EC1">
      <w:pPr>
        <w:spacing w:line="380" w:lineRule="exact"/>
        <w:jc w:val="both"/>
        <w:rPr>
          <w:rFonts w:hint="cs"/>
          <w:i/>
          <w:iCs/>
          <w:rtl/>
        </w:rPr>
      </w:pPr>
      <w:r>
        <w:rPr>
          <w:rFonts w:hint="cs"/>
          <w:i/>
          <w:iCs/>
          <w:rtl/>
        </w:rPr>
        <w:t>نوعية المدرّسين</w:t>
      </w:r>
    </w:p>
    <w:p w:rsidR="00000000" w:rsidRDefault="00443EC1">
      <w:pPr>
        <w:spacing w:line="380" w:lineRule="exact"/>
        <w:jc w:val="both"/>
        <w:rPr>
          <w:rFonts w:hint="cs"/>
          <w:rtl/>
        </w:rPr>
      </w:pPr>
      <w:r>
        <w:rPr>
          <w:rFonts w:hint="cs"/>
          <w:rtl/>
        </w:rPr>
        <w:t>696- يتضمن المرفق 13باء سرداً للمبادرات ال</w:t>
      </w:r>
      <w:r>
        <w:rPr>
          <w:rFonts w:hint="cs"/>
          <w:rtl/>
        </w:rPr>
        <w:t>تي نحن حالياً بصدد اتخاذها لتحسين مستويات التعليم. وهذه المعلومات تستوفي المعلومات الواردة في الفقرة 512 والمرفق 28 من التقرير الأولي.</w:t>
      </w:r>
    </w:p>
    <w:p w:rsidR="00000000" w:rsidRDefault="00443EC1">
      <w:pPr>
        <w:spacing w:line="380" w:lineRule="exact"/>
        <w:jc w:val="both"/>
        <w:rPr>
          <w:rFonts w:hint="cs"/>
          <w:i/>
          <w:iCs/>
          <w:rtl/>
        </w:rPr>
      </w:pPr>
      <w:r>
        <w:rPr>
          <w:rFonts w:hint="cs"/>
          <w:i/>
          <w:iCs/>
          <w:rtl/>
        </w:rPr>
        <w:t>تعليم المدرسين</w:t>
      </w:r>
    </w:p>
    <w:p w:rsidR="00000000" w:rsidRDefault="00443EC1">
      <w:pPr>
        <w:spacing w:line="380" w:lineRule="exact"/>
        <w:jc w:val="both"/>
        <w:rPr>
          <w:rFonts w:hint="cs"/>
          <w:rtl/>
        </w:rPr>
      </w:pPr>
      <w:r>
        <w:rPr>
          <w:rFonts w:hint="cs"/>
          <w:rtl/>
        </w:rPr>
        <w:t>697-</w:t>
      </w:r>
      <w:r>
        <w:rPr>
          <w:rFonts w:hint="cs"/>
          <w:rtl/>
        </w:rPr>
        <w:tab/>
        <w:t>لم يتغير الوضع عما هو مبين في الفقرة 514 من التقرير الأولي، على الرغم من أن الجامعة المعمدانية في هون</w:t>
      </w:r>
      <w:r>
        <w:rPr>
          <w:rFonts w:hint="cs"/>
          <w:rtl/>
        </w:rPr>
        <w:t>غ كونغ انضمت إلى المؤسسات المدرجة في قائمة المؤسسات من الدرجة الثالثة التي تقدم برامج التعليم قبل الخدمة. وفيما يتعلق باسترداد رسوم الدورات التعليمية، يجوز للمعلمين الذين يلتحقون بدورات النهوض بالمستوى المهني أثناء الخدمة أن يقدموا طلبات إلى مدارسهم لاسترد</w:t>
      </w:r>
      <w:r>
        <w:rPr>
          <w:rFonts w:hint="cs"/>
          <w:rtl/>
        </w:rPr>
        <w:t>اد جزء من تكاليف هذه الدورات أو كلّها.</w:t>
      </w:r>
    </w:p>
    <w:p w:rsidR="00000000" w:rsidRDefault="00443EC1">
      <w:pPr>
        <w:spacing w:line="380" w:lineRule="exact"/>
        <w:jc w:val="both"/>
        <w:rPr>
          <w:rFonts w:hint="cs"/>
          <w:b/>
          <w:bCs/>
          <w:rtl/>
        </w:rPr>
      </w:pPr>
    </w:p>
    <w:p w:rsidR="00000000" w:rsidRDefault="00443EC1">
      <w:pPr>
        <w:spacing w:line="380" w:lineRule="exact"/>
        <w:jc w:val="both"/>
        <w:rPr>
          <w:rFonts w:hint="cs"/>
          <w:b/>
          <w:bCs/>
          <w:rtl/>
        </w:rPr>
      </w:pPr>
    </w:p>
    <w:p w:rsidR="00000000" w:rsidRDefault="00443EC1">
      <w:pPr>
        <w:spacing w:line="380" w:lineRule="exact"/>
        <w:jc w:val="both"/>
        <w:rPr>
          <w:rFonts w:hint="cs"/>
          <w:b/>
          <w:bCs/>
          <w:rtl/>
        </w:rPr>
      </w:pPr>
      <w:r>
        <w:rPr>
          <w:rFonts w:hint="cs"/>
          <w:b/>
          <w:bCs/>
          <w:rtl/>
        </w:rPr>
        <w:t>صندوق نوعية التعليم</w:t>
      </w:r>
    </w:p>
    <w:p w:rsidR="00000000" w:rsidRDefault="00443EC1">
      <w:pPr>
        <w:spacing w:line="380" w:lineRule="exact"/>
        <w:jc w:val="both"/>
        <w:rPr>
          <w:rFonts w:hint="cs"/>
          <w:rtl/>
        </w:rPr>
      </w:pPr>
      <w:r>
        <w:rPr>
          <w:rFonts w:hint="cs"/>
          <w:rtl/>
        </w:rPr>
        <w:t>698-</w:t>
      </w:r>
      <w:r>
        <w:rPr>
          <w:rFonts w:hint="cs"/>
          <w:rtl/>
        </w:rPr>
        <w:tab/>
        <w:t>بيّنا في الفقرة 515 من التقرير الأولي أن الهدف الرئيسي لهذا الصندوق هو دعم الأبحاث التعليمية والمبادرات في المدارس لتطوير مناهج دراسية جديدة وتحسين العملية التعليمية. وأصدر الصندوق منذ إنشائ</w:t>
      </w:r>
      <w:r>
        <w:rPr>
          <w:rFonts w:hint="cs"/>
          <w:rtl/>
        </w:rPr>
        <w:t>ه في كانون الثاني/يناير 1998، خمس دعوات لتقديم الطلبات (ويتم حالياً إصدار الدعوة السادسة). وجذبت هذه الدعوات أكثر من 000 12 مشترك من مدارس وهيئات تعليمية ومنظمات لا تستهدف الربح وهيئات عامة وأفراد. وتمت الموافقة على أكثر من 600 4 مشروع بتكلفة إجمالية قدرها</w:t>
      </w:r>
      <w:r>
        <w:rPr>
          <w:rFonts w:hint="cs"/>
          <w:rtl/>
        </w:rPr>
        <w:t xml:space="preserve"> 2.8 مليار دولار من دولارات هونغ كونغ (أي قرابة 395 مليون دولار من دولارات الولايات المتحدة). </w:t>
      </w:r>
    </w:p>
    <w:p w:rsidR="00000000" w:rsidRDefault="00443EC1">
      <w:pPr>
        <w:spacing w:line="380" w:lineRule="exact"/>
        <w:jc w:val="both"/>
        <w:rPr>
          <w:rFonts w:hint="cs"/>
          <w:b/>
          <w:bCs/>
          <w:rtl/>
        </w:rPr>
      </w:pPr>
      <w:r>
        <w:rPr>
          <w:rFonts w:hint="cs"/>
          <w:b/>
          <w:bCs/>
          <w:rtl/>
        </w:rPr>
        <w:t>سياسة اللغات - تعلم القراءة والكتابة بلغتين وثلاث لغات</w:t>
      </w:r>
    </w:p>
    <w:p w:rsidR="00000000" w:rsidRDefault="00443EC1">
      <w:pPr>
        <w:spacing w:line="380" w:lineRule="exact"/>
        <w:jc w:val="both"/>
        <w:rPr>
          <w:rFonts w:hint="cs"/>
          <w:rtl/>
        </w:rPr>
      </w:pPr>
      <w:r>
        <w:rPr>
          <w:rFonts w:hint="cs"/>
          <w:rtl/>
        </w:rPr>
        <w:t>699-</w:t>
      </w:r>
      <w:r>
        <w:rPr>
          <w:rFonts w:hint="cs"/>
          <w:rtl/>
        </w:rPr>
        <w:tab/>
        <w:t>لم يتغير الوضع أساساً عما تم توضيحه في الفقرتين 517 و518 من التقرير الأولي.</w:t>
      </w:r>
    </w:p>
    <w:p w:rsidR="00000000" w:rsidRDefault="00443EC1">
      <w:pPr>
        <w:spacing w:line="380" w:lineRule="exact"/>
        <w:jc w:val="both"/>
        <w:rPr>
          <w:rFonts w:hint="cs"/>
          <w:b/>
          <w:bCs/>
          <w:rtl/>
        </w:rPr>
      </w:pPr>
      <w:r>
        <w:rPr>
          <w:rFonts w:hint="cs"/>
          <w:b/>
          <w:bCs/>
          <w:rtl/>
        </w:rPr>
        <w:t>وسائل التعليم</w:t>
      </w:r>
    </w:p>
    <w:p w:rsidR="00000000" w:rsidRDefault="00443EC1">
      <w:pPr>
        <w:spacing w:line="380" w:lineRule="exact"/>
        <w:jc w:val="both"/>
        <w:rPr>
          <w:rFonts w:hint="cs"/>
          <w:rtl/>
        </w:rPr>
      </w:pPr>
      <w:r>
        <w:rPr>
          <w:rFonts w:hint="cs"/>
          <w:rtl/>
        </w:rPr>
        <w:t>700-</w:t>
      </w:r>
      <w:r>
        <w:rPr>
          <w:rFonts w:hint="cs"/>
          <w:rtl/>
        </w:rPr>
        <w:tab/>
        <w:t>لم يتغ</w:t>
      </w:r>
      <w:r>
        <w:rPr>
          <w:rFonts w:hint="cs"/>
          <w:rtl/>
        </w:rPr>
        <w:t>ير الوضع أساساً عما تم توضيحه في الفقرات من 519 إلى 524 من التقرير الأولي. وسنستعرض السياسة العامة للعام الدراسي 2003 و2004.</w:t>
      </w:r>
    </w:p>
    <w:p w:rsidR="00000000" w:rsidRDefault="00443EC1">
      <w:pPr>
        <w:spacing w:line="380" w:lineRule="exact"/>
        <w:jc w:val="both"/>
        <w:rPr>
          <w:rFonts w:hint="cs"/>
          <w:i/>
          <w:iCs/>
          <w:rtl/>
        </w:rPr>
      </w:pPr>
      <w:r>
        <w:rPr>
          <w:rFonts w:hint="cs"/>
          <w:i/>
          <w:iCs/>
          <w:rtl/>
        </w:rPr>
        <w:t>تعليم المدرسين لتشجيع التدريس باللغة الأم ولتحسين مستويات تعليم اللغات</w:t>
      </w:r>
    </w:p>
    <w:p w:rsidR="00000000" w:rsidRDefault="00443EC1">
      <w:pPr>
        <w:spacing w:line="380" w:lineRule="exact"/>
        <w:jc w:val="both"/>
        <w:rPr>
          <w:rFonts w:hint="cs"/>
          <w:rtl/>
        </w:rPr>
      </w:pPr>
      <w:r>
        <w:rPr>
          <w:rFonts w:hint="cs"/>
          <w:rtl/>
        </w:rPr>
        <w:t>701-</w:t>
      </w:r>
      <w:r>
        <w:rPr>
          <w:rFonts w:hint="cs"/>
          <w:rtl/>
        </w:rPr>
        <w:tab/>
        <w:t xml:space="preserve">بيَّنا في الفقرة 525 من التقرير الأولي دور معهد اللغات </w:t>
      </w:r>
      <w:r>
        <w:rPr>
          <w:rFonts w:hint="cs"/>
          <w:rtl/>
        </w:rPr>
        <w:t>في التعليم، الذي تم إدماجه بكليات أخرى للتعليم ليصبح معهد هونغ كونغ للتعليم. ويقدم المعهد اليوم برامج لتعليم المعلمين في مستويات ما دون الشهادة الجامعية ومستوى الشهادة الجامعية وما بعده. وابتداءً من العام الدراسي 2004-2005، سيحصل جميع المتخرجين من برامج تد</w:t>
      </w:r>
      <w:r>
        <w:rPr>
          <w:rFonts w:hint="cs"/>
          <w:rtl/>
        </w:rPr>
        <w:t xml:space="preserve">ريب مدرِّسي المرحلتين الابتدائية والثانوية قبل الخدمة، على شهادة جامعية. وثمة تطور جديد آخر هو سياسة اشتراط أن يكون المدرس حاصلاً على شهادة الكفاءة اللغوية، التي أعلنا عنها في أيلول/سبتمبر عام 2000. وتنص هذه السياسة على ضرورة بلوغ مدرِّسي اللغة الإنكليزية </w:t>
      </w:r>
      <w:r>
        <w:rPr>
          <w:rFonts w:hint="cs"/>
          <w:rtl/>
        </w:rPr>
        <w:t>ولغة بوتنغوهوا في العام الدراسي 2000-2001 المستويات المقررة، قبل نهاية العام الدراسي 2005-2006. وينبغي أن يفي المدرسون الجدد لهذه المواد، الذين يتم تعيينهم في السنتين الدراسيتين 2001-2002 و 2003-2004، بالمعايير الجديدة في غضون سنتين بعد بدء عملهم. وسيتم تق</w:t>
      </w:r>
      <w:r>
        <w:rPr>
          <w:rFonts w:hint="cs"/>
          <w:rtl/>
        </w:rPr>
        <w:t xml:space="preserve">ليص "مدة السماح" هذه إلى سنة واحدة ابتداءً من العام الدراسي 2004-2005. وسيتم تقييم كفاءة المدرسين وفقاً للمعايير الجديدة، من خلال عمليات التقييم والإعفاءات أو الاثنين معاً. </w:t>
      </w:r>
    </w:p>
    <w:p w:rsidR="00000000" w:rsidRDefault="00443EC1">
      <w:pPr>
        <w:spacing w:line="380" w:lineRule="exact"/>
        <w:jc w:val="both"/>
        <w:rPr>
          <w:rFonts w:hint="cs"/>
          <w:i/>
          <w:iCs/>
          <w:rtl/>
        </w:rPr>
      </w:pPr>
      <w:r>
        <w:rPr>
          <w:rFonts w:hint="cs"/>
          <w:i/>
          <w:iCs/>
          <w:rtl/>
        </w:rPr>
        <w:t>الفرص المتاحة أمام الأقليات الإثنية للتعلم بلغتها الأم</w:t>
      </w:r>
    </w:p>
    <w:p w:rsidR="00000000" w:rsidRDefault="00443EC1">
      <w:pPr>
        <w:spacing w:line="380" w:lineRule="exact"/>
        <w:jc w:val="both"/>
        <w:rPr>
          <w:rFonts w:hint="cs"/>
          <w:rtl/>
        </w:rPr>
      </w:pPr>
      <w:r>
        <w:rPr>
          <w:rFonts w:hint="cs"/>
          <w:rtl/>
        </w:rPr>
        <w:t>702-</w:t>
      </w:r>
      <w:r>
        <w:rPr>
          <w:rFonts w:hint="cs"/>
          <w:rtl/>
        </w:rPr>
        <w:tab/>
        <w:t xml:space="preserve">لم يتغير الوضع أساساً </w:t>
      </w:r>
      <w:r>
        <w:rPr>
          <w:rFonts w:hint="cs"/>
          <w:rtl/>
        </w:rPr>
        <w:t>عما تم توضيحه في الفقرة 527 من التقرير الأولي. ولكن حدثت مؤخراً تطورات عديدة فيما يتعلق بالمسألة الأوسع نطاقاً المتعلقة بتعليم الأقليات. ومن الناحية التقليدية، يلتحق أطفال الأقليات (ومعظمهم من أصل هندي أو باكستاني) إما بالمدارس الحكومية المشار إليها في الت</w:t>
      </w:r>
      <w:r>
        <w:rPr>
          <w:rFonts w:hint="cs"/>
          <w:rtl/>
        </w:rPr>
        <w:t>قرير الأولي أو بالمدارس الدولية الخاصة أو مدارس القطاع العام في إطار التيار الأساسي للتعليم المحلي. ويتمكن معظم أولئك الأطفال من التحدث باللغتين الكانتونية والإنكليزية. وقليلون هم الذين تعلموا كتابة اللغة الصينية، إن وجدوا، مما يؤدى، إلى حد ما، إلى تضييق ا</w:t>
      </w:r>
      <w:r>
        <w:rPr>
          <w:rFonts w:hint="cs"/>
          <w:rtl/>
        </w:rPr>
        <w:t>لخيارات المتاحة أمامهم للحصول على عمل في المستقبل.</w:t>
      </w:r>
    </w:p>
    <w:p w:rsidR="00000000" w:rsidRDefault="00443EC1">
      <w:pPr>
        <w:spacing w:line="380" w:lineRule="exact"/>
        <w:jc w:val="both"/>
        <w:rPr>
          <w:rFonts w:hint="cs"/>
          <w:rtl/>
        </w:rPr>
      </w:pPr>
      <w:r>
        <w:rPr>
          <w:rFonts w:hint="cs"/>
          <w:rtl/>
        </w:rPr>
        <w:t>703-</w:t>
      </w:r>
      <w:r>
        <w:rPr>
          <w:rFonts w:hint="cs"/>
          <w:rtl/>
        </w:rPr>
        <w:tab/>
        <w:t>وعبر التاريخ جاءت أعداد قليلة من المهاجرين من مناطق أخرى غير الصين القارية للاستقرار في هونغ كونغ. ولكن، حدثت في أواسط التسعينات زيادة ملحوظة في عدد المهاجرين من جنوب آسيا، ولا سيما من نيبال وباكستان.</w:t>
      </w:r>
      <w:r>
        <w:rPr>
          <w:rFonts w:hint="cs"/>
          <w:rtl/>
        </w:rPr>
        <w:t xml:space="preserve"> وخلافاً للأقليات المستقرة في هونغ كونغ، يتحدث عدد قليل من أولئك "الصينيين القادمين حديثاً" اللغة الكانتونية، كما أن معرفة العديد منهم باللغة الإنكليزية ضئيلة أو منعدمة. ويؤدي ذلك إلى زيادة الصعوبات التي يواجهها المهاجرون، في الأحوال العادية، للتكيف مع الب</w:t>
      </w:r>
      <w:r>
        <w:rPr>
          <w:rFonts w:hint="cs"/>
          <w:rtl/>
        </w:rPr>
        <w:t>يئات الجديدة، ولا سيما في مجالات التعليم والتدريب والتنمية</w:t>
      </w:r>
      <w:r>
        <w:rPr>
          <w:rFonts w:hint="cs"/>
          <w:vertAlign w:val="superscript"/>
          <w:rtl/>
        </w:rPr>
        <w:t>(53)</w:t>
      </w:r>
      <w:r>
        <w:rPr>
          <w:rFonts w:hint="cs"/>
          <w:rtl/>
        </w:rPr>
        <w:t xml:space="preserve">. وتتناول الفقرات التالية مسألة التعليم. </w:t>
      </w:r>
    </w:p>
    <w:p w:rsidR="00000000" w:rsidRDefault="00443EC1">
      <w:pPr>
        <w:spacing w:line="380" w:lineRule="exact"/>
        <w:jc w:val="both"/>
        <w:rPr>
          <w:rFonts w:hint="cs"/>
          <w:rtl/>
        </w:rPr>
      </w:pPr>
      <w:r>
        <w:rPr>
          <w:rFonts w:hint="cs"/>
          <w:rtl/>
        </w:rPr>
        <w:t>704-</w:t>
      </w:r>
      <w:r>
        <w:rPr>
          <w:rFonts w:hint="cs"/>
          <w:rtl/>
        </w:rPr>
        <w:tab/>
        <w:t>إن نظامنا التعليمي لا يركز على تلبية احتياجات المهاجرين غير الناطقين باللغتين الصينية والإنكليزية لأنه ليس هناك تقليد تاريخي يُذكر من حيث استيطان أ</w:t>
      </w:r>
      <w:r>
        <w:rPr>
          <w:rFonts w:hint="cs"/>
          <w:rtl/>
        </w:rPr>
        <w:t xml:space="preserve">عداد كبيرة من المهاجرين بصورة دائمة في هونغ كونغ. فالمقيمون من هذه الفئات هم تقليدياً من "المغتربين" (المهنيين الإداريين) الذين يعملون بعقود تمكنهم من إيداع أطفالهم في مدارس دولية غالية الثمن نسبياً في هونغ كونغ أو في مدارس داخلية في الخارج. وهذه الأسر في </w:t>
      </w:r>
      <w:r>
        <w:rPr>
          <w:rFonts w:hint="cs"/>
          <w:rtl/>
        </w:rPr>
        <w:t xml:space="preserve">معظمها هي أُسر لا تتصور أن مستقبلها أو مستقبل أبنائها سيكون في هونغ كونغ في الأجل الطويل. والأسر التي تتصور خلاف ذلك، إنما تتصور أن أبناءها سيحذون حذوها ويحصلون على وظائف في مجال مهنة إدارة الأعمال الدولية، حيث لا يكون الإلمام باللغة الصينية أمراً أساسياً </w:t>
      </w:r>
      <w:r>
        <w:rPr>
          <w:rFonts w:hint="cs"/>
          <w:rtl/>
        </w:rPr>
        <w:t>(وهي نظرة للأمور بدأت تتغير الآن).</w:t>
      </w:r>
    </w:p>
    <w:p w:rsidR="00000000" w:rsidRDefault="00443EC1">
      <w:pPr>
        <w:spacing w:line="380" w:lineRule="exact"/>
        <w:jc w:val="both"/>
        <w:rPr>
          <w:rFonts w:hint="cs"/>
          <w:rtl/>
        </w:rPr>
      </w:pPr>
      <w:r>
        <w:rPr>
          <w:rFonts w:hint="cs"/>
          <w:rtl/>
        </w:rPr>
        <w:t>705-</w:t>
      </w:r>
      <w:r>
        <w:rPr>
          <w:rFonts w:hint="cs"/>
          <w:rtl/>
        </w:rPr>
        <w:tab/>
        <w:t>ولكن عدد القادمين الجدد من جنوب آسيا غير الناطقين باللغة الصينية القادرين على تحمل رسوم المدارس الدولية قليل، وبالتالي ينبغي تلبية احتياجاتهم في إطار القطاع العام. ومع ذلك، فإن هذا الأمر ليس سهلاً لأسباب عديدة منها:</w:t>
      </w:r>
    </w:p>
    <w:p w:rsidR="00000000" w:rsidRDefault="00443EC1">
      <w:pPr>
        <w:spacing w:line="380" w:lineRule="exact"/>
        <w:jc w:val="both"/>
        <w:rPr>
          <w:rFonts w:hint="cs"/>
          <w:rtl/>
        </w:rPr>
      </w:pPr>
      <w:r>
        <w:rPr>
          <w:rFonts w:hint="cs"/>
          <w:rtl/>
        </w:rPr>
        <w:tab/>
        <w:t>(أ)</w:t>
      </w:r>
      <w:r>
        <w:rPr>
          <w:rFonts w:hint="cs"/>
          <w:rtl/>
        </w:rPr>
        <w:tab/>
      </w:r>
      <w:r>
        <w:rPr>
          <w:rFonts w:hint="cs"/>
          <w:b/>
          <w:bCs/>
          <w:rtl/>
        </w:rPr>
        <w:t>اللغة:</w:t>
      </w:r>
      <w:r>
        <w:rPr>
          <w:rFonts w:hint="cs"/>
          <w:rtl/>
        </w:rPr>
        <w:t xml:space="preserve"> هذه هي الصعوبة الأساسية التي تنطلق منها الصعوبات الأخرى. فأطفال المدارس التي كانت تلبي، تقليدياً، احتياجات الأقليات المستقرة في هونغ كونغ يلتحقون بالمدارس، بوجه عام، وهم ملمون باللغة الإنكليزية إلماماً جيداً. وبالمثل، فإن الأعداد الصغيرة نسبياً</w:t>
      </w:r>
      <w:r>
        <w:rPr>
          <w:rFonts w:hint="cs"/>
          <w:rtl/>
        </w:rPr>
        <w:t xml:space="preserve"> التي تلتحق بمدارس التيار الرئيسي تكون قادرة على التحدث بطلاقة باللغة الكانتونية، وإن كانت غير ملمة بصفة عامة بكتابة اللغة الصينية</w:t>
      </w:r>
      <w:r>
        <w:rPr>
          <w:rFonts w:hint="cs"/>
          <w:vertAlign w:val="superscript"/>
          <w:rtl/>
        </w:rPr>
        <w:t>(54)</w:t>
      </w:r>
      <w:r>
        <w:rPr>
          <w:rFonts w:hint="cs"/>
          <w:rtl/>
        </w:rPr>
        <w:t>. ولكن عدد أطفال "الأقليات الجيدة" الذين يعرفون اللغة الكانتونية، إن وجدوا، قليل، كما أن هناك عدداً كبيراً منهم لا يعرف ال</w:t>
      </w:r>
      <w:r>
        <w:rPr>
          <w:rFonts w:hint="cs"/>
          <w:rtl/>
        </w:rPr>
        <w:t xml:space="preserve">لغة الإنكليزية. وأدى ذلك إلى طرح تحديدات جديدة أمام المدارس وإلى الحاجة إلى اتخاذ ترتيبات خاصة لمساعدة أطفال "الأقليات الجديدة" للتكيف (انظر الفقرات 706-712 أدناه)؛ </w:t>
      </w:r>
    </w:p>
    <w:p w:rsidR="00000000" w:rsidRDefault="00443EC1">
      <w:pPr>
        <w:spacing w:line="380" w:lineRule="exact"/>
        <w:jc w:val="both"/>
        <w:rPr>
          <w:rFonts w:hint="cs"/>
          <w:rtl/>
        </w:rPr>
      </w:pPr>
      <w:r>
        <w:rPr>
          <w:rFonts w:hint="cs"/>
          <w:rtl/>
        </w:rPr>
        <w:tab/>
        <w:t>(ب)</w:t>
      </w:r>
      <w:r>
        <w:rPr>
          <w:rFonts w:hint="cs"/>
          <w:rtl/>
        </w:rPr>
        <w:tab/>
      </w:r>
      <w:r>
        <w:rPr>
          <w:rFonts w:hint="cs"/>
          <w:b/>
          <w:bCs/>
          <w:rtl/>
        </w:rPr>
        <w:t>لوجستيات الإيداع:</w:t>
      </w:r>
      <w:r>
        <w:rPr>
          <w:rFonts w:hint="cs"/>
          <w:rtl/>
        </w:rPr>
        <w:t xml:space="preserve"> لا يمكن التنبؤ بعدد الأقليات الجديدة الوافدة ولا بالأوقات التي تصل </w:t>
      </w:r>
      <w:r>
        <w:rPr>
          <w:rFonts w:hint="cs"/>
          <w:rtl/>
        </w:rPr>
        <w:t>فيها. فأعمار الأطفال عند قدومهم تكون مختلفة ويكونون في مراحل مختلفة من تطورهم التعليمي، وبالتأكيد فإن إيداعهم في الصفوف يتم بصورة اعتباطية. وقد يؤدي ذلك إلى مواجهة صعوبات في ضمان وضع الأطفال في الصفوف بصورة مُرضية.</w:t>
      </w:r>
    </w:p>
    <w:p w:rsidR="00000000" w:rsidRDefault="00443EC1">
      <w:pPr>
        <w:spacing w:line="380" w:lineRule="exact"/>
        <w:jc w:val="both"/>
        <w:rPr>
          <w:rFonts w:hint="cs"/>
          <w:b/>
          <w:bCs/>
          <w:rtl/>
        </w:rPr>
      </w:pPr>
      <w:r>
        <w:rPr>
          <w:rFonts w:hint="cs"/>
          <w:b/>
          <w:bCs/>
          <w:rtl/>
        </w:rPr>
        <w:t>السياسة العامة</w:t>
      </w:r>
    </w:p>
    <w:p w:rsidR="00000000" w:rsidRDefault="00443EC1">
      <w:pPr>
        <w:spacing w:line="380" w:lineRule="exact"/>
        <w:jc w:val="both"/>
        <w:rPr>
          <w:rFonts w:hint="cs"/>
          <w:rtl/>
        </w:rPr>
      </w:pPr>
      <w:r>
        <w:rPr>
          <w:rFonts w:hint="cs"/>
          <w:rtl/>
        </w:rPr>
        <w:t>706-</w:t>
      </w:r>
      <w:r>
        <w:rPr>
          <w:rFonts w:hint="cs"/>
          <w:rtl/>
        </w:rPr>
        <w:tab/>
        <w:t>إزاء هذه الخلفية، يكم</w:t>
      </w:r>
      <w:r>
        <w:rPr>
          <w:rFonts w:hint="cs"/>
          <w:rtl/>
        </w:rPr>
        <w:t>ن هدفنا في إدماج طلاب الأقليات في المجتمع المحلي مدارس والتيار الرئيسي للتعليم. ونرى أن هذا الخيار أفضل من الخيار المتمثل في بناء مدارس مخصصة لهم بالذات، لأن المدارس من هذا القبيل تؤثر على تعلمهم لغة صينية سليمة وعلى قدرتهم على المنافسة في المستقبل، على أس</w:t>
      </w:r>
      <w:r>
        <w:rPr>
          <w:rFonts w:hint="cs"/>
          <w:rtl/>
        </w:rPr>
        <w:t>اس المساواة، مع نظرائهم المحليين للحصول على أماكن ووظائف في قطاع الخدمات. وفي الوقت نفسه فإننا نسلم بأن اندماج أولئك الأطفال بالكامل أمر لا يمكن تحقيقه إلا في الأجل الطويل وأنه يتعين علينا أن نتناوله من خلال اتخاذ سلسلة من الخطوات في الأجل المتوسط (انظر أد</w:t>
      </w:r>
      <w:r>
        <w:rPr>
          <w:rFonts w:hint="cs"/>
          <w:rtl/>
        </w:rPr>
        <w:t>ناه). ونعترف أيضاً بأن بعض الآباء والأمهات يرغبون في تعليم أبنائهم في مدارس غير مدارس التيار الرئيسي للتعليم. ولديهم الحق في القيام بذلك، ولكننا نرى أنه من واجبنا أن نساعدهم، بقدر المستطاع، في اتخاذ خيارات متروّية.</w:t>
      </w:r>
    </w:p>
    <w:p w:rsidR="00000000" w:rsidRDefault="00443EC1">
      <w:pPr>
        <w:spacing w:line="380" w:lineRule="exact"/>
        <w:jc w:val="both"/>
        <w:rPr>
          <w:rFonts w:hint="cs"/>
          <w:i/>
          <w:iCs/>
          <w:rtl/>
        </w:rPr>
      </w:pPr>
      <w:r>
        <w:rPr>
          <w:rFonts w:hint="cs"/>
          <w:i/>
          <w:iCs/>
          <w:rtl/>
        </w:rPr>
        <w:t>توفير الأماكن في المدارس</w:t>
      </w:r>
    </w:p>
    <w:p w:rsidR="00000000" w:rsidRDefault="00443EC1">
      <w:pPr>
        <w:spacing w:line="380" w:lineRule="exact"/>
        <w:jc w:val="both"/>
        <w:rPr>
          <w:rFonts w:hint="cs"/>
          <w:rtl/>
        </w:rPr>
      </w:pPr>
      <w:r>
        <w:rPr>
          <w:rFonts w:hint="cs"/>
          <w:rtl/>
        </w:rPr>
        <w:t>707-</w:t>
      </w:r>
      <w:r>
        <w:rPr>
          <w:rFonts w:hint="cs"/>
          <w:rtl/>
        </w:rPr>
        <w:tab/>
        <w:t xml:space="preserve">توجد أماكن </w:t>
      </w:r>
      <w:r>
        <w:rPr>
          <w:rFonts w:hint="cs"/>
          <w:rtl/>
        </w:rPr>
        <w:t>كافية في مدارس القطاع العام لإدماج أطفال الأقليات التي تود الاستقرار في هونغ كونغ، في مدارس التيار الرئيسي للتعليم. وبإمكان آباء وأمهات أولئك الأطفال، الذين يرغبون في الحصول على مثل هذه الأماكن لأطفالهم أن يتقدموا بطلبات إلى المدارس مباشرة أو بواسطة مكتب ا</w:t>
      </w:r>
      <w:r>
        <w:rPr>
          <w:rFonts w:hint="cs"/>
          <w:rtl/>
        </w:rPr>
        <w:t>لتعليم والأيدي العاملة. وقد تعهد المكتب رسمياً بتوفير أماكن الدراسة لهؤلاء الأطفال في غضون 21 يوم عمل.</w:t>
      </w:r>
    </w:p>
    <w:p w:rsidR="00000000" w:rsidRDefault="00443EC1">
      <w:pPr>
        <w:spacing w:line="380" w:lineRule="exact"/>
        <w:jc w:val="both"/>
        <w:rPr>
          <w:rFonts w:hint="cs"/>
          <w:rtl/>
        </w:rPr>
      </w:pPr>
      <w:r>
        <w:rPr>
          <w:rFonts w:hint="cs"/>
          <w:spacing w:val="4"/>
          <w:rtl/>
        </w:rPr>
        <w:t>708-</w:t>
      </w:r>
      <w:r>
        <w:rPr>
          <w:rFonts w:hint="cs"/>
          <w:spacing w:val="4"/>
          <w:rtl/>
        </w:rPr>
        <w:tab/>
        <w:t xml:space="preserve">إن جميع مدارس القطاع العام تقبل الأطفال غير الناطقين باللغة الصينية. وهناك تسع مدارس حكومية </w:t>
      </w:r>
      <w:r>
        <w:rPr>
          <w:rFonts w:hint="cs"/>
          <w:spacing w:val="4"/>
          <w:vertAlign w:val="superscript"/>
          <w:rtl/>
        </w:rPr>
        <w:t>(55)</w:t>
      </w:r>
      <w:r>
        <w:rPr>
          <w:rFonts w:hint="cs"/>
          <w:spacing w:val="4"/>
          <w:vertAlign w:val="subscript"/>
          <w:rtl/>
        </w:rPr>
        <w:t>ً</w:t>
      </w:r>
      <w:r>
        <w:rPr>
          <w:rFonts w:hint="cs"/>
          <w:spacing w:val="4"/>
          <w:rtl/>
        </w:rPr>
        <w:t xml:space="preserve"> </w:t>
      </w:r>
      <w:r>
        <w:rPr>
          <w:rFonts w:hint="cs"/>
          <w:rtl/>
        </w:rPr>
        <w:t xml:space="preserve">قبلت أعداداً كبيرة نسبياً من الأطفال غير الناطقين </w:t>
      </w:r>
      <w:r>
        <w:rPr>
          <w:rFonts w:hint="cs"/>
          <w:rtl/>
        </w:rPr>
        <w:t>بالصينية. وكان مجموع عدد الملتحقين بهذه المدارس وقت إعداد هذا التقرير 100 3 طالب تقريبا ولدى هذه المدارس أماكن خالية كثيرة وقدرة على استيعاب أعداد إضافية من الطلاب. وعلينا التسليم بأن الأطفال في هذه المدارس يجدون على الأرجح أن البيئة التعليمية فيها تكون أك</w:t>
      </w:r>
      <w:r>
        <w:rPr>
          <w:rFonts w:hint="cs"/>
          <w:rtl/>
        </w:rPr>
        <w:t>ثر إثارة من الناحية الثقافية بالمقارنة مع البيئة التعليمية في مدارس التيار الرئيسي للتعليم وذلك على الأقل في البداية. وقد عملت هذه المدارس على وضع برامجها الدراسية بحيث يكون الأطفال يمارسون بصورة كافية اللغة الصينية بغية تيسير إدماجهم في المستقبل في المجتم</w:t>
      </w:r>
      <w:r>
        <w:rPr>
          <w:rFonts w:hint="cs"/>
          <w:rtl/>
        </w:rPr>
        <w:t>ع الأوسع لهونغ كونغ.</w:t>
      </w:r>
    </w:p>
    <w:p w:rsidR="00000000" w:rsidRDefault="00443EC1">
      <w:pPr>
        <w:spacing w:line="380" w:lineRule="exact"/>
        <w:jc w:val="both"/>
        <w:rPr>
          <w:rFonts w:hint="cs"/>
          <w:i/>
          <w:iCs/>
          <w:rtl/>
        </w:rPr>
      </w:pPr>
      <w:r>
        <w:rPr>
          <w:rFonts w:hint="cs"/>
          <w:i/>
          <w:iCs/>
          <w:rtl/>
        </w:rPr>
        <w:t>المشاكل المعترضة وتدابير التصدي لها</w:t>
      </w:r>
    </w:p>
    <w:p w:rsidR="00000000" w:rsidRDefault="00443EC1">
      <w:pPr>
        <w:spacing w:line="380" w:lineRule="exact"/>
        <w:jc w:val="both"/>
        <w:rPr>
          <w:rFonts w:hint="cs"/>
          <w:rtl/>
        </w:rPr>
      </w:pPr>
      <w:r>
        <w:rPr>
          <w:rFonts w:hint="cs"/>
          <w:rtl/>
        </w:rPr>
        <w:t>709-</w:t>
      </w:r>
      <w:r>
        <w:rPr>
          <w:rFonts w:hint="cs"/>
          <w:rtl/>
        </w:rPr>
        <w:tab/>
        <w:t>هناك أطفال بمن فيهم من غير الناطقين بالصينية، الذين ينبغي أن يكونون ملتحقين بالمدارس لكنهم غير ملتحقين بها. وتشمل أسباب ذلك ما يلي:</w:t>
      </w:r>
    </w:p>
    <w:p w:rsidR="00000000" w:rsidRDefault="00443EC1">
      <w:pPr>
        <w:spacing w:line="380" w:lineRule="exact"/>
        <w:jc w:val="both"/>
        <w:rPr>
          <w:rFonts w:hint="cs"/>
          <w:rtl/>
        </w:rPr>
      </w:pPr>
      <w:r>
        <w:rPr>
          <w:rFonts w:hint="cs"/>
          <w:rtl/>
        </w:rPr>
        <w:tab/>
        <w:t>(أ)</w:t>
      </w:r>
      <w:r>
        <w:rPr>
          <w:rFonts w:hint="cs"/>
          <w:rtl/>
        </w:rPr>
        <w:tab/>
        <w:t>لا يستطيع آباؤهم وأمهاتهم رعايتهم لان وقتهم لا يسمح بذلك؛</w:t>
      </w:r>
    </w:p>
    <w:p w:rsidR="00000000" w:rsidRDefault="00443EC1">
      <w:pPr>
        <w:spacing w:line="380" w:lineRule="exact"/>
        <w:jc w:val="both"/>
        <w:rPr>
          <w:rFonts w:hint="cs"/>
          <w:rtl/>
        </w:rPr>
      </w:pPr>
      <w:r>
        <w:rPr>
          <w:rFonts w:hint="cs"/>
          <w:rtl/>
        </w:rPr>
        <w:tab/>
        <w:t>(ب)</w:t>
      </w:r>
      <w:r>
        <w:rPr>
          <w:rFonts w:hint="cs"/>
          <w:rtl/>
        </w:rPr>
        <w:tab/>
        <w:t>لا يرغب بعض الأشخاص غير الناطقين بالصينية السماح لأطفالهم بالدراسة في مدارس التيار الرئيسي للتعليم؛</w:t>
      </w:r>
    </w:p>
    <w:p w:rsidR="00000000" w:rsidRDefault="00443EC1">
      <w:pPr>
        <w:spacing w:line="380" w:lineRule="exact"/>
        <w:jc w:val="both"/>
        <w:rPr>
          <w:rFonts w:hint="cs"/>
          <w:rtl/>
        </w:rPr>
      </w:pPr>
      <w:r>
        <w:rPr>
          <w:rFonts w:hint="cs"/>
          <w:rtl/>
        </w:rPr>
        <w:tab/>
        <w:t>(ج)</w:t>
      </w:r>
      <w:r>
        <w:rPr>
          <w:rFonts w:hint="cs"/>
          <w:rtl/>
        </w:rPr>
        <w:tab/>
        <w:t>يجهل بعض الآباء والأمهات الذين وصلوا حديثاً إلى الصين، ولا سيما أولئك الذين لا يتكلمون لا الصينية ولا الإنكليزية، القوانين و/أو الإجراءات اللازمة</w:t>
      </w:r>
      <w:r>
        <w:rPr>
          <w:rFonts w:hint="cs"/>
          <w:rtl/>
        </w:rPr>
        <w:t xml:space="preserve"> للحصول على أماكن لأطفالهم في المدارس.</w:t>
      </w:r>
    </w:p>
    <w:p w:rsidR="00000000" w:rsidRDefault="00443EC1">
      <w:pPr>
        <w:spacing w:line="380" w:lineRule="exact"/>
        <w:jc w:val="both"/>
        <w:rPr>
          <w:rFonts w:hint="cs"/>
          <w:rtl/>
        </w:rPr>
      </w:pPr>
      <w:r>
        <w:rPr>
          <w:rFonts w:hint="cs"/>
          <w:rtl/>
        </w:rPr>
        <w:t>710-</w:t>
      </w:r>
      <w:r>
        <w:rPr>
          <w:rFonts w:hint="cs"/>
          <w:rtl/>
        </w:rPr>
        <w:tab/>
        <w:t>ولضمان التحاق أولئك الأطفال بالمدارس، يقوم مكتب التعليم والقوى العاملة بما يلي:</w:t>
      </w:r>
    </w:p>
    <w:p w:rsidR="00000000" w:rsidRDefault="00443EC1">
      <w:pPr>
        <w:spacing w:line="380" w:lineRule="exact"/>
        <w:jc w:val="both"/>
        <w:rPr>
          <w:rFonts w:hint="cs"/>
          <w:rtl/>
        </w:rPr>
      </w:pPr>
      <w:r>
        <w:rPr>
          <w:rFonts w:hint="cs"/>
          <w:rtl/>
        </w:rPr>
        <w:tab/>
        <w:t>(أ)</w:t>
      </w:r>
      <w:r>
        <w:rPr>
          <w:rFonts w:hint="cs"/>
          <w:rtl/>
        </w:rPr>
        <w:tab/>
        <w:t>يعمل بصورة وثيقة مع المنظمات غير الحكومية والعاملين الاجتماعيين للوصول إلى الأطفال غير الملتحقين بالمدارس؛</w:t>
      </w:r>
    </w:p>
    <w:p w:rsidR="00000000" w:rsidRDefault="00443EC1">
      <w:pPr>
        <w:spacing w:line="380" w:lineRule="exact"/>
        <w:jc w:val="both"/>
        <w:rPr>
          <w:rFonts w:hint="cs"/>
          <w:rtl/>
        </w:rPr>
      </w:pPr>
      <w:r>
        <w:rPr>
          <w:rFonts w:hint="cs"/>
          <w:rtl/>
        </w:rPr>
        <w:tab/>
        <w:t>(ب)</w:t>
      </w:r>
      <w:r>
        <w:rPr>
          <w:rFonts w:hint="cs"/>
          <w:rtl/>
        </w:rPr>
        <w:tab/>
        <w:t>ينظم دورات إعلا</w:t>
      </w:r>
      <w:r>
        <w:rPr>
          <w:rFonts w:hint="cs"/>
          <w:rtl/>
        </w:rPr>
        <w:t>مية ودورات لتقاسم الخبرات مع المنظمات غير الحكومية بهدف ضمان إعلام الأطفال ووالديهم عن الخدمات المتاحة أمامهم؛</w:t>
      </w:r>
    </w:p>
    <w:p w:rsidR="00000000" w:rsidRDefault="00443EC1">
      <w:pPr>
        <w:spacing w:line="380" w:lineRule="exact"/>
        <w:jc w:val="both"/>
        <w:rPr>
          <w:rFonts w:hint="cs"/>
          <w:rtl/>
        </w:rPr>
      </w:pPr>
      <w:r>
        <w:rPr>
          <w:rFonts w:hint="cs"/>
          <w:rtl/>
        </w:rPr>
        <w:tab/>
        <w:t>(ج)</w:t>
      </w:r>
      <w:r>
        <w:rPr>
          <w:rFonts w:hint="cs"/>
          <w:rtl/>
        </w:rPr>
        <w:tab/>
        <w:t>يصدر منشورات إلى الآباء والأمهات غير الناطقين بالصينية تتعلق بخدمات الدعم المتاحة لهم ولأطفالهم. وتتاح هذه المنشورات بالهندية والأوردو والني</w:t>
      </w:r>
      <w:r>
        <w:rPr>
          <w:rFonts w:hint="cs"/>
          <w:rtl/>
        </w:rPr>
        <w:t>بالية والصينية والإنكليزية.</w:t>
      </w:r>
    </w:p>
    <w:p w:rsidR="00000000" w:rsidRDefault="00443EC1">
      <w:pPr>
        <w:spacing w:line="380" w:lineRule="exact"/>
        <w:jc w:val="both"/>
        <w:rPr>
          <w:rFonts w:hint="cs"/>
          <w:i/>
          <w:iCs/>
          <w:rtl/>
        </w:rPr>
      </w:pPr>
      <w:r>
        <w:rPr>
          <w:rFonts w:hint="cs"/>
          <w:i/>
          <w:iCs/>
          <w:rtl/>
        </w:rPr>
        <w:t>خدمات الدعم</w:t>
      </w:r>
    </w:p>
    <w:p w:rsidR="00000000" w:rsidRDefault="00443EC1">
      <w:pPr>
        <w:spacing w:line="380" w:lineRule="exact"/>
        <w:jc w:val="both"/>
        <w:rPr>
          <w:rFonts w:hint="cs"/>
          <w:rtl/>
        </w:rPr>
      </w:pPr>
      <w:r>
        <w:rPr>
          <w:rFonts w:hint="cs"/>
          <w:rtl/>
        </w:rPr>
        <w:t>711-</w:t>
      </w:r>
      <w:r>
        <w:rPr>
          <w:rFonts w:hint="cs"/>
          <w:rtl/>
        </w:rPr>
        <w:tab/>
        <w:t>يقدم المكتب الخدمات التالية لمساعدة غير الناطقين باللغة الصينية على التكيف مع البيئة المحلية ونظام التعليم</w:t>
      </w:r>
      <w:r>
        <w:rPr>
          <w:rFonts w:hint="cs"/>
          <w:vertAlign w:val="superscript"/>
          <w:rtl/>
        </w:rPr>
        <w:t>(56)</w:t>
      </w:r>
      <w:r>
        <w:rPr>
          <w:rFonts w:hint="cs"/>
          <w:rtl/>
        </w:rPr>
        <w:t>:</w:t>
      </w:r>
    </w:p>
    <w:p w:rsidR="00000000" w:rsidRDefault="00443EC1">
      <w:pPr>
        <w:spacing w:line="380" w:lineRule="exact"/>
        <w:jc w:val="both"/>
        <w:rPr>
          <w:rFonts w:hint="cs"/>
          <w:rtl/>
        </w:rPr>
      </w:pPr>
      <w:r>
        <w:rPr>
          <w:rFonts w:hint="cs"/>
          <w:rtl/>
        </w:rPr>
        <w:tab/>
        <w:t>(أ)</w:t>
      </w:r>
      <w:r>
        <w:rPr>
          <w:rFonts w:hint="cs"/>
          <w:rtl/>
        </w:rPr>
        <w:tab/>
      </w:r>
      <w:r>
        <w:rPr>
          <w:rFonts w:hint="cs"/>
          <w:b/>
          <w:bCs/>
          <w:rtl/>
        </w:rPr>
        <w:t>برامج التوجيه:</w:t>
      </w:r>
      <w:r>
        <w:rPr>
          <w:rFonts w:hint="cs"/>
          <w:rtl/>
        </w:rPr>
        <w:t xml:space="preserve"> تقوم بتنفيذها المنظمات غير الحكومية المدعومة؛</w:t>
      </w:r>
    </w:p>
    <w:p w:rsidR="00000000" w:rsidRDefault="00443EC1">
      <w:pPr>
        <w:spacing w:line="380" w:lineRule="exact"/>
        <w:jc w:val="both"/>
        <w:rPr>
          <w:rFonts w:hint="cs"/>
          <w:rtl/>
        </w:rPr>
      </w:pPr>
      <w:r>
        <w:rPr>
          <w:rFonts w:hint="cs"/>
          <w:rtl/>
        </w:rPr>
        <w:tab/>
        <w:t>(ب)</w:t>
      </w:r>
      <w:r>
        <w:rPr>
          <w:rFonts w:hint="cs"/>
          <w:rtl/>
        </w:rPr>
        <w:tab/>
      </w:r>
      <w:r>
        <w:rPr>
          <w:rFonts w:hint="cs"/>
          <w:b/>
          <w:bCs/>
          <w:rtl/>
        </w:rPr>
        <w:t>المنح في إطار الدعم المدرسي</w:t>
      </w:r>
      <w:r>
        <w:rPr>
          <w:rFonts w:hint="cs"/>
          <w:rtl/>
        </w:rPr>
        <w:t>:</w:t>
      </w:r>
      <w:r>
        <w:rPr>
          <w:rFonts w:hint="cs"/>
          <w:rtl/>
        </w:rPr>
        <w:t xml:space="preserve"> وهي منح إجمالية تقدَّم لكل تلميذ في المرحلة الابتدائية وقدرها 675 2 دولاراً من دولارات هونغ كونغ (343 دولاراً من دولارات الولايات المتحدة) وإلى كل طالب في المرحلة الثانوية وقدرها 968 3 دولاراً من دولارات هونغ كونغ (509 من دولارات الولايات المتحدة). وتستهد</w:t>
      </w:r>
      <w:r>
        <w:rPr>
          <w:rFonts w:hint="cs"/>
          <w:rtl/>
        </w:rPr>
        <w:t>ف هذه المنح تمكين المدارس من تقديم الدعم إلى الطلاب داخل المدرسة من خلال تنظيم صفوف لتعليم اللغة الصينية و/أو الإنكليزية، وبرامج التكييف، وتوفير وسائل تعليم خاصة وما إلى ذلك؛</w:t>
      </w:r>
    </w:p>
    <w:p w:rsidR="00000000" w:rsidRDefault="00443EC1">
      <w:pPr>
        <w:spacing w:line="380" w:lineRule="exact"/>
        <w:jc w:val="both"/>
        <w:rPr>
          <w:rFonts w:hint="cs"/>
          <w:rtl/>
        </w:rPr>
      </w:pPr>
      <w:r>
        <w:rPr>
          <w:rFonts w:hint="cs"/>
          <w:rtl/>
        </w:rPr>
        <w:tab/>
        <w:t>(ج)</w:t>
      </w:r>
      <w:r>
        <w:rPr>
          <w:rFonts w:hint="cs"/>
          <w:rtl/>
        </w:rPr>
        <w:tab/>
      </w:r>
      <w:r>
        <w:rPr>
          <w:rFonts w:hint="cs"/>
          <w:b/>
          <w:bCs/>
          <w:rtl/>
        </w:rPr>
        <w:t>برامج التعلم</w:t>
      </w:r>
      <w:r>
        <w:rPr>
          <w:rFonts w:hint="cs"/>
          <w:rtl/>
        </w:rPr>
        <w:t xml:space="preserve">: يتم تنظيمها على أساس نصف سنوي ولكل الوقت. وتستهدف هذه البرامج </w:t>
      </w:r>
      <w:r>
        <w:rPr>
          <w:rFonts w:hint="cs"/>
          <w:rtl/>
        </w:rPr>
        <w:t>رفع مستوى إلمام الطلاب غير الناطقين بالصينية، باللغتين الصينية والإنكليزية وتوفير برامج في سياق الصفوف الدراسية المحلية تتناول الخبرات المكتسبة والتكيف مع المجتمع المحلي.</w:t>
      </w:r>
    </w:p>
    <w:p w:rsidR="00000000" w:rsidRDefault="00443EC1">
      <w:pPr>
        <w:spacing w:line="380" w:lineRule="exact"/>
        <w:jc w:val="both"/>
        <w:rPr>
          <w:rFonts w:hint="cs"/>
          <w:b/>
          <w:bCs/>
          <w:rtl/>
        </w:rPr>
      </w:pPr>
      <w:r>
        <w:rPr>
          <w:rFonts w:hint="cs"/>
          <w:b/>
          <w:bCs/>
          <w:rtl/>
        </w:rPr>
        <w:t>السبيل إلى إحراز تقدم</w:t>
      </w:r>
    </w:p>
    <w:p w:rsidR="00000000" w:rsidRDefault="00443EC1">
      <w:pPr>
        <w:spacing w:line="380" w:lineRule="exact"/>
        <w:jc w:val="both"/>
        <w:rPr>
          <w:rFonts w:hint="cs"/>
          <w:rtl/>
        </w:rPr>
      </w:pPr>
      <w:r>
        <w:rPr>
          <w:rFonts w:hint="cs"/>
          <w:rtl/>
        </w:rPr>
        <w:t>712-</w:t>
      </w:r>
      <w:r>
        <w:rPr>
          <w:rFonts w:hint="cs"/>
          <w:rtl/>
        </w:rPr>
        <w:tab/>
        <w:t>فيما يلي الإجراءات التي نقوم بتنفيذها بنشاط:</w:t>
      </w:r>
    </w:p>
    <w:p w:rsidR="00000000" w:rsidRDefault="00443EC1">
      <w:pPr>
        <w:spacing w:line="380" w:lineRule="exact"/>
        <w:jc w:val="both"/>
        <w:rPr>
          <w:rFonts w:hint="cs"/>
          <w:rtl/>
        </w:rPr>
      </w:pPr>
      <w:r>
        <w:rPr>
          <w:rFonts w:hint="cs"/>
          <w:rtl/>
        </w:rPr>
        <w:tab/>
        <w:t>(أ)</w:t>
      </w:r>
      <w:r>
        <w:rPr>
          <w:rFonts w:hint="cs"/>
          <w:rtl/>
        </w:rPr>
        <w:tab/>
      </w:r>
      <w:r>
        <w:rPr>
          <w:rFonts w:hint="cs"/>
          <w:b/>
          <w:bCs/>
          <w:rtl/>
        </w:rPr>
        <w:t>تحسين ال</w:t>
      </w:r>
      <w:r>
        <w:rPr>
          <w:rFonts w:hint="cs"/>
          <w:b/>
          <w:bCs/>
          <w:rtl/>
        </w:rPr>
        <w:t>اتصال والتعاون</w:t>
      </w:r>
      <w:r>
        <w:rPr>
          <w:rFonts w:hint="cs"/>
          <w:rtl/>
        </w:rPr>
        <w:t>: ويعني ذلك أننا نكفل أن تكون المعلومات التي نقدمها إلى الأقليات مستوفاة "فعلاً" وأن يتم إيصالها إليها بسرعة؛</w:t>
      </w:r>
    </w:p>
    <w:p w:rsidR="00000000" w:rsidRDefault="00443EC1">
      <w:pPr>
        <w:spacing w:line="380" w:lineRule="exact"/>
        <w:jc w:val="both"/>
        <w:rPr>
          <w:rFonts w:hint="cs"/>
          <w:rtl/>
        </w:rPr>
      </w:pPr>
      <w:r>
        <w:rPr>
          <w:rFonts w:hint="cs"/>
          <w:rtl/>
        </w:rPr>
        <w:tab/>
        <w:t>(ب)</w:t>
      </w:r>
      <w:r>
        <w:rPr>
          <w:rFonts w:hint="cs"/>
          <w:rtl/>
        </w:rPr>
        <w:tab/>
      </w:r>
      <w:r>
        <w:rPr>
          <w:rFonts w:hint="cs"/>
          <w:b/>
          <w:bCs/>
          <w:rtl/>
        </w:rPr>
        <w:t>توفير الأماكن في المدارس</w:t>
      </w:r>
      <w:r>
        <w:rPr>
          <w:rFonts w:hint="cs"/>
          <w:rtl/>
        </w:rPr>
        <w:t>: تشمل التدابير المتخذة، تشغيل صفوف إضافية عند وجود طلب كافٍ عليها. كما أن باستطاعة الجهات المانحة المح</w:t>
      </w:r>
      <w:r>
        <w:rPr>
          <w:rFonts w:hint="cs"/>
          <w:rtl/>
        </w:rPr>
        <w:t>تملة تأسيس مدارس للأقليات الإثنية وفقاً لسياسة التعليم المعمول بها وشريطة ألا يكون قبول الطلاب فيها قائماً على التمييز؛</w:t>
      </w:r>
    </w:p>
    <w:p w:rsidR="00000000" w:rsidRDefault="00443EC1">
      <w:pPr>
        <w:spacing w:line="380" w:lineRule="exact"/>
        <w:jc w:val="both"/>
        <w:rPr>
          <w:rFonts w:hint="cs"/>
          <w:rtl/>
        </w:rPr>
      </w:pPr>
      <w:r>
        <w:rPr>
          <w:rFonts w:hint="cs"/>
          <w:rtl/>
        </w:rPr>
        <w:tab/>
        <w:t>(ج)</w:t>
      </w:r>
      <w:r>
        <w:rPr>
          <w:rFonts w:hint="cs"/>
          <w:rtl/>
        </w:rPr>
        <w:tab/>
      </w:r>
      <w:r>
        <w:rPr>
          <w:rFonts w:hint="cs"/>
          <w:b/>
          <w:bCs/>
          <w:rtl/>
        </w:rPr>
        <w:t>تعزيز تدريس وتعليم اللغة الصينية</w:t>
      </w:r>
      <w:r>
        <w:rPr>
          <w:rFonts w:hint="cs"/>
          <w:rtl/>
        </w:rPr>
        <w:t>: تتضمن النهج التي كانت متبعة أثناء صياغة هذا التقرير، ما يلي:</w:t>
      </w:r>
    </w:p>
    <w:p w:rsidR="00000000" w:rsidRDefault="00443EC1">
      <w:pPr>
        <w:spacing w:line="380" w:lineRule="exact"/>
        <w:ind w:left="1440" w:hanging="720"/>
        <w:jc w:val="both"/>
        <w:rPr>
          <w:rtl/>
        </w:rPr>
      </w:pPr>
      <w:r>
        <w:rPr>
          <w:rtl/>
        </w:rPr>
        <w:t>`</w:t>
      </w:r>
      <w:r>
        <w:rPr>
          <w:rFonts w:hint="cs"/>
          <w:rtl/>
        </w:rPr>
        <w:t>1</w:t>
      </w:r>
      <w:r>
        <w:rPr>
          <w:rtl/>
        </w:rPr>
        <w:t>`</w:t>
      </w:r>
      <w:r>
        <w:rPr>
          <w:rFonts w:hint="cs"/>
          <w:rtl/>
        </w:rPr>
        <w:tab/>
        <w:t xml:space="preserve">تطبيق نظام شهادة التعليم العام </w:t>
      </w:r>
      <w:r>
        <w:rPr>
          <w:rtl/>
        </w:rPr>
        <w:t>–</w:t>
      </w:r>
      <w:r>
        <w:rPr>
          <w:rFonts w:hint="cs"/>
          <w:rtl/>
        </w:rPr>
        <w:t xml:space="preserve"> مستوى التعليم العادي "</w:t>
      </w:r>
      <w:r>
        <w:t>GCE O-Level</w:t>
      </w:r>
      <w:r>
        <w:rPr>
          <w:rFonts w:hint="cs"/>
          <w:rtl/>
        </w:rPr>
        <w:t>" في المناهج المدرسية الصينية</w:t>
      </w:r>
      <w:r>
        <w:rPr>
          <w:rFonts w:hint="cs"/>
          <w:vertAlign w:val="superscript"/>
          <w:rtl/>
        </w:rPr>
        <w:t>(57)</w:t>
      </w:r>
      <w:r>
        <w:rPr>
          <w:rFonts w:hint="cs"/>
          <w:rtl/>
        </w:rPr>
        <w:t xml:space="preserve"> في المدارس التي تلتحق بها أعداد كبيرة من طلاب الأقليات. وسيحفز ذلك على دراسة اللغة الصينية ويؤدي إلى حصول الطلاب على مؤهلات معترف بها؛</w:t>
      </w:r>
    </w:p>
    <w:p w:rsidR="00000000" w:rsidRDefault="00443EC1">
      <w:pPr>
        <w:spacing w:line="380" w:lineRule="exact"/>
        <w:ind w:left="1440" w:hanging="720"/>
        <w:jc w:val="both"/>
        <w:rPr>
          <w:rFonts w:hint="cs"/>
          <w:rtl/>
        </w:rPr>
      </w:pPr>
      <w:r>
        <w:rPr>
          <w:rtl/>
        </w:rPr>
        <w:t>`</w:t>
      </w:r>
      <w:r>
        <w:rPr>
          <w:rFonts w:hint="cs"/>
          <w:rtl/>
        </w:rPr>
        <w:t>2</w:t>
      </w:r>
      <w:r>
        <w:rPr>
          <w:rtl/>
        </w:rPr>
        <w:t>`</w:t>
      </w:r>
      <w:r>
        <w:rPr>
          <w:rFonts w:hint="cs"/>
          <w:rtl/>
        </w:rPr>
        <w:tab/>
        <w:t>تطبيق برنامج تعليمي جديد ("</w:t>
      </w:r>
      <w:r>
        <w:t>A syllabus</w:t>
      </w:r>
      <w:r>
        <w:rPr>
          <w:rFonts w:hint="cs"/>
          <w:rtl/>
        </w:rPr>
        <w:t>") باللغة ال</w:t>
      </w:r>
      <w:r>
        <w:rPr>
          <w:rFonts w:hint="cs"/>
          <w:rtl/>
        </w:rPr>
        <w:t>صينية في إطار برنامج الحصول على شهادة هونغ كونغ لامتحان التخرج. وسيكون هذا البرنامج مشابهاً لبرنامج ("</w:t>
      </w:r>
      <w:r>
        <w:t>("A syllabus</w:t>
      </w:r>
      <w:r>
        <w:rPr>
          <w:rFonts w:hint="cs"/>
          <w:rtl/>
        </w:rPr>
        <w:t xml:space="preserve"> باللغة الإنكليزية المطبق حالياً، والذي </w:t>
      </w:r>
      <w:r>
        <w:rPr>
          <w:rFonts w:hint="cs"/>
          <w:spacing w:val="0"/>
          <w:rtl/>
        </w:rPr>
        <w:t xml:space="preserve">يستهدف الأطفال المحليين الذين لا يستطيعون تجاوز المستوى الأصعب أي مستوى </w:t>
      </w:r>
      <w:r>
        <w:rPr>
          <w:spacing w:val="0"/>
        </w:rPr>
        <w:t>B syllabus</w:t>
      </w:r>
      <w:r>
        <w:t>"</w:t>
      </w:r>
      <w:r>
        <w:rPr>
          <w:rFonts w:hint="cs"/>
          <w:rtl/>
        </w:rPr>
        <w:t xml:space="preserve">". وتتمثل ميزة ذلك </w:t>
      </w:r>
      <w:r>
        <w:rPr>
          <w:rFonts w:hint="cs"/>
          <w:rtl/>
        </w:rPr>
        <w:t xml:space="preserve">في أن شهادة هونغ كونغ لامتحانات التخرج ستكون مألوفة لأرباب العمل أكثر من شهادة </w:t>
      </w:r>
      <w:r>
        <w:t>GCE</w:t>
      </w:r>
      <w:r>
        <w:rPr>
          <w:rFonts w:hint="cs"/>
          <w:rtl/>
        </w:rPr>
        <w:t xml:space="preserve"> وستكون المناهج الدراسية أقرب إلى مدارس التيار الرئيسي للتعليم. ونحن مدركون أن وضع مثل هذا المنهج والامتحان سيستغرق وقتاً طويلاً ولذلك فإن الطلاب سيواصلون تعليمهم في إطار برن</w:t>
      </w:r>
      <w:r>
        <w:rPr>
          <w:rFonts w:hint="cs"/>
          <w:rtl/>
        </w:rPr>
        <w:t xml:space="preserve">امج التعليم </w:t>
      </w:r>
      <w:r>
        <w:t>GCE</w:t>
      </w:r>
      <w:r>
        <w:rPr>
          <w:rFonts w:hint="cs"/>
          <w:rtl/>
        </w:rPr>
        <w:t>، ريثما يتم وضع المنهج والامتحان المذكورين. وعندئذ، تكون المدارس قادرة على تدريس المنهجين كبديلين و/أو يكون بإمكانها - إذا سمحت الموارد بذلك - اختيار أحد المنهجين. وينبغي دراسة جدوى ذلك في ضوء التعمق في دراسة الاحتياجات الفعلية لغير الناطقين</w:t>
      </w:r>
      <w:r>
        <w:rPr>
          <w:rFonts w:hint="cs"/>
          <w:rtl/>
        </w:rPr>
        <w:t xml:space="preserve"> بالصينية، والمناهج الدراسية لفرادى المدارس وآراء سلطة الامتحانات في هونغ كونغ؛</w:t>
      </w:r>
    </w:p>
    <w:p w:rsidR="00000000" w:rsidRDefault="00443EC1">
      <w:pPr>
        <w:spacing w:line="380" w:lineRule="exact"/>
        <w:ind w:left="1440" w:hanging="720"/>
        <w:jc w:val="both"/>
        <w:rPr>
          <w:rFonts w:hint="cs"/>
          <w:rtl/>
        </w:rPr>
      </w:pPr>
      <w:r>
        <w:rPr>
          <w:rtl/>
        </w:rPr>
        <w:t>`</w:t>
      </w:r>
      <w:r>
        <w:rPr>
          <w:rFonts w:hint="cs"/>
          <w:rtl/>
        </w:rPr>
        <w:t>3</w:t>
      </w:r>
      <w:r>
        <w:rPr>
          <w:rtl/>
        </w:rPr>
        <w:t>`</w:t>
      </w:r>
      <w:r>
        <w:rPr>
          <w:rFonts w:hint="cs"/>
          <w:rtl/>
        </w:rPr>
        <w:tab/>
        <w:t>تشجيع أطفال الأقليات، الذين يبدون قدرة على التكيف مع المناهج الدراسية المحلية على مواصلة دراستهم ودخول الامتحانات المحلية للغة الصينية وغيرها من المواضيع التي تستخدم فيها ا</w:t>
      </w:r>
      <w:r>
        <w:rPr>
          <w:rFonts w:hint="cs"/>
          <w:rtl/>
        </w:rPr>
        <w:t>للغة الصينية كوسيلة للتعليم؛</w:t>
      </w:r>
    </w:p>
    <w:p w:rsidR="00000000" w:rsidRDefault="00443EC1">
      <w:pPr>
        <w:spacing w:line="380" w:lineRule="exact"/>
        <w:jc w:val="both"/>
        <w:rPr>
          <w:rFonts w:hint="cs"/>
          <w:rtl/>
        </w:rPr>
      </w:pPr>
      <w:r>
        <w:rPr>
          <w:rFonts w:hint="cs"/>
          <w:rtl/>
        </w:rPr>
        <w:tab/>
        <w:t>(د)</w:t>
      </w:r>
      <w:r>
        <w:rPr>
          <w:rFonts w:hint="cs"/>
          <w:rtl/>
        </w:rPr>
        <w:tab/>
      </w:r>
      <w:r>
        <w:rPr>
          <w:rFonts w:hint="cs"/>
          <w:b/>
          <w:bCs/>
          <w:rtl/>
        </w:rPr>
        <w:t>توسيع نطاق بر</w:t>
      </w:r>
      <w:r>
        <w:rPr>
          <w:rFonts w:hint="cs"/>
          <w:rtl/>
        </w:rPr>
        <w:t>ا</w:t>
      </w:r>
      <w:r>
        <w:rPr>
          <w:rFonts w:hint="cs"/>
          <w:b/>
          <w:bCs/>
          <w:rtl/>
        </w:rPr>
        <w:t>مج التوجيه وبرامج الإرشاد وبرنامج المنح المقدمة لدعم الطلاب داخل المدرسة</w:t>
      </w:r>
      <w:r>
        <w:rPr>
          <w:rFonts w:hint="cs"/>
          <w:rtl/>
        </w:rPr>
        <w:t xml:space="preserve">: هذه هي خدمات دعم تستهدف مساعدة الأطفال الجدد الملتحقين بالمدارس لكي يتكيفوا مع بيئة ونظام التعليم المحليين. وكحل مثالي، ينبغي أن تؤدي </w:t>
      </w:r>
      <w:r>
        <w:rPr>
          <w:rFonts w:hint="cs"/>
          <w:rtl/>
        </w:rPr>
        <w:t>هذه البرامج إلى تمكين الطفل من الالتحاق بمدارس التيار الرئيسي للتعليم بعد التخرج. لكننا نعترف بأن بعض الطلاب قد يجدون صعوبة في التكيف مع بيئة ونظام التعليم أكثر من غيرهم وبالتالي فإننا نجيز للمدارس والمنظمات غير الحكومية أن تمدد فترة الدعم المقدم إلى أولئك</w:t>
      </w:r>
      <w:r>
        <w:rPr>
          <w:rFonts w:hint="cs"/>
          <w:rtl/>
        </w:rPr>
        <w:t xml:space="preserve"> الطلاب من خلال إعادة توزيع الأموال التي تمت الموافقة عليها لدعم البرنامج المعني. وينبغي أن يستند هذا التمديد إلى تقييم الاحتياجات الذي تجريه المدارس والمنظمات غير الحكومية؛</w:t>
      </w:r>
    </w:p>
    <w:p w:rsidR="00000000" w:rsidRDefault="00443EC1">
      <w:pPr>
        <w:spacing w:line="380" w:lineRule="exact"/>
        <w:jc w:val="both"/>
        <w:rPr>
          <w:rFonts w:hint="cs"/>
          <w:rtl/>
        </w:rPr>
      </w:pPr>
      <w:r>
        <w:rPr>
          <w:rFonts w:hint="cs"/>
          <w:rtl/>
        </w:rPr>
        <w:tab/>
        <w:t>(ه‍)</w:t>
      </w:r>
      <w:r>
        <w:rPr>
          <w:rFonts w:hint="cs"/>
          <w:rtl/>
        </w:rPr>
        <w:tab/>
      </w:r>
      <w:r>
        <w:rPr>
          <w:rFonts w:hint="cs"/>
          <w:b/>
          <w:bCs/>
          <w:rtl/>
        </w:rPr>
        <w:t>تفاعل المداس/المجتمع المحلي</w:t>
      </w:r>
      <w:r>
        <w:rPr>
          <w:rFonts w:hint="cs"/>
          <w:rtl/>
        </w:rPr>
        <w:t>: إننا نشجع المدارس التي يلتحق بها أطفال غير ناطق</w:t>
      </w:r>
      <w:r>
        <w:rPr>
          <w:rFonts w:hint="cs"/>
          <w:rtl/>
        </w:rPr>
        <w:t>ين بالصينية بالعمل مع قادة مجتمعات الأقليات لتنظيم أنشطة للطلاب ولوالديهم. ويمكن لمثل هذه الأنشطة أن تتضمن صفوفاً تعليمية، وبرامج ثقافية، وتعليم الوالدين، وما إلى ذلك؛</w:t>
      </w:r>
    </w:p>
    <w:p w:rsidR="00000000" w:rsidRDefault="00443EC1">
      <w:pPr>
        <w:spacing w:line="380" w:lineRule="exact"/>
        <w:jc w:val="both"/>
        <w:rPr>
          <w:rStyle w:val="FootnoteReference"/>
          <w:rFonts w:hint="cs"/>
          <w:b/>
          <w:vertAlign w:val="baseline"/>
          <w:rtl/>
        </w:rPr>
      </w:pPr>
      <w:r>
        <w:rPr>
          <w:rFonts w:hint="cs"/>
          <w:rtl/>
        </w:rPr>
        <w:tab/>
        <w:t>(و)</w:t>
      </w:r>
      <w:r>
        <w:rPr>
          <w:rFonts w:hint="cs"/>
          <w:rtl/>
        </w:rPr>
        <w:tab/>
      </w:r>
      <w:r>
        <w:rPr>
          <w:rFonts w:hint="cs"/>
          <w:b/>
          <w:bCs/>
          <w:rtl/>
        </w:rPr>
        <w:t>تعزيز الهوية الثقافية/الدينية</w:t>
      </w:r>
      <w:r>
        <w:rPr>
          <w:rFonts w:hint="cs"/>
          <w:rtl/>
        </w:rPr>
        <w:t xml:space="preserve">: إننا ننظر في اقتراح مفاده تشجيع المدارس على استخدام </w:t>
      </w:r>
      <w:r>
        <w:rPr>
          <w:rFonts w:hint="cs"/>
          <w:rtl/>
        </w:rPr>
        <w:t>معلمين ومعلمات و/أو مساعدي معلمين ومعلمات من الأقليات الإثنية. ومن المقترح، أن يقوم هذا العدد الإضافي من المعلمين والمعلمات بمهام التدريس للمساعدة على استمرار عدم المساس بالهوية الدينية والثقافية للأطفال.</w:t>
      </w:r>
    </w:p>
    <w:p w:rsidR="00000000" w:rsidRDefault="00443EC1">
      <w:pPr>
        <w:spacing w:line="380" w:lineRule="exact"/>
        <w:jc w:val="both"/>
        <w:rPr>
          <w:rFonts w:hint="cs"/>
          <w:b/>
          <w:bCs/>
          <w:rtl/>
        </w:rPr>
      </w:pPr>
      <w:r>
        <w:rPr>
          <w:rFonts w:hint="cs"/>
          <w:b/>
          <w:bCs/>
          <w:rtl/>
        </w:rPr>
        <w:t>التعليم ما بعد الثانوي</w:t>
      </w:r>
    </w:p>
    <w:p w:rsidR="00000000" w:rsidRDefault="00443EC1">
      <w:pPr>
        <w:spacing w:line="380" w:lineRule="exact"/>
        <w:jc w:val="both"/>
        <w:rPr>
          <w:rFonts w:hint="cs"/>
          <w:i/>
          <w:iCs/>
          <w:rtl/>
        </w:rPr>
      </w:pPr>
      <w:r>
        <w:rPr>
          <w:rFonts w:hint="cs"/>
          <w:i/>
          <w:iCs/>
          <w:rtl/>
        </w:rPr>
        <w:t>توسيع نطاق قطاع التعليم ما ب</w:t>
      </w:r>
      <w:r>
        <w:rPr>
          <w:rFonts w:hint="cs"/>
          <w:i/>
          <w:iCs/>
          <w:rtl/>
        </w:rPr>
        <w:t>عد الثانوي</w:t>
      </w:r>
    </w:p>
    <w:p w:rsidR="00000000" w:rsidRDefault="00443EC1">
      <w:pPr>
        <w:spacing w:line="380" w:lineRule="exact"/>
        <w:jc w:val="both"/>
        <w:rPr>
          <w:rFonts w:hint="cs"/>
          <w:i/>
          <w:iCs/>
          <w:rtl/>
        </w:rPr>
      </w:pPr>
      <w:r>
        <w:rPr>
          <w:rFonts w:hint="cs"/>
          <w:i/>
          <w:iCs/>
          <w:rtl/>
        </w:rPr>
        <w:tab/>
        <w:t>الدعم المقدم لتوسيع نطاق التعليم ما بعد الثانوي</w:t>
      </w:r>
    </w:p>
    <w:p w:rsidR="00000000" w:rsidRDefault="00443EC1">
      <w:pPr>
        <w:spacing w:line="380" w:lineRule="exact"/>
        <w:jc w:val="both"/>
        <w:rPr>
          <w:rFonts w:hint="cs"/>
          <w:rtl/>
        </w:rPr>
      </w:pPr>
      <w:r>
        <w:rPr>
          <w:rFonts w:hint="cs"/>
          <w:spacing w:val="2"/>
          <w:rtl/>
        </w:rPr>
        <w:t>713-</w:t>
      </w:r>
      <w:r>
        <w:rPr>
          <w:rFonts w:hint="cs"/>
          <w:spacing w:val="2"/>
          <w:rtl/>
        </w:rPr>
        <w:tab/>
        <w:t>تدعم الحكومة الزيادة التدريجية لفرص التعليم ما بعد الثانوي. وتستهدف خطتنا تمكين نسبة 60 في المائة من المتخرجين من المدارس الثانوية العليا من الالتحاق بالتعليم ما بعد الثانوي بحلول العام الدرا</w:t>
      </w:r>
      <w:r>
        <w:rPr>
          <w:rFonts w:hint="cs"/>
          <w:spacing w:val="2"/>
          <w:rtl/>
        </w:rPr>
        <w:t xml:space="preserve">سي 2010-2011. </w:t>
      </w:r>
      <w:r>
        <w:rPr>
          <w:rFonts w:hint="cs"/>
          <w:rtl/>
        </w:rPr>
        <w:t xml:space="preserve">وسيتحقق معظم هذا الهدف إلى حد كبير من خلال التمويل الذاتي للمقاعد في مرحلة التعليم ما بعد الثانوي (ولا سيما على مستوى ما دون الشهادة الجامعية). وتدعم الحكومة هذا القطاع من خلال تقديم قروض بلا فائدة إلى المؤسسات التعليمية التي لا تستهدف الربح </w:t>
      </w:r>
      <w:r>
        <w:rPr>
          <w:rFonts w:hint="cs"/>
          <w:rtl/>
        </w:rPr>
        <w:t>للبدء بأعمالها، ومنح لتغطية تكاليف التسجيل التي تدفعها المؤسسات التعليمية، وأراض لبناء المؤسسات ومساعدة مالية إلى الطلاب. وفي عام 2000، تمكنت نسبة تقترب من 30 في المائة من الفئة العمرية 17-20 سنة من الوصول إلى التعليم ما بعد الثانوي. وتمكنت نسبة 42 في الما</w:t>
      </w:r>
      <w:r>
        <w:rPr>
          <w:rFonts w:hint="cs"/>
          <w:rtl/>
        </w:rPr>
        <w:t>ئة تقريباً من تلك الفئة العمرية من الوصول إلى التعليم ما بعد الثانوي في العام الدراسي 2002-2003.</w:t>
      </w:r>
    </w:p>
    <w:p w:rsidR="00000000" w:rsidRDefault="00443EC1">
      <w:pPr>
        <w:spacing w:line="380" w:lineRule="exact"/>
        <w:jc w:val="both"/>
        <w:rPr>
          <w:rFonts w:hint="cs"/>
          <w:i/>
          <w:iCs/>
          <w:rtl/>
        </w:rPr>
      </w:pPr>
      <w:r>
        <w:rPr>
          <w:rFonts w:hint="cs"/>
          <w:i/>
          <w:iCs/>
          <w:rtl/>
        </w:rPr>
        <w:t>المساعدة المالية المقدمة إلى طلاب مرحلة التعليم ما بعد الثانوي</w:t>
      </w:r>
    </w:p>
    <w:p w:rsidR="00000000" w:rsidRDefault="00443EC1">
      <w:pPr>
        <w:spacing w:line="380" w:lineRule="exact"/>
        <w:jc w:val="both"/>
        <w:rPr>
          <w:rFonts w:hint="cs"/>
          <w:rtl/>
        </w:rPr>
      </w:pPr>
      <w:r>
        <w:rPr>
          <w:rFonts w:hint="cs"/>
          <w:rtl/>
        </w:rPr>
        <w:t>714-</w:t>
      </w:r>
      <w:r>
        <w:rPr>
          <w:rFonts w:hint="cs"/>
          <w:rtl/>
        </w:rPr>
        <w:tab/>
        <w:t>يتمكن الطلاب الملتحقون بالمدارس طوال اليوم والبالغون من العمر 25 عاماً أو أقل من الحصول على</w:t>
      </w:r>
      <w:r>
        <w:rPr>
          <w:rFonts w:hint="cs"/>
          <w:rtl/>
        </w:rPr>
        <w:t xml:space="preserve"> مساعدة حكومية لمواصلة التعليم ما بعد الثانوي الذي يقوم على التمويل الذاتي. وتتضمن هذه المساعدة ما يلي:</w:t>
      </w:r>
    </w:p>
    <w:p w:rsidR="00000000" w:rsidRDefault="00443EC1">
      <w:pPr>
        <w:spacing w:line="380" w:lineRule="exact"/>
        <w:jc w:val="both"/>
        <w:rPr>
          <w:rFonts w:hint="cs"/>
          <w:rtl/>
        </w:rPr>
      </w:pPr>
      <w:r>
        <w:rPr>
          <w:rFonts w:hint="cs"/>
          <w:rtl/>
        </w:rPr>
        <w:tab/>
        <w:t>(أ)</w:t>
      </w:r>
      <w:r>
        <w:rPr>
          <w:rFonts w:hint="cs"/>
          <w:rtl/>
        </w:rPr>
        <w:tab/>
      </w:r>
      <w:r>
        <w:rPr>
          <w:rFonts w:hint="cs"/>
          <w:b/>
          <w:bCs/>
          <w:rtl/>
        </w:rPr>
        <w:t xml:space="preserve">البرنامج المالي للطلاب في المرحلة ما بعد الثانوية: </w:t>
      </w:r>
      <w:r>
        <w:rPr>
          <w:rFonts w:hint="cs"/>
          <w:rtl/>
        </w:rPr>
        <w:t>بدأ الصندوق بالعمل في السنة الدراسية 2001-2002. ويقدم الصندوق منحاً مرتبطة بالدخل أو منحاً بفوائ</w:t>
      </w:r>
      <w:r>
        <w:rPr>
          <w:rFonts w:hint="cs"/>
          <w:rtl/>
        </w:rPr>
        <w:t>د منخفضة، لتغطية الرسوم الدراسية. وقدم الصندوق في السنة الأولى لعمله قرابة 24 مليون دولار من دولارات هونغ كونغ</w:t>
      </w:r>
      <w:r>
        <w:rPr>
          <w:rFonts w:hint="cs"/>
          <w:vertAlign w:val="superscript"/>
          <w:rtl/>
        </w:rPr>
        <w:t>(58)</w:t>
      </w:r>
      <w:r>
        <w:rPr>
          <w:rFonts w:hint="cs"/>
          <w:rtl/>
        </w:rPr>
        <w:t xml:space="preserve"> في شكل منح و27 مليون دولار من دولارات هونغ كونغ لمساعدة 900 1 طالب معوز؛</w:t>
      </w:r>
    </w:p>
    <w:p w:rsidR="00000000" w:rsidRDefault="00443EC1">
      <w:pPr>
        <w:spacing w:line="380" w:lineRule="exact"/>
        <w:jc w:val="both"/>
        <w:rPr>
          <w:rFonts w:hint="cs"/>
          <w:rtl/>
        </w:rPr>
      </w:pPr>
      <w:r>
        <w:rPr>
          <w:rFonts w:hint="cs"/>
          <w:rtl/>
        </w:rPr>
        <w:tab/>
        <w:t>(ب)</w:t>
      </w:r>
      <w:r>
        <w:rPr>
          <w:rFonts w:hint="cs"/>
          <w:rtl/>
        </w:rPr>
        <w:tab/>
      </w:r>
      <w:r>
        <w:rPr>
          <w:rFonts w:hint="cs"/>
          <w:b/>
          <w:bCs/>
          <w:rtl/>
        </w:rPr>
        <w:t>برنامج</w:t>
      </w:r>
      <w:r>
        <w:rPr>
          <w:rFonts w:hint="cs"/>
          <w:rtl/>
        </w:rPr>
        <w:t xml:space="preserve"> </w:t>
      </w:r>
      <w:r>
        <w:rPr>
          <w:rFonts w:hint="cs"/>
          <w:b/>
          <w:bCs/>
          <w:rtl/>
        </w:rPr>
        <w:t>القروض غير المرتبطة بالدخل المقدمة إلى طلاب المرحلة ما ب</w:t>
      </w:r>
      <w:r>
        <w:rPr>
          <w:rFonts w:hint="cs"/>
          <w:b/>
          <w:bCs/>
          <w:rtl/>
        </w:rPr>
        <w:t xml:space="preserve">عد الثانوية: </w:t>
      </w:r>
      <w:r>
        <w:rPr>
          <w:rFonts w:hint="cs"/>
          <w:rtl/>
        </w:rPr>
        <w:t>تشمل هذه القروض الرسوم الدراسية وتكاليف المعيشة. وتُمنح القروض لجميع الطلاب المؤهلين للحصول عليها بغض النظر عن وضعهم المالي. وتم في إطار البرنامج منح قرابة 87 مليون دولار من دولارات هونغ كونغ إلى قرابة 800 1 طالب في السنة الدراسية 2001-2002.</w:t>
      </w:r>
    </w:p>
    <w:p w:rsidR="00000000" w:rsidRDefault="00443EC1">
      <w:pPr>
        <w:spacing w:before="180" w:after="180" w:line="380" w:lineRule="exact"/>
        <w:jc w:val="both"/>
        <w:rPr>
          <w:rFonts w:hint="cs"/>
          <w:b/>
          <w:bCs/>
          <w:rtl/>
        </w:rPr>
      </w:pPr>
      <w:r>
        <w:rPr>
          <w:rFonts w:hint="cs"/>
          <w:b/>
          <w:bCs/>
          <w:rtl/>
        </w:rPr>
        <w:t>ا</w:t>
      </w:r>
      <w:r>
        <w:rPr>
          <w:rFonts w:hint="cs"/>
          <w:b/>
          <w:bCs/>
          <w:rtl/>
        </w:rPr>
        <w:t>لتعليم العالي</w:t>
      </w:r>
    </w:p>
    <w:p w:rsidR="00000000" w:rsidRDefault="00443EC1">
      <w:pPr>
        <w:spacing w:before="180" w:after="180" w:line="380" w:lineRule="exact"/>
        <w:jc w:val="both"/>
        <w:rPr>
          <w:rFonts w:hint="cs"/>
          <w:i/>
          <w:iCs/>
          <w:rtl/>
        </w:rPr>
      </w:pPr>
      <w:r>
        <w:rPr>
          <w:rFonts w:hint="cs"/>
          <w:i/>
          <w:iCs/>
          <w:rtl/>
        </w:rPr>
        <w:t>سياسة القبول</w:t>
      </w:r>
    </w:p>
    <w:p w:rsidR="00000000" w:rsidRDefault="00443EC1">
      <w:pPr>
        <w:spacing w:before="180" w:after="180" w:line="380" w:lineRule="exact"/>
        <w:jc w:val="both"/>
        <w:rPr>
          <w:rFonts w:hint="cs"/>
          <w:rtl/>
        </w:rPr>
      </w:pPr>
      <w:r>
        <w:rPr>
          <w:rFonts w:hint="cs"/>
          <w:rtl/>
        </w:rPr>
        <w:t>715-</w:t>
      </w:r>
      <w:r>
        <w:rPr>
          <w:rFonts w:hint="cs"/>
          <w:rtl/>
        </w:rPr>
        <w:tab/>
        <w:t>لم يتغير الوضع بصورة جوهرية عما هو مبين في الفقرة 528 من التقرير الأولي. وذلك يعني أن القبول في معاهد الدرجة الثالثة يستند إلى الجدارة. ومعاهد التعليم العالي هي هيئات مستقلة منشأة بموجب القانون وهي التي تحدد وتدير معايير الق</w:t>
      </w:r>
      <w:r>
        <w:rPr>
          <w:rFonts w:hint="cs"/>
          <w:rtl/>
        </w:rPr>
        <w:t xml:space="preserve">بول فيها. ويتم أساساً من خلال نظام القبول المشترك في البراج الجامعية القبول في برامج التخرج وما قبل التخرج، في المؤسسات الجامعية التي تمولها لجنة المنح الجامعية. وفيما يكون الاعتبار الأول هو الأداء في الامتحان، فإن المؤسسات التي تمولها لجنة المنح الجامعية </w:t>
      </w:r>
      <w:r>
        <w:rPr>
          <w:rFonts w:hint="cs"/>
          <w:rtl/>
        </w:rPr>
        <w:t>تقبل أيضاً بعض الطلاب في البرامج دون المرحلة الجامعية على أساس التفوق في مجالات غير أكاديمية مثل الخدمات المجتمعية والفنون والرياضة. وفي السنة الدراسية 2002-2003 بدأت بعض المؤسسات التي تمولها لجنة المنح الجامعية بقبول طلاب حصلوا على درجات متميزة في المرحلة</w:t>
      </w:r>
      <w:r>
        <w:rPr>
          <w:rFonts w:hint="cs"/>
          <w:rtl/>
        </w:rPr>
        <w:t xml:space="preserve"> الثانوية السادسة، أي أنها تقبلهم قبل سنة واحدة من التحاقهم بمعاهد التعليم العالي في الأحوال العادية.</w:t>
      </w:r>
    </w:p>
    <w:p w:rsidR="00000000" w:rsidRDefault="00443EC1">
      <w:pPr>
        <w:spacing w:before="180" w:after="180" w:line="380" w:lineRule="exact"/>
        <w:jc w:val="both"/>
        <w:rPr>
          <w:rFonts w:hint="cs"/>
          <w:i/>
          <w:iCs/>
          <w:rtl/>
        </w:rPr>
      </w:pPr>
      <w:r>
        <w:rPr>
          <w:rFonts w:hint="cs"/>
          <w:i/>
          <w:iCs/>
          <w:rtl/>
        </w:rPr>
        <w:t>توفير الأماكن في التعليم العالي</w:t>
      </w:r>
    </w:p>
    <w:p w:rsidR="00000000" w:rsidRDefault="00443EC1">
      <w:pPr>
        <w:spacing w:before="180" w:after="180" w:line="380" w:lineRule="exact"/>
        <w:jc w:val="both"/>
        <w:rPr>
          <w:rFonts w:hint="cs"/>
          <w:rtl/>
        </w:rPr>
      </w:pPr>
      <w:r>
        <w:rPr>
          <w:rFonts w:hint="cs"/>
          <w:rtl/>
        </w:rPr>
        <w:t>716-</w:t>
      </w:r>
      <w:r>
        <w:rPr>
          <w:rFonts w:hint="cs"/>
          <w:rtl/>
        </w:rPr>
        <w:tab/>
        <w:t xml:space="preserve">تم في السنوات القليلة الأخيرة دعم مركز لجنة المنح الجامعية ولم يتغير الوضع أساساً عما تم توضيحه في الفقرتين 529 و530 </w:t>
      </w:r>
      <w:r>
        <w:rPr>
          <w:rFonts w:hint="cs"/>
          <w:rtl/>
        </w:rPr>
        <w:t>من التقرير الأولي، على الرغم من أن عدد مؤسسات التعليم العالي أصبح الآن 11 مؤسسة بالمقارنة مع 10 مؤسسات تم الإبلاغ عنها في التقرير السابق.</w:t>
      </w:r>
    </w:p>
    <w:p w:rsidR="00000000" w:rsidRDefault="00443EC1">
      <w:pPr>
        <w:spacing w:before="180" w:after="180" w:line="380" w:lineRule="exact"/>
        <w:jc w:val="both"/>
        <w:rPr>
          <w:rFonts w:hint="cs"/>
          <w:i/>
          <w:iCs/>
          <w:rtl/>
        </w:rPr>
      </w:pPr>
      <w:r>
        <w:rPr>
          <w:rFonts w:hint="cs"/>
          <w:i/>
          <w:iCs/>
          <w:rtl/>
        </w:rPr>
        <w:t>الرسوم الدراسية والمساعدة المالية للطلاب</w:t>
      </w:r>
    </w:p>
    <w:p w:rsidR="00000000" w:rsidRDefault="00443EC1">
      <w:pPr>
        <w:spacing w:before="180" w:after="180" w:line="380" w:lineRule="exact"/>
        <w:jc w:val="both"/>
        <w:rPr>
          <w:rFonts w:hint="cs"/>
          <w:i/>
          <w:iCs/>
          <w:rtl/>
        </w:rPr>
      </w:pPr>
      <w:r>
        <w:rPr>
          <w:rFonts w:hint="cs"/>
          <w:i/>
          <w:iCs/>
          <w:rtl/>
        </w:rPr>
        <w:t>رسوم التعليم في المعاهد الممولة من لجنة المنح الجامعية</w:t>
      </w:r>
    </w:p>
    <w:p w:rsidR="00000000" w:rsidRDefault="00443EC1">
      <w:pPr>
        <w:spacing w:before="180" w:after="180" w:line="380" w:lineRule="exact"/>
        <w:jc w:val="both"/>
        <w:rPr>
          <w:rFonts w:hint="cs"/>
          <w:rtl/>
        </w:rPr>
      </w:pPr>
      <w:r>
        <w:rPr>
          <w:rFonts w:hint="cs"/>
          <w:rtl/>
        </w:rPr>
        <w:t>717-</w:t>
      </w:r>
      <w:r>
        <w:rPr>
          <w:rFonts w:hint="cs"/>
          <w:rtl/>
        </w:rPr>
        <w:tab/>
        <w:t>تم منذ السنة الدر</w:t>
      </w:r>
      <w:r>
        <w:rPr>
          <w:rFonts w:hint="cs"/>
          <w:rtl/>
        </w:rPr>
        <w:t>اسية 1997-1998 تجميد رسوم التعليم لبرامج المستوى الجامعي وما فوقه في المعاهد التي تمولها لجنة المنح الجامعية. ولذلك ظلت هذه الرسوم على المستويات المبينة في الفقرة 531 من التقرير الأولي. ولا تزال سياستنا تتمثل في عدم حرمان أي طالب مؤهل من الوصول إلى التعليم</w:t>
      </w:r>
      <w:r>
        <w:rPr>
          <w:rFonts w:hint="cs"/>
          <w:rtl/>
        </w:rPr>
        <w:t xml:space="preserve"> في المستوى الثالث لأنه لا يملك السبيل إلى ذلك. وإننا نكفل ذلك من خلال السبل المبينة في الفقرة 532 من التقرير الأولي (انظر المرفق 13 جيم الذي يقدم معلومات مكمّلة للمرفق 29 من التقرير الأولي).</w:t>
      </w:r>
    </w:p>
    <w:p w:rsidR="00000000" w:rsidRDefault="00443EC1">
      <w:pPr>
        <w:spacing w:before="180" w:after="180" w:line="380" w:lineRule="exact"/>
        <w:jc w:val="both"/>
        <w:rPr>
          <w:rFonts w:hint="cs"/>
          <w:i/>
          <w:iCs/>
          <w:rtl/>
        </w:rPr>
      </w:pPr>
      <w:r>
        <w:rPr>
          <w:rFonts w:hint="cs"/>
          <w:i/>
          <w:iCs/>
          <w:rtl/>
        </w:rPr>
        <w:t>فرص المتحدثين بغير اللغة الصينية</w:t>
      </w:r>
    </w:p>
    <w:p w:rsidR="00000000" w:rsidRDefault="00443EC1">
      <w:pPr>
        <w:spacing w:before="180" w:after="180" w:line="380" w:lineRule="exact"/>
        <w:jc w:val="both"/>
        <w:rPr>
          <w:rFonts w:hint="cs"/>
          <w:rtl/>
        </w:rPr>
      </w:pPr>
      <w:r>
        <w:rPr>
          <w:rFonts w:hint="cs"/>
          <w:rtl/>
        </w:rPr>
        <w:t>718-</w:t>
      </w:r>
      <w:r>
        <w:rPr>
          <w:rFonts w:hint="cs"/>
          <w:rtl/>
        </w:rPr>
        <w:tab/>
        <w:t>لم يتغير الوضع عما هو مبين</w:t>
      </w:r>
      <w:r>
        <w:rPr>
          <w:rFonts w:hint="cs"/>
          <w:rtl/>
        </w:rPr>
        <w:t xml:space="preserve"> في الفقرة 533 من التقرير الأولي.</w:t>
      </w:r>
    </w:p>
    <w:p w:rsidR="00000000" w:rsidRDefault="00443EC1">
      <w:pPr>
        <w:spacing w:before="180" w:after="180" w:line="380" w:lineRule="exact"/>
        <w:jc w:val="both"/>
        <w:rPr>
          <w:rFonts w:hint="cs"/>
          <w:b/>
          <w:bCs/>
          <w:rtl/>
        </w:rPr>
      </w:pPr>
      <w:r>
        <w:rPr>
          <w:rFonts w:hint="cs"/>
          <w:b/>
          <w:bCs/>
          <w:rtl/>
        </w:rPr>
        <w:t>تعليم الكبار</w:t>
      </w:r>
    </w:p>
    <w:p w:rsidR="00000000" w:rsidRDefault="00443EC1">
      <w:pPr>
        <w:spacing w:before="180" w:after="180" w:line="380" w:lineRule="exact"/>
        <w:jc w:val="both"/>
        <w:rPr>
          <w:rFonts w:hint="cs"/>
          <w:i/>
          <w:iCs/>
          <w:rtl/>
        </w:rPr>
      </w:pPr>
      <w:r>
        <w:rPr>
          <w:rFonts w:hint="cs"/>
          <w:i/>
          <w:iCs/>
          <w:rtl/>
        </w:rPr>
        <w:t>الفرص المحلية لتعليم الكبار</w:t>
      </w:r>
    </w:p>
    <w:p w:rsidR="00000000" w:rsidRDefault="00443EC1">
      <w:pPr>
        <w:spacing w:before="180" w:after="180" w:line="380" w:lineRule="exact"/>
        <w:jc w:val="both"/>
        <w:rPr>
          <w:rFonts w:hint="cs"/>
          <w:rtl/>
        </w:rPr>
      </w:pPr>
      <w:r>
        <w:rPr>
          <w:rFonts w:hint="cs"/>
          <w:rtl/>
        </w:rPr>
        <w:t>719-</w:t>
      </w:r>
      <w:r>
        <w:rPr>
          <w:rFonts w:hint="cs"/>
          <w:rtl/>
        </w:rPr>
        <w:tab/>
        <w:t>لم يتغير الوضع أساساً عما هو مبين في الفقرتين 534 و535 من التقرير الأولي. وفي السنة الدراسية 2001-2002، حضر قرابة 170 11 طالب دورات دراسية على المستويين الابتدائي والثانوي مخصص</w:t>
      </w:r>
      <w:r>
        <w:rPr>
          <w:rFonts w:hint="cs"/>
          <w:rtl/>
        </w:rPr>
        <w:t>ة للمقيمين الذين تبلغ أعمارهم 15 عاماً فما فوق.</w:t>
      </w:r>
    </w:p>
    <w:p w:rsidR="00000000" w:rsidRDefault="00443EC1">
      <w:pPr>
        <w:spacing w:line="380" w:lineRule="exact"/>
        <w:jc w:val="both"/>
        <w:rPr>
          <w:rFonts w:hint="cs"/>
          <w:i/>
          <w:iCs/>
          <w:rtl/>
        </w:rPr>
      </w:pPr>
      <w:r>
        <w:rPr>
          <w:rFonts w:hint="cs"/>
          <w:i/>
          <w:iCs/>
          <w:rtl/>
        </w:rPr>
        <w:t>التعليم المستمر والمهني في التعليم العالي</w:t>
      </w:r>
    </w:p>
    <w:p w:rsidR="00000000" w:rsidRDefault="00443EC1">
      <w:pPr>
        <w:spacing w:line="380" w:lineRule="exact"/>
        <w:jc w:val="both"/>
        <w:rPr>
          <w:rFonts w:hint="cs"/>
          <w:rtl/>
        </w:rPr>
      </w:pPr>
      <w:r>
        <w:rPr>
          <w:rFonts w:hint="cs"/>
          <w:rtl/>
        </w:rPr>
        <w:t>720-</w:t>
      </w:r>
      <w:r>
        <w:rPr>
          <w:rFonts w:hint="cs"/>
          <w:rtl/>
        </w:rPr>
        <w:tab/>
        <w:t xml:space="preserve">أوضحنا في الفقرات من 536 إلى 538 من التقرير الأولي تاريخ جامعة هونغ كونغ الحرة والفلسفة التي تقوم عليها. حيث إن هذه الجامعة أحرزت تقدماً ملحوظاً في مجالات عديدة </w:t>
      </w:r>
      <w:r>
        <w:rPr>
          <w:rFonts w:hint="cs"/>
          <w:rtl/>
        </w:rPr>
        <w:t>منذ حزيران/يونيه 1998، وهو تاريخ الانتهاء من وضع التقرير الأولي. وهي الآن تشمل أربع مدارس للفنون والعلوم الاجتماعية والأعمال التجارية والإدارة، والتعليم واللغات والعلم والتكنولوجيا ومعهد ليكا شونغ للتعليم المهني والمستمر. وفي العام الدراسي 2001-2002، التحق</w:t>
      </w:r>
      <w:r>
        <w:rPr>
          <w:rFonts w:hint="cs"/>
          <w:rtl/>
        </w:rPr>
        <w:t xml:space="preserve"> أكثر من 000 26 طالب ببرامج المستوى الجامعي وما بعد الجامعي البالغ عددها 68 برنامجاً وبالبرامج دون المستوى الجامعي البالغ عددها 38 برنامجاً. وينظم معهد ليكا شونغ دورات قصيرة عددها 80 دورة ودورات مهنية لأكثر من 000 15 طالب. كما تنظم الجامعة برامج دراسية طوا</w:t>
      </w:r>
      <w:r>
        <w:rPr>
          <w:rFonts w:hint="cs"/>
          <w:rtl/>
        </w:rPr>
        <w:t>ل النهار للحصول على شهادات جامعية متوسطة.</w:t>
      </w:r>
    </w:p>
    <w:p w:rsidR="00000000" w:rsidRDefault="00443EC1">
      <w:pPr>
        <w:spacing w:line="380" w:lineRule="exact"/>
        <w:jc w:val="both"/>
        <w:rPr>
          <w:rFonts w:hint="cs"/>
          <w:i/>
          <w:iCs/>
          <w:rtl/>
        </w:rPr>
      </w:pPr>
      <w:r>
        <w:rPr>
          <w:rFonts w:hint="cs"/>
          <w:i/>
          <w:iCs/>
          <w:rtl/>
        </w:rPr>
        <w:t>المصادر الأخرى للتعليم المستمر</w:t>
      </w:r>
    </w:p>
    <w:p w:rsidR="00000000" w:rsidRDefault="00443EC1">
      <w:pPr>
        <w:spacing w:line="380" w:lineRule="exact"/>
        <w:jc w:val="both"/>
        <w:rPr>
          <w:rFonts w:hint="cs"/>
          <w:rtl/>
        </w:rPr>
      </w:pPr>
      <w:r>
        <w:rPr>
          <w:rFonts w:hint="cs"/>
          <w:rtl/>
        </w:rPr>
        <w:t>721-</w:t>
      </w:r>
      <w:r>
        <w:rPr>
          <w:rFonts w:hint="cs"/>
          <w:rtl/>
        </w:rPr>
        <w:tab/>
        <w:t>لم يتغير الوضع أساساً عمّا هو موضح في الفقرة 539 من التقرير الأولي.</w:t>
      </w:r>
    </w:p>
    <w:p w:rsidR="00000000" w:rsidRDefault="00443EC1">
      <w:pPr>
        <w:spacing w:line="380" w:lineRule="exact"/>
        <w:jc w:val="both"/>
        <w:rPr>
          <w:rFonts w:hint="cs"/>
          <w:rtl/>
        </w:rPr>
      </w:pPr>
      <w:r>
        <w:rPr>
          <w:rFonts w:hint="cs"/>
          <w:rtl/>
        </w:rPr>
        <w:t>722-</w:t>
      </w:r>
      <w:r>
        <w:rPr>
          <w:rFonts w:hint="cs"/>
          <w:rtl/>
        </w:rPr>
        <w:tab/>
        <w:t xml:space="preserve">وأعرب بعض المعلقين عن قلقهم إزاء نوعية تعليم الكبار بسبب الزيادة في عدد الشكاوى المقدمة ضد معاهد التعليم </w:t>
      </w:r>
      <w:r>
        <w:rPr>
          <w:rFonts w:hint="cs"/>
          <w:rtl/>
        </w:rPr>
        <w:t>المستمر. وتشعر الحكومة بالقلق إزاء نوعية برامج التعليم المستمر وقد تم وضع آليات تستهدف ضمان جعل مثل هذه البرامج ذات مستوى مقبول. ولا سيما:</w:t>
      </w:r>
    </w:p>
    <w:p w:rsidR="00000000" w:rsidRDefault="00443EC1">
      <w:pPr>
        <w:spacing w:line="380" w:lineRule="exact"/>
        <w:jc w:val="both"/>
        <w:rPr>
          <w:rFonts w:hint="cs"/>
          <w:rtl/>
        </w:rPr>
      </w:pPr>
      <w:r>
        <w:rPr>
          <w:rFonts w:hint="cs"/>
          <w:spacing w:val="2"/>
          <w:rtl/>
        </w:rPr>
        <w:tab/>
        <w:t>(أ)</w:t>
      </w:r>
      <w:r>
        <w:rPr>
          <w:rFonts w:hint="cs"/>
          <w:spacing w:val="2"/>
          <w:rtl/>
        </w:rPr>
        <w:tab/>
        <w:t xml:space="preserve">يتعين على </w:t>
      </w:r>
      <w:r>
        <w:rPr>
          <w:rFonts w:hint="cs"/>
          <w:b/>
          <w:bCs/>
          <w:spacing w:val="2"/>
          <w:rtl/>
        </w:rPr>
        <w:t>المدارس وغيرها من المؤسسات التعليمية المسجلة بموجب قانون التعليم (المادة 279)</w:t>
      </w:r>
      <w:r>
        <w:rPr>
          <w:rFonts w:hint="cs"/>
          <w:spacing w:val="2"/>
          <w:rtl/>
        </w:rPr>
        <w:t xml:space="preserve"> </w:t>
      </w:r>
      <w:r>
        <w:rPr>
          <w:rFonts w:hint="cs"/>
          <w:rtl/>
        </w:rPr>
        <w:t>الامتثال للقواعد التي تن</w:t>
      </w:r>
      <w:r>
        <w:rPr>
          <w:rFonts w:hint="cs"/>
          <w:rtl/>
        </w:rPr>
        <w:t>ظم مؤهلات المعلمين، والرسوم، وإدارة المدارس. وقد أصدرنا معلومات عن الرسوم التي تطالب بها هذه المؤسسات؛</w:t>
      </w:r>
    </w:p>
    <w:p w:rsidR="00000000" w:rsidRDefault="00443EC1">
      <w:pPr>
        <w:spacing w:line="380" w:lineRule="exact"/>
        <w:jc w:val="both"/>
        <w:rPr>
          <w:rFonts w:hint="cs"/>
          <w:rtl/>
        </w:rPr>
      </w:pPr>
      <w:r>
        <w:rPr>
          <w:rFonts w:hint="cs"/>
          <w:rtl/>
        </w:rPr>
        <w:tab/>
        <w:t>(ب)</w:t>
      </w:r>
      <w:r>
        <w:rPr>
          <w:rFonts w:hint="cs"/>
          <w:rtl/>
        </w:rPr>
        <w:tab/>
        <w:t>تخضع</w:t>
      </w:r>
      <w:r>
        <w:rPr>
          <w:rFonts w:hint="cs"/>
          <w:b/>
          <w:bCs/>
          <w:rtl/>
        </w:rPr>
        <w:t xml:space="preserve"> برامج التعليم المستمر التي تقدمها الجامعات</w:t>
      </w:r>
      <w:r>
        <w:rPr>
          <w:rFonts w:hint="cs"/>
          <w:rtl/>
        </w:rPr>
        <w:t xml:space="preserve"> لآليتها الداخلية لضبط النوعية أو لموافقة يصدرها مجلس هونغ كونغ المعني بإقرار الشهادات الجامعية. وتخض</w:t>
      </w:r>
      <w:r>
        <w:rPr>
          <w:rFonts w:hint="cs"/>
          <w:rtl/>
        </w:rPr>
        <w:t>ع أيضاً لعمليات مراجعة نوعية التعليم والتعلم التي يجريها الفريق التابع للجنة المنح الجامعية.</w:t>
      </w:r>
    </w:p>
    <w:p w:rsidR="00000000" w:rsidRDefault="00443EC1">
      <w:pPr>
        <w:spacing w:line="380" w:lineRule="exact"/>
        <w:jc w:val="both"/>
        <w:rPr>
          <w:rFonts w:hint="cs"/>
          <w:i/>
          <w:iCs/>
          <w:rtl/>
        </w:rPr>
      </w:pPr>
      <w:r>
        <w:rPr>
          <w:rFonts w:hint="cs"/>
          <w:i/>
          <w:iCs/>
          <w:rtl/>
        </w:rPr>
        <w:t>المساعدة المالية المقدمة لأغراض التعليم المستمر والمهني</w:t>
      </w:r>
    </w:p>
    <w:p w:rsidR="00000000" w:rsidRDefault="00443EC1">
      <w:pPr>
        <w:spacing w:line="380" w:lineRule="exact"/>
        <w:jc w:val="both"/>
        <w:rPr>
          <w:rFonts w:hint="cs"/>
          <w:rtl/>
        </w:rPr>
      </w:pPr>
      <w:r>
        <w:rPr>
          <w:rFonts w:hint="cs"/>
          <w:rtl/>
        </w:rPr>
        <w:t>723-</w:t>
      </w:r>
      <w:r>
        <w:rPr>
          <w:rFonts w:hint="cs"/>
          <w:rtl/>
        </w:rPr>
        <w:tab/>
        <w:t>يمكن الحصول على هذه المساعدة من مصدرين:</w:t>
      </w:r>
    </w:p>
    <w:p w:rsidR="00000000" w:rsidRDefault="00443EC1">
      <w:pPr>
        <w:spacing w:line="380" w:lineRule="exact"/>
        <w:jc w:val="both"/>
        <w:rPr>
          <w:rFonts w:hint="cs"/>
          <w:rtl/>
        </w:rPr>
      </w:pPr>
      <w:r>
        <w:rPr>
          <w:rFonts w:hint="cs"/>
          <w:rtl/>
        </w:rPr>
        <w:tab/>
        <w:t>(أ)</w:t>
      </w:r>
      <w:r>
        <w:rPr>
          <w:rFonts w:hint="cs"/>
          <w:rtl/>
        </w:rPr>
        <w:tab/>
      </w:r>
      <w:r>
        <w:rPr>
          <w:rFonts w:hint="cs"/>
          <w:b/>
          <w:bCs/>
          <w:rtl/>
        </w:rPr>
        <w:t xml:space="preserve">برنامج القروض التي لا تستند إلى الدخل (انظر أيضاً الفقرة </w:t>
      </w:r>
      <w:r>
        <w:rPr>
          <w:rFonts w:hint="cs"/>
          <w:b/>
          <w:bCs/>
          <w:rtl/>
        </w:rPr>
        <w:t>714(ب) أعلاه)</w:t>
      </w:r>
      <w:r>
        <w:rPr>
          <w:rFonts w:hint="cs"/>
          <w:rtl/>
        </w:rPr>
        <w:t>: تمكن هذا البرنامج الذي عرف بداية متواضعة من التوسع تدريجياً ليشمل دورات دراسية تقدمها في هونغ كونغ، مدارس وجامعات غير محلية مسجلة وهيئات مهنية وتدريبية معترف بها. ويقدم البرنامج قروضاً لتغطية رسوم التعليم إلى الأشخاص المؤهلين الذين يرغبون في</w:t>
      </w:r>
      <w:r>
        <w:rPr>
          <w:rFonts w:hint="cs"/>
          <w:rtl/>
        </w:rPr>
        <w:t xml:space="preserve"> اكتساب مؤهلات ومهارات جديدة</w:t>
      </w:r>
      <w:r>
        <w:rPr>
          <w:rFonts w:hint="cs"/>
          <w:vertAlign w:val="superscript"/>
          <w:rtl/>
        </w:rPr>
        <w:t>(59)</w:t>
      </w:r>
      <w:r>
        <w:rPr>
          <w:rFonts w:hint="cs"/>
          <w:rtl/>
        </w:rPr>
        <w:t>؛</w:t>
      </w:r>
    </w:p>
    <w:p w:rsidR="00000000" w:rsidRDefault="00443EC1">
      <w:pPr>
        <w:spacing w:before="180" w:after="180" w:line="380" w:lineRule="exact"/>
        <w:jc w:val="both"/>
        <w:rPr>
          <w:rFonts w:hint="cs"/>
          <w:rtl/>
        </w:rPr>
      </w:pPr>
      <w:r>
        <w:rPr>
          <w:rFonts w:hint="cs"/>
          <w:rtl/>
        </w:rPr>
        <w:tab/>
        <w:t>(ب)</w:t>
      </w:r>
      <w:r>
        <w:rPr>
          <w:rFonts w:hint="cs"/>
          <w:rtl/>
        </w:rPr>
        <w:tab/>
      </w:r>
      <w:r>
        <w:rPr>
          <w:rFonts w:hint="cs"/>
          <w:b/>
          <w:bCs/>
          <w:rtl/>
        </w:rPr>
        <w:t>صندوق توفير التعليم المستمر</w:t>
      </w:r>
      <w:r>
        <w:rPr>
          <w:rFonts w:hint="cs"/>
          <w:vertAlign w:val="superscript"/>
          <w:rtl/>
        </w:rPr>
        <w:t>(60)</w:t>
      </w:r>
      <w:r>
        <w:rPr>
          <w:rFonts w:hint="cs"/>
          <w:rtl/>
        </w:rPr>
        <w:t>: أنشئ هذا الصندوق في نيسان/أبريل 2002 وتبلغ ميزانيته 5 مليارات من دولارات هونغ كونغ. ويقوم الصندوق برد نسبة 80 في المائة من رسوم التعليم إلى مقدمي الطلبات المؤهلين بعد الانتهاء بنجاح من</w:t>
      </w:r>
      <w:r>
        <w:rPr>
          <w:rFonts w:hint="cs"/>
          <w:rtl/>
        </w:rPr>
        <w:t xml:space="preserve"> أي دورة دراسية مقررة شريطة ألا يتجاوز المبلغ000 10 دولار من دولارات هونغ. وكان هناك في تاريخ 31 كانون الأول/ديسمبر 2002 أكثر من 000 18 شخص قد قدم طلباً للحصول على تلك الإعانة.</w:t>
      </w:r>
    </w:p>
    <w:p w:rsidR="00000000" w:rsidRDefault="00443EC1">
      <w:pPr>
        <w:spacing w:before="180" w:after="180" w:line="380" w:lineRule="exact"/>
        <w:jc w:val="both"/>
        <w:rPr>
          <w:rFonts w:hint="cs"/>
          <w:b/>
          <w:bCs/>
          <w:rtl/>
        </w:rPr>
      </w:pPr>
      <w:r>
        <w:rPr>
          <w:rFonts w:hint="cs"/>
          <w:b/>
          <w:bCs/>
          <w:rtl/>
        </w:rPr>
        <w:t>التدريب المهني وإعادة التدريب</w:t>
      </w:r>
    </w:p>
    <w:p w:rsidR="00000000" w:rsidRDefault="00443EC1">
      <w:pPr>
        <w:spacing w:before="180" w:after="180" w:line="380" w:lineRule="exact"/>
        <w:jc w:val="both"/>
        <w:rPr>
          <w:rFonts w:hint="cs"/>
          <w:rtl/>
        </w:rPr>
      </w:pPr>
      <w:r>
        <w:rPr>
          <w:rFonts w:hint="cs"/>
          <w:rtl/>
        </w:rPr>
        <w:t>724-</w:t>
      </w:r>
      <w:r>
        <w:rPr>
          <w:rFonts w:hint="cs"/>
          <w:rtl/>
        </w:rPr>
        <w:tab/>
        <w:t>إن مجلس التدريب المهني هو المصدر الرئيسي للت</w:t>
      </w:r>
      <w:r>
        <w:rPr>
          <w:rFonts w:hint="cs"/>
          <w:rtl/>
        </w:rPr>
        <w:t>دريب المهني والجهة التي تقدم المشورة إلى الحكومة بشأن السياسات المتعلقة بالتعليم والتدريب المهنيين، كما هو موضَّح في الفقرة 540 من التقرير الأولي. وتم في عام 1999 دمج الكلّيتين التقنيتين السابقتين مع سبعة معاهد تقنية لتصبح معهداً واحداً: وهو معهد هونغ كونغ</w:t>
      </w:r>
      <w:r>
        <w:rPr>
          <w:rFonts w:hint="cs"/>
          <w:rtl/>
        </w:rPr>
        <w:t xml:space="preserve"> للتعليم المهني. ويقوم مجلس التدريب المهني بتشغيل 18 مركزاً للتدريب والتطوير. ويقدم معهد هونغ كونغ للتعليم المهني، بالتعاون مع مجلس التدريب المهني، التعليم والتدريب المهنيين إلى المتخرجين من المستويين الثانويين الثالث والخامس وإلى العاملين الذين يرغبون في </w:t>
      </w:r>
      <w:r>
        <w:rPr>
          <w:rFonts w:hint="cs"/>
          <w:rtl/>
        </w:rPr>
        <w:t xml:space="preserve">صقل وتحسين مهاراتهم ومعارفهم. كما يقوم مجلس التدريب المهني بتشغيل ثلاثة مراكز للمهارات تقدم التدريب المهني إلى الأشخاص المعوقين. </w:t>
      </w:r>
    </w:p>
    <w:p w:rsidR="00000000" w:rsidRDefault="00443EC1">
      <w:pPr>
        <w:spacing w:before="180" w:after="180" w:line="380" w:lineRule="exact"/>
        <w:jc w:val="both"/>
        <w:rPr>
          <w:rFonts w:hint="cs"/>
          <w:spacing w:val="0"/>
          <w:rtl/>
        </w:rPr>
      </w:pPr>
      <w:r>
        <w:rPr>
          <w:rFonts w:hint="cs"/>
          <w:spacing w:val="0"/>
          <w:rtl/>
        </w:rPr>
        <w:t>725-</w:t>
      </w:r>
      <w:r>
        <w:rPr>
          <w:rFonts w:hint="cs"/>
          <w:spacing w:val="0"/>
          <w:rtl/>
        </w:rPr>
        <w:tab/>
        <w:t>وفر معهد هونغ كونغ للتعليم المهني في السنة الدراسية 2001-2002 ما مجموعه 188 26 مقعداً للدراسة طوال اليوم و920 5 مقعداً لل</w:t>
      </w:r>
      <w:r>
        <w:rPr>
          <w:rFonts w:hint="cs"/>
          <w:spacing w:val="0"/>
          <w:rtl/>
        </w:rPr>
        <w:t>دراسة نصف اليوم و613 22 مقعداً للدراسة المسائية لنصف اليوم، وطائفة متنوعة من الدورات الدراسية القصيرة المدة. وتوفر مراكز التدريب والتطوير البالغ عددها 18 مركزاً، زهاء 815 84 مقعداً للدراسة طوال اليوم ونصف اليوم وللدراسة الذاتية. وترد في المرفقين 13(دال) (ب</w:t>
      </w:r>
      <w:r>
        <w:rPr>
          <w:rFonts w:hint="cs"/>
          <w:spacing w:val="0"/>
          <w:rtl/>
        </w:rPr>
        <w:t xml:space="preserve">حسب نوع الدراسة) و13(هاء) </w:t>
      </w:r>
      <w:r>
        <w:rPr>
          <w:spacing w:val="0"/>
          <w:rtl/>
        </w:rPr>
        <w:br/>
      </w:r>
      <w:r>
        <w:rPr>
          <w:rFonts w:hint="cs"/>
          <w:spacing w:val="0"/>
          <w:rtl/>
        </w:rPr>
        <w:t>(بحسب مستوى الدراسة) إحصاءات تبين الالتحاق بالتعليم للعام الدراسي 2001-2002 مصنفة حسب طريقة ومستوى التعليم. وهذان الملحقان يستكملان الملحقين 30 و31 الواردين في التقرير الأولي.</w:t>
      </w:r>
    </w:p>
    <w:p w:rsidR="00000000" w:rsidRDefault="00443EC1">
      <w:pPr>
        <w:spacing w:before="180" w:after="180" w:line="380" w:lineRule="exact"/>
        <w:jc w:val="both"/>
        <w:rPr>
          <w:rFonts w:hint="cs"/>
          <w:rtl/>
        </w:rPr>
      </w:pPr>
      <w:r>
        <w:rPr>
          <w:rFonts w:hint="cs"/>
          <w:rtl/>
        </w:rPr>
        <w:t>726-</w:t>
      </w:r>
      <w:r>
        <w:rPr>
          <w:rFonts w:hint="cs"/>
          <w:rtl/>
        </w:rPr>
        <w:tab/>
        <w:t>ولم يتغير الوضع المبيَّن في الفقرة 542 من التقري</w:t>
      </w:r>
      <w:r>
        <w:rPr>
          <w:rFonts w:hint="cs"/>
          <w:rtl/>
        </w:rPr>
        <w:t>ر الأولي فيما يتعلق بالتدريب قبل الاستخدام والتدريب التكميلي للعمال والحرفيين والتقنيين.</w:t>
      </w:r>
    </w:p>
    <w:p w:rsidR="00000000" w:rsidRDefault="00443EC1">
      <w:pPr>
        <w:spacing w:before="180" w:after="180" w:line="380" w:lineRule="exact"/>
        <w:jc w:val="both"/>
        <w:rPr>
          <w:rFonts w:hint="cs"/>
          <w:i/>
          <w:iCs/>
          <w:rtl/>
        </w:rPr>
      </w:pPr>
      <w:r>
        <w:rPr>
          <w:rFonts w:hint="cs"/>
          <w:i/>
          <w:iCs/>
          <w:rtl/>
        </w:rPr>
        <w:t>التمهّن</w:t>
      </w:r>
    </w:p>
    <w:p w:rsidR="00000000" w:rsidRDefault="00443EC1">
      <w:pPr>
        <w:spacing w:before="180" w:after="180" w:line="380" w:lineRule="exact"/>
        <w:jc w:val="both"/>
        <w:rPr>
          <w:rFonts w:hint="cs"/>
          <w:rtl/>
        </w:rPr>
      </w:pPr>
      <w:r>
        <w:rPr>
          <w:rFonts w:hint="cs"/>
          <w:rtl/>
        </w:rPr>
        <w:t>727-</w:t>
      </w:r>
      <w:r>
        <w:rPr>
          <w:rFonts w:hint="cs"/>
          <w:rtl/>
        </w:rPr>
        <w:tab/>
        <w:t xml:space="preserve">لم يتغير الوضع أساساً عما هو مبيَّن في الفقرة 543 من التقرير الأولي. فقد تم تسجيل قرابة 850 1 </w:t>
      </w:r>
      <w:r>
        <w:rPr>
          <w:rFonts w:hint="cs"/>
          <w:spacing w:val="0"/>
          <w:rtl/>
        </w:rPr>
        <w:t>عقداً للتمهّن في عام 2002. وتغطي هذه العقود 850 1 متمهّناً (</w:t>
      </w:r>
      <w:r>
        <w:rPr>
          <w:rFonts w:hint="cs"/>
          <w:spacing w:val="0"/>
          <w:rtl/>
        </w:rPr>
        <w:t xml:space="preserve">بالمقارنة مع 580 3 متمهّناً في عام 1997). وفي نهاية عام 2002، كان هناك قرابة 150 4 متمهناً تحت التدريب (وكان ذلك العدد 000 8 متمهّن في عام 1997). </w:t>
      </w:r>
      <w:r>
        <w:rPr>
          <w:rFonts w:hint="cs"/>
          <w:rtl/>
        </w:rPr>
        <w:t>وتشير هذه الأرقام إلى أن التمهّن في انخفاض كطريقة للدخول إلى عالم العمل. وربما يعكس ذلك التحول الذي تشهده هونغ</w:t>
      </w:r>
      <w:r>
        <w:rPr>
          <w:rFonts w:hint="cs"/>
          <w:rtl/>
        </w:rPr>
        <w:t xml:space="preserve"> كونغ إلى اقتصاد الخدمات.</w:t>
      </w:r>
    </w:p>
    <w:p w:rsidR="00000000" w:rsidRDefault="00443EC1">
      <w:pPr>
        <w:spacing w:before="180" w:after="180" w:line="380" w:lineRule="exact"/>
        <w:jc w:val="both"/>
        <w:rPr>
          <w:rFonts w:hint="cs"/>
          <w:b/>
          <w:bCs/>
          <w:rtl/>
        </w:rPr>
      </w:pPr>
      <w:r>
        <w:rPr>
          <w:rFonts w:hint="cs"/>
          <w:b/>
          <w:bCs/>
          <w:rtl/>
        </w:rPr>
        <w:t>تعليم الطلاب المعاقين</w:t>
      </w:r>
    </w:p>
    <w:p w:rsidR="00000000" w:rsidRDefault="00443EC1">
      <w:pPr>
        <w:spacing w:before="180" w:after="180" w:line="380" w:lineRule="exact"/>
        <w:jc w:val="both"/>
        <w:rPr>
          <w:rFonts w:hint="cs"/>
          <w:i/>
          <w:iCs/>
          <w:rtl/>
        </w:rPr>
      </w:pPr>
      <w:r>
        <w:rPr>
          <w:rFonts w:hint="cs"/>
          <w:i/>
          <w:iCs/>
          <w:rtl/>
        </w:rPr>
        <w:t>التعليم الابتدائي والثانوي للأطفال المعاقين</w:t>
      </w:r>
    </w:p>
    <w:p w:rsidR="00000000" w:rsidRDefault="00443EC1">
      <w:pPr>
        <w:spacing w:before="180" w:after="180" w:line="380" w:lineRule="exact"/>
        <w:jc w:val="both"/>
        <w:rPr>
          <w:rFonts w:hint="cs"/>
          <w:rtl/>
        </w:rPr>
      </w:pPr>
      <w:r>
        <w:rPr>
          <w:rFonts w:hint="cs"/>
          <w:rtl/>
        </w:rPr>
        <w:t>728-</w:t>
      </w:r>
      <w:r>
        <w:rPr>
          <w:rFonts w:hint="cs"/>
          <w:rtl/>
        </w:rPr>
        <w:tab/>
        <w:t xml:space="preserve">لم يتغير الوضع أساساً عما هو مبيَّن في الفقرات من 544 إلى 546 من التقرير الأولي. وترد في المرفق </w:t>
      </w:r>
      <w:r>
        <w:rPr>
          <w:rFonts w:hint="cs"/>
          <w:spacing w:val="0"/>
          <w:rtl/>
        </w:rPr>
        <w:t xml:space="preserve">13(واو) تعاريف لمختلف أشكال الإعاقة؛ ويستكمل هذا المرفق المرفق </w:t>
      </w:r>
      <w:r>
        <w:rPr>
          <w:rFonts w:hint="cs"/>
          <w:spacing w:val="0"/>
          <w:rtl/>
        </w:rPr>
        <w:t>32 من التقرير الأولي. ويدرج المرفق 13(زاي)</w:t>
      </w:r>
      <w:r>
        <w:rPr>
          <w:rFonts w:hint="cs"/>
          <w:rtl/>
        </w:rPr>
        <w:t xml:space="preserve"> قائمة خدمات الدعم المقدمة إلى الأطفال المعاقين الملتحقين بالمدارس العادية؛ ويستكمل هذا المرفق المرفق 33 من التقرير الأولي. </w:t>
      </w:r>
    </w:p>
    <w:p w:rsidR="00000000" w:rsidRDefault="00443EC1">
      <w:pPr>
        <w:spacing w:line="380" w:lineRule="exact"/>
        <w:jc w:val="both"/>
        <w:rPr>
          <w:rFonts w:hint="cs"/>
          <w:i/>
          <w:iCs/>
          <w:rtl/>
        </w:rPr>
      </w:pPr>
      <w:r>
        <w:rPr>
          <w:rFonts w:hint="cs"/>
          <w:i/>
          <w:iCs/>
          <w:rtl/>
        </w:rPr>
        <w:t>السبيل إلى إحراز تقدم</w:t>
      </w:r>
    </w:p>
    <w:p w:rsidR="00000000" w:rsidRDefault="00443EC1">
      <w:pPr>
        <w:spacing w:line="380" w:lineRule="exact"/>
        <w:jc w:val="both"/>
        <w:rPr>
          <w:rFonts w:hint="cs"/>
          <w:rtl/>
        </w:rPr>
      </w:pPr>
      <w:r>
        <w:rPr>
          <w:rFonts w:hint="cs"/>
          <w:rtl/>
        </w:rPr>
        <w:t>729-</w:t>
      </w:r>
      <w:r>
        <w:rPr>
          <w:rFonts w:hint="cs"/>
          <w:rtl/>
        </w:rPr>
        <w:tab/>
        <w:t>أعلمنا اللجنة في الفقرة 547 من التقرير الأولي بأنه شُرع في أيل</w:t>
      </w:r>
      <w:r>
        <w:rPr>
          <w:rFonts w:hint="cs"/>
          <w:rtl/>
        </w:rPr>
        <w:t>ول/سبتمبر 1997 في تطبيق مشروع نموذجي لمدة سنتين في تسع مدارس. والغرض من المشروع هو دراسة كيفية إدماج الطلاب ذوي الاحتياجات التعليمية الخاصة</w:t>
      </w:r>
      <w:r>
        <w:rPr>
          <w:rFonts w:hint="cs"/>
          <w:vertAlign w:val="superscript"/>
          <w:rtl/>
        </w:rPr>
        <w:t>(61)</w:t>
      </w:r>
      <w:r>
        <w:rPr>
          <w:rFonts w:hint="cs"/>
          <w:rtl/>
        </w:rPr>
        <w:t xml:space="preserve"> بصورة فعالة في المدارس العادية من خلال اعتماد نهج قائم على المدرسة ككل وزيادة إمكانيات العاملين في المدارس العاد</w:t>
      </w:r>
      <w:r>
        <w:rPr>
          <w:rFonts w:hint="cs"/>
          <w:rtl/>
        </w:rPr>
        <w:t>ية.</w:t>
      </w:r>
    </w:p>
    <w:p w:rsidR="00000000" w:rsidRDefault="00443EC1">
      <w:pPr>
        <w:spacing w:line="380" w:lineRule="exact"/>
        <w:jc w:val="both"/>
        <w:rPr>
          <w:rFonts w:hint="cs"/>
          <w:rtl/>
        </w:rPr>
      </w:pPr>
      <w:r>
        <w:rPr>
          <w:rFonts w:hint="cs"/>
          <w:rtl/>
        </w:rPr>
        <w:t>730-</w:t>
      </w:r>
      <w:r>
        <w:rPr>
          <w:rFonts w:hint="cs"/>
          <w:rtl/>
        </w:rPr>
        <w:tab/>
        <w:t xml:space="preserve">أجرت معاهد التعليم العالي، بتفويض من وزارة التعليم، تقييماً لهذا المشروع. وبالاستناد إلى توصيات هذه المعاهد، فإننا نشجع اليوم جميع المدارس العادية على اعتماد نهج قائم على المدرسة ككل لإدماج ذوي </w:t>
      </w:r>
      <w:r>
        <w:rPr>
          <w:rFonts w:hint="cs"/>
          <w:spacing w:val="0"/>
          <w:rtl/>
        </w:rPr>
        <w:t>الاحتياجات الخاصة في نظام التعليم العادي لكي تتمكن من</w:t>
      </w:r>
      <w:r>
        <w:rPr>
          <w:rFonts w:hint="cs"/>
          <w:spacing w:val="0"/>
          <w:rtl/>
        </w:rPr>
        <w:t xml:space="preserve"> تلبية احتياجات الطلاب المتنوعة تلبية أكثر انتظاماً وفعالية.</w:t>
      </w:r>
    </w:p>
    <w:p w:rsidR="00000000" w:rsidRDefault="00443EC1">
      <w:pPr>
        <w:spacing w:line="380" w:lineRule="exact"/>
        <w:jc w:val="both"/>
        <w:rPr>
          <w:rFonts w:hint="cs"/>
          <w:i/>
          <w:iCs/>
          <w:rtl/>
        </w:rPr>
      </w:pPr>
      <w:r>
        <w:rPr>
          <w:rFonts w:hint="cs"/>
          <w:i/>
          <w:iCs/>
          <w:rtl/>
        </w:rPr>
        <w:t>المعاقون: الوصول إلى مباني المدارس</w:t>
      </w:r>
    </w:p>
    <w:p w:rsidR="00000000" w:rsidRDefault="00443EC1">
      <w:pPr>
        <w:spacing w:line="380" w:lineRule="exact"/>
        <w:jc w:val="both"/>
        <w:rPr>
          <w:rFonts w:hint="cs"/>
          <w:rtl/>
        </w:rPr>
      </w:pPr>
      <w:r>
        <w:rPr>
          <w:rFonts w:hint="cs"/>
          <w:rtl/>
        </w:rPr>
        <w:t>731-</w:t>
      </w:r>
      <w:r>
        <w:rPr>
          <w:rFonts w:hint="cs"/>
          <w:rtl/>
        </w:rPr>
        <w:tab/>
        <w:t>لم يتغير الوضع عما تم توضيحه في الفقرة 584 من التقرير الأولي.</w:t>
      </w:r>
    </w:p>
    <w:p w:rsidR="00000000" w:rsidRDefault="00443EC1">
      <w:pPr>
        <w:spacing w:line="380" w:lineRule="exact"/>
        <w:jc w:val="both"/>
        <w:rPr>
          <w:rFonts w:hint="cs"/>
          <w:i/>
          <w:iCs/>
          <w:rtl/>
        </w:rPr>
      </w:pPr>
      <w:r>
        <w:rPr>
          <w:rFonts w:hint="cs"/>
          <w:i/>
          <w:iCs/>
          <w:rtl/>
        </w:rPr>
        <w:t>وصول الطلاب المعاقين إلى التعليم العالي</w:t>
      </w:r>
    </w:p>
    <w:p w:rsidR="00000000" w:rsidRDefault="00443EC1">
      <w:pPr>
        <w:spacing w:line="380" w:lineRule="exact"/>
        <w:jc w:val="both"/>
        <w:rPr>
          <w:rFonts w:hint="cs"/>
          <w:rtl/>
        </w:rPr>
      </w:pPr>
      <w:r>
        <w:rPr>
          <w:rFonts w:hint="cs"/>
          <w:rtl/>
        </w:rPr>
        <w:t>732-</w:t>
      </w:r>
      <w:r>
        <w:rPr>
          <w:rFonts w:hint="cs"/>
          <w:rtl/>
        </w:rPr>
        <w:tab/>
        <w:t>لم يتغير الوضع عما تم توضيحه في الفقرات من 549 إ</w:t>
      </w:r>
      <w:r>
        <w:rPr>
          <w:rFonts w:hint="cs"/>
          <w:rtl/>
        </w:rPr>
        <w:t>لى 551 من التقرير الأولي.</w:t>
      </w:r>
    </w:p>
    <w:p w:rsidR="00000000" w:rsidRDefault="00443EC1">
      <w:pPr>
        <w:spacing w:line="380" w:lineRule="exact"/>
        <w:jc w:val="both"/>
        <w:rPr>
          <w:rFonts w:hint="cs"/>
          <w:i/>
          <w:iCs/>
          <w:rtl/>
        </w:rPr>
      </w:pPr>
      <w:r>
        <w:rPr>
          <w:rFonts w:hint="cs"/>
          <w:i/>
          <w:iCs/>
          <w:rtl/>
        </w:rPr>
        <w:t>برامج التدريب المهني الخاصة للمعاقين</w:t>
      </w:r>
    </w:p>
    <w:p w:rsidR="00000000" w:rsidRDefault="00443EC1">
      <w:pPr>
        <w:spacing w:line="380" w:lineRule="exact"/>
        <w:jc w:val="both"/>
        <w:rPr>
          <w:rFonts w:hint="cs"/>
          <w:rtl/>
        </w:rPr>
      </w:pPr>
      <w:r>
        <w:rPr>
          <w:rFonts w:hint="cs"/>
          <w:rtl/>
        </w:rPr>
        <w:t>733-</w:t>
      </w:r>
      <w:r>
        <w:rPr>
          <w:rFonts w:hint="cs"/>
          <w:rtl/>
        </w:rPr>
        <w:tab/>
        <w:t>لم يتغير الوضع عما تم توضيحه في الفقرة 552 من التقرير الأولي. وقد وفرت مراكز المهارات التي تقوم بتشغيلها المنظمات غير الحكومية ومجلس التدريب المهني 251 1 مقعداً للدراسة طوال اليوم، في السن</w:t>
      </w:r>
      <w:r>
        <w:rPr>
          <w:rFonts w:hint="cs"/>
          <w:rtl/>
        </w:rPr>
        <w:t>ة الدراسية 2001-2002.</w:t>
      </w:r>
    </w:p>
    <w:p w:rsidR="00000000" w:rsidRDefault="00443EC1">
      <w:pPr>
        <w:spacing w:line="380" w:lineRule="exact"/>
        <w:jc w:val="both"/>
        <w:rPr>
          <w:rFonts w:hint="cs"/>
          <w:i/>
          <w:iCs/>
          <w:rtl/>
        </w:rPr>
      </w:pPr>
      <w:r>
        <w:rPr>
          <w:rFonts w:hint="cs"/>
          <w:i/>
          <w:iCs/>
          <w:rtl/>
        </w:rPr>
        <w:t>خدمة التقييم المهني للمعاقين</w:t>
      </w:r>
    </w:p>
    <w:p w:rsidR="00000000" w:rsidRDefault="00443EC1">
      <w:pPr>
        <w:spacing w:line="380" w:lineRule="exact"/>
        <w:jc w:val="both"/>
        <w:rPr>
          <w:rFonts w:hint="cs"/>
          <w:rtl/>
        </w:rPr>
      </w:pPr>
      <w:r>
        <w:rPr>
          <w:rFonts w:hint="cs"/>
          <w:rtl/>
        </w:rPr>
        <w:t>734- لم يتغير الوضع عما هو مبين في الفقرتين 553 و554 من التقرير الأولي.</w:t>
      </w:r>
    </w:p>
    <w:p w:rsidR="00000000" w:rsidRDefault="00443EC1">
      <w:pPr>
        <w:spacing w:line="380" w:lineRule="exact"/>
        <w:jc w:val="both"/>
        <w:rPr>
          <w:rFonts w:hint="cs"/>
          <w:b/>
          <w:bCs/>
          <w:rtl/>
        </w:rPr>
      </w:pPr>
      <w:r>
        <w:rPr>
          <w:rFonts w:hint="cs"/>
          <w:b/>
          <w:bCs/>
          <w:rtl/>
        </w:rPr>
        <w:t>تعليم المساجين</w:t>
      </w:r>
    </w:p>
    <w:p w:rsidR="00000000" w:rsidRDefault="00443EC1">
      <w:pPr>
        <w:spacing w:line="380" w:lineRule="exact"/>
        <w:jc w:val="both"/>
        <w:rPr>
          <w:rFonts w:hint="cs"/>
          <w:rtl/>
        </w:rPr>
      </w:pPr>
      <w:r>
        <w:rPr>
          <w:rFonts w:hint="cs"/>
          <w:rtl/>
        </w:rPr>
        <w:t>735-</w:t>
      </w:r>
      <w:r>
        <w:rPr>
          <w:rFonts w:hint="cs"/>
          <w:rtl/>
        </w:rPr>
        <w:tab/>
        <w:t>لم يتغير الوضع عما هو مبين في الفقرة 555 من التقرير الأولي.</w:t>
      </w:r>
    </w:p>
    <w:p w:rsidR="00000000" w:rsidRDefault="00443EC1">
      <w:pPr>
        <w:spacing w:line="380" w:lineRule="exact"/>
        <w:jc w:val="both"/>
        <w:rPr>
          <w:rFonts w:hint="cs"/>
          <w:i/>
          <w:iCs/>
          <w:rtl/>
        </w:rPr>
      </w:pPr>
      <w:r>
        <w:rPr>
          <w:rFonts w:hint="cs"/>
          <w:i/>
          <w:iCs/>
          <w:rtl/>
        </w:rPr>
        <w:t>الصندوق الاستئماني لتعليم المساجين</w:t>
      </w:r>
    </w:p>
    <w:p w:rsidR="00000000" w:rsidRDefault="00443EC1">
      <w:pPr>
        <w:spacing w:line="380" w:lineRule="exact"/>
        <w:jc w:val="both"/>
        <w:rPr>
          <w:rFonts w:hint="cs"/>
          <w:rtl/>
        </w:rPr>
      </w:pPr>
      <w:r>
        <w:rPr>
          <w:rFonts w:hint="cs"/>
          <w:rtl/>
        </w:rPr>
        <w:t>736-</w:t>
      </w:r>
      <w:r>
        <w:rPr>
          <w:rFonts w:hint="cs"/>
          <w:rtl/>
        </w:rPr>
        <w:tab/>
        <w:t>لم يتغير الوض</w:t>
      </w:r>
      <w:r>
        <w:rPr>
          <w:rFonts w:hint="cs"/>
          <w:rtl/>
        </w:rPr>
        <w:t>ع عما هو مبيَّن في الفقرة 556 من التقرير الأولي.</w:t>
      </w:r>
    </w:p>
    <w:p w:rsidR="00000000" w:rsidRDefault="00443EC1">
      <w:pPr>
        <w:spacing w:line="380" w:lineRule="exact"/>
        <w:jc w:val="both"/>
        <w:rPr>
          <w:rFonts w:hint="cs"/>
          <w:b/>
          <w:bCs/>
          <w:rtl/>
        </w:rPr>
      </w:pPr>
      <w:r>
        <w:rPr>
          <w:rFonts w:hint="cs"/>
          <w:b/>
          <w:bCs/>
          <w:rtl/>
        </w:rPr>
        <w:t>تعليم أطفال طالبي اللجوء الفييتناميين</w:t>
      </w:r>
    </w:p>
    <w:p w:rsidR="00000000" w:rsidRDefault="00443EC1">
      <w:pPr>
        <w:spacing w:line="380" w:lineRule="exact"/>
        <w:jc w:val="both"/>
        <w:rPr>
          <w:rFonts w:hint="cs"/>
          <w:rtl/>
        </w:rPr>
      </w:pPr>
      <w:r>
        <w:rPr>
          <w:rFonts w:hint="cs"/>
          <w:rtl/>
        </w:rPr>
        <w:t>737-</w:t>
      </w:r>
      <w:r>
        <w:rPr>
          <w:rFonts w:hint="cs"/>
          <w:rtl/>
        </w:rPr>
        <w:tab/>
        <w:t>اتُخذ في شباط/فبراير 2000، قرار بالسماح للاجئين والمهاجرين المؤهلين المتبقين</w:t>
      </w:r>
      <w:r>
        <w:rPr>
          <w:rFonts w:hint="cs"/>
          <w:vertAlign w:val="superscript"/>
          <w:rtl/>
        </w:rPr>
        <w:t>(62)</w:t>
      </w:r>
      <w:r>
        <w:rPr>
          <w:rFonts w:hint="cs"/>
          <w:rtl/>
        </w:rPr>
        <w:t xml:space="preserve"> والبالغ عددهم 400 1 لاجئ ومهاجر وأفراد أسرهم، بتقديم طلبات للاستيطان في هونغ كونغ. </w:t>
      </w:r>
      <w:r>
        <w:rPr>
          <w:rFonts w:hint="cs"/>
          <w:rtl/>
        </w:rPr>
        <w:t>وفي 1 حزيران/يونيه من ذلك العام، تم إغلاق مركز اللاجئين الفييتناميين (نقطة بيلار) نهائياً.</w:t>
      </w:r>
    </w:p>
    <w:p w:rsidR="00000000" w:rsidRDefault="00443EC1">
      <w:pPr>
        <w:spacing w:line="380" w:lineRule="exact"/>
        <w:jc w:val="both"/>
        <w:rPr>
          <w:rFonts w:hint="cs"/>
          <w:rtl/>
        </w:rPr>
      </w:pPr>
      <w:r>
        <w:rPr>
          <w:rFonts w:hint="cs"/>
          <w:rtl/>
        </w:rPr>
        <w:t>738-</w:t>
      </w:r>
      <w:r>
        <w:rPr>
          <w:rFonts w:hint="cs"/>
          <w:rtl/>
        </w:rPr>
        <w:tab/>
        <w:t xml:space="preserve">وفي نهاية عام 2002، رفض قرابة 20 لاجئ/مهاجر هذا العرض بأمل التمكن من الاستيطان في الخارج. كما كان هناك قرابة 390 فيتنامياً من أصل صيني وأسرهم لا يزالون في هونغ </w:t>
      </w:r>
      <w:r>
        <w:rPr>
          <w:rFonts w:hint="cs"/>
          <w:rtl/>
        </w:rPr>
        <w:t>كونغ. وهؤلاء أشخاص قدموا إلى هونغ كونغ بعد أن مُنحوا الترخيص لإعادة الاستيطان في الصين القارية. ولهذا السبب فإنهم لا يستوفون شروط إعادة الاستيطان في هونغ كونغ أو في أي مكان آخر. وأقام أولئك الأشخاص دعاوى قضائية ضد الحكومة. ولم يتم نقلهم إلى الصين القارية ب</w:t>
      </w:r>
      <w:r>
        <w:rPr>
          <w:rFonts w:hint="cs"/>
          <w:rtl/>
        </w:rPr>
        <w:t>انتظار صدور قرار بشأن الإجراءات القضائية المتخذة. ويجوز لولئك الأشخاص العيش والعمل والدراسة والتنقل بحرية في هونغ كونغ. ويمكنهم الوصول إلى التعليم العام والخدمات الصحية. ويتلقى المعوزون منهم المساعدة من هيئة خيرية هي كاريتاس هونغ كونغ.</w:t>
      </w:r>
    </w:p>
    <w:p w:rsidR="00000000" w:rsidRDefault="00443EC1">
      <w:pPr>
        <w:spacing w:line="380" w:lineRule="exact"/>
        <w:jc w:val="both"/>
        <w:rPr>
          <w:rFonts w:hint="cs"/>
          <w:b/>
          <w:bCs/>
          <w:rtl/>
        </w:rPr>
      </w:pPr>
      <w:r>
        <w:rPr>
          <w:rFonts w:hint="cs"/>
          <w:b/>
          <w:bCs/>
          <w:rtl/>
        </w:rPr>
        <w:t>تعليم أطفال الصين ال</w:t>
      </w:r>
      <w:r>
        <w:rPr>
          <w:rFonts w:hint="cs"/>
          <w:b/>
          <w:bCs/>
          <w:rtl/>
        </w:rPr>
        <w:t>قارية إلى حين التحقق من وضع إقامتهم</w:t>
      </w:r>
    </w:p>
    <w:p w:rsidR="00000000" w:rsidRDefault="00443EC1">
      <w:pPr>
        <w:spacing w:line="380" w:lineRule="exact"/>
        <w:jc w:val="both"/>
        <w:rPr>
          <w:rFonts w:hint="cs"/>
          <w:rtl/>
        </w:rPr>
      </w:pPr>
      <w:r>
        <w:rPr>
          <w:rFonts w:hint="cs"/>
          <w:rtl/>
        </w:rPr>
        <w:t>739-</w:t>
      </w:r>
      <w:r>
        <w:rPr>
          <w:rFonts w:hint="cs"/>
          <w:rtl/>
        </w:rPr>
        <w:tab/>
        <w:t>لا يُسمح لأطفال الصين القارية الذين ليس لهم حق قانوني أو ترخيص قانوني للبقاء في هونغ كونغ كمقيمين، الالتحاق بالمدارس المحلية. إلا أنه من الممكن السماح لهم بالالتحاق بالمدارس على أساس مؤقت ووفقاً لكل حالة على حدة، ري</w:t>
      </w:r>
      <w:r>
        <w:rPr>
          <w:rFonts w:hint="cs"/>
          <w:rtl/>
        </w:rPr>
        <w:t xml:space="preserve">ثما يتم التحقق من وضع إقامتهم أو إذا كانت هناك أسباب إنسانية أو ما يدعو إلى التعاطف مع وضعهم. وفي الفترة بين 1 تموز/يوليه 1997 و31 كانون الأول/ديسمبر 2002، سُمح لقرابة </w:t>
      </w:r>
      <w:r>
        <w:rPr>
          <w:rtl/>
        </w:rPr>
        <w:br/>
      </w:r>
      <w:r>
        <w:rPr>
          <w:rFonts w:hint="cs"/>
          <w:rtl/>
        </w:rPr>
        <w:t>860 1 طفلاً منهم الالتحاق بالمدارس على هذا الأساس</w:t>
      </w:r>
      <w:r>
        <w:rPr>
          <w:rFonts w:hint="cs"/>
          <w:vertAlign w:val="superscript"/>
          <w:rtl/>
        </w:rPr>
        <w:t>(63)</w:t>
      </w:r>
      <w:r>
        <w:rPr>
          <w:rFonts w:hint="cs"/>
          <w:rtl/>
        </w:rPr>
        <w:t>.</w:t>
      </w:r>
    </w:p>
    <w:p w:rsidR="00000000" w:rsidRDefault="00443EC1">
      <w:pPr>
        <w:spacing w:line="380" w:lineRule="exact"/>
        <w:jc w:val="both"/>
        <w:rPr>
          <w:rFonts w:hint="cs"/>
          <w:b/>
          <w:bCs/>
          <w:rtl/>
        </w:rPr>
      </w:pPr>
      <w:r>
        <w:rPr>
          <w:rFonts w:hint="cs"/>
          <w:b/>
          <w:bCs/>
          <w:rtl/>
        </w:rPr>
        <w:t>تعليم الأطفال/الشباب القادمين حد</w:t>
      </w:r>
      <w:r>
        <w:rPr>
          <w:rFonts w:hint="cs"/>
          <w:b/>
          <w:bCs/>
          <w:rtl/>
        </w:rPr>
        <w:t>يثاً من الصين القارية</w:t>
      </w:r>
    </w:p>
    <w:p w:rsidR="00000000" w:rsidRDefault="00443EC1">
      <w:pPr>
        <w:spacing w:line="380" w:lineRule="exact"/>
        <w:jc w:val="both"/>
        <w:rPr>
          <w:rFonts w:hint="cs"/>
          <w:rtl/>
        </w:rPr>
      </w:pPr>
      <w:r>
        <w:rPr>
          <w:rFonts w:hint="cs"/>
          <w:rtl/>
        </w:rPr>
        <w:t>740-</w:t>
      </w:r>
      <w:r>
        <w:rPr>
          <w:rFonts w:hint="cs"/>
          <w:rtl/>
        </w:rPr>
        <w:tab/>
        <w:t>لم يتغير الوضع أساساً عما هو مبيَّن في الفقرات من 561 إلى 566 من التقرير الأولي. ولكننا منذ ذلك الحين قمنا باتخاذ المزيد من التدابير لإدماج الأطفال القادمين حديثاً وذلك على النحو التالي:</w:t>
      </w:r>
    </w:p>
    <w:p w:rsidR="00000000" w:rsidRDefault="00443EC1">
      <w:pPr>
        <w:spacing w:line="380" w:lineRule="exact"/>
        <w:jc w:val="both"/>
        <w:rPr>
          <w:rFonts w:hint="cs"/>
          <w:rtl/>
        </w:rPr>
      </w:pPr>
      <w:r>
        <w:rPr>
          <w:rFonts w:hint="cs"/>
          <w:rtl/>
        </w:rPr>
        <w:tab/>
        <w:t>(أ)</w:t>
      </w:r>
      <w:r>
        <w:rPr>
          <w:rFonts w:hint="cs"/>
          <w:rtl/>
        </w:rPr>
        <w:tab/>
      </w:r>
      <w:r>
        <w:rPr>
          <w:rFonts w:hint="cs"/>
          <w:b/>
          <w:bCs/>
          <w:rtl/>
        </w:rPr>
        <w:t>برامج التوجيه</w:t>
      </w:r>
      <w:r>
        <w:rPr>
          <w:rFonts w:hint="cs"/>
          <w:rtl/>
        </w:rPr>
        <w:t>: وهي برامج تستغرق 60 سا</w:t>
      </w:r>
      <w:r>
        <w:rPr>
          <w:rFonts w:hint="cs"/>
          <w:rtl/>
        </w:rPr>
        <w:t>عة وتستهدف مساعدة الأطفال القادمين حديثاً للتكيف مع بيئة ونظام التعليم المحليين. وتقوم بإدارتها الحكومة بدعم من المنظمات غير الحكومية. وقد شرع في تطبيق هذه البرامج في عام 1995 لكننا أسقطنا الإشارة إليها في التقرير الأولي؛</w:t>
      </w:r>
    </w:p>
    <w:p w:rsidR="00000000" w:rsidRDefault="00443EC1">
      <w:pPr>
        <w:spacing w:line="380" w:lineRule="exact"/>
        <w:jc w:val="both"/>
        <w:rPr>
          <w:rFonts w:hint="cs"/>
          <w:rtl/>
        </w:rPr>
      </w:pPr>
      <w:r>
        <w:rPr>
          <w:rFonts w:hint="cs"/>
          <w:rtl/>
        </w:rPr>
        <w:tab/>
        <w:t>(ب)</w:t>
      </w:r>
      <w:r>
        <w:rPr>
          <w:rFonts w:hint="cs"/>
          <w:rtl/>
        </w:rPr>
        <w:tab/>
      </w:r>
      <w:r>
        <w:rPr>
          <w:rFonts w:hint="cs"/>
          <w:b/>
          <w:bCs/>
          <w:rtl/>
        </w:rPr>
        <w:t>برنامج الإرشاد</w:t>
      </w:r>
      <w:r>
        <w:rPr>
          <w:rFonts w:hint="cs"/>
          <w:rtl/>
        </w:rPr>
        <w:t>: شُرع في عام 2</w:t>
      </w:r>
      <w:r>
        <w:rPr>
          <w:rFonts w:hint="cs"/>
          <w:rtl/>
        </w:rPr>
        <w:t xml:space="preserve">000 في هذا البرنامج الذي تستغرق مدته ستة أشهر والذي يستند إلى التعليم طوال النهار. ويستهدف البرنامج الأطفال القادمين حديثاً كبديل لالتحاقهم المباشر بمدارس التيار الرئيسي للتعليم. والغرض منه إعداد أولئك الأطفال للالتحاق بالمدارس من خلال تعريفهم بما يجري في </w:t>
      </w:r>
      <w:r>
        <w:rPr>
          <w:rFonts w:hint="cs"/>
          <w:rtl/>
        </w:rPr>
        <w:t xml:space="preserve">الصفوف فعلاً، ورفع وتكييف مستوياتهم التعليمية وتعزيز نمائهم الشخصي والاجتماعي أثناء مرحلة التكيف. </w:t>
      </w:r>
    </w:p>
    <w:p w:rsidR="00000000" w:rsidRDefault="00443EC1">
      <w:pPr>
        <w:spacing w:line="380" w:lineRule="exact"/>
        <w:jc w:val="both"/>
        <w:rPr>
          <w:rFonts w:hint="cs"/>
          <w:i/>
          <w:iCs/>
          <w:rtl/>
        </w:rPr>
      </w:pPr>
    </w:p>
    <w:p w:rsidR="00000000" w:rsidRDefault="00443EC1">
      <w:pPr>
        <w:spacing w:line="380" w:lineRule="exact"/>
        <w:jc w:val="both"/>
        <w:rPr>
          <w:rFonts w:hint="cs"/>
          <w:i/>
          <w:iCs/>
          <w:rtl/>
        </w:rPr>
      </w:pPr>
      <w:r>
        <w:rPr>
          <w:rFonts w:hint="cs"/>
          <w:i/>
          <w:iCs/>
          <w:rtl/>
        </w:rPr>
        <w:t>السبيل إلى إحراز تقدم</w:t>
      </w:r>
    </w:p>
    <w:p w:rsidR="00000000" w:rsidRDefault="00443EC1">
      <w:pPr>
        <w:spacing w:line="380" w:lineRule="exact"/>
        <w:jc w:val="both"/>
        <w:rPr>
          <w:rFonts w:hint="cs"/>
          <w:rtl/>
        </w:rPr>
      </w:pPr>
      <w:r>
        <w:rPr>
          <w:rFonts w:hint="cs"/>
          <w:rtl/>
        </w:rPr>
        <w:t>741-</w:t>
      </w:r>
      <w:r>
        <w:rPr>
          <w:rFonts w:hint="cs"/>
          <w:rtl/>
        </w:rPr>
        <w:tab/>
        <w:t>لم يتغير الوضع أساساً عما هو مبين في الفقرة 566 من التقرير الأولي. وكما أشرنا في تلك الفقرة، فقد قمنا ببناء مدارس جديدة لمواجهة ا</w:t>
      </w:r>
      <w:r>
        <w:rPr>
          <w:rFonts w:hint="cs"/>
          <w:rtl/>
        </w:rPr>
        <w:t xml:space="preserve">لطلب الإضافي على المقاعد في المدارس الذي تسبب فيه وصول الأطفال الجدد. ومنذ عام 1998، قمنا ببناء 19 مدرسة ابتدائية جديدة و23 مدرسة ثانوية جديدة. وسنقوم ببناء 12 مدرسة </w:t>
      </w:r>
      <w:r>
        <w:rPr>
          <w:rFonts w:hint="cs"/>
          <w:spacing w:val="0"/>
          <w:rtl/>
        </w:rPr>
        <w:t>أخرى (مدرستان ابتدائيتان و10 مدارس ثانوية) لكي تصبح جاهزة للعمل في العام الدراسي 2003/2004</w:t>
      </w:r>
      <w:r>
        <w:rPr>
          <w:rFonts w:hint="cs"/>
          <w:spacing w:val="0"/>
          <w:rtl/>
        </w:rPr>
        <w:t>. وجميع المدارس الست الابتدائية والأربع الثانوية التي كان من المقرر افتتاحها في العام الدراسي 2002-2003 تعمل الآن.</w:t>
      </w:r>
    </w:p>
    <w:p w:rsidR="00000000" w:rsidRDefault="00443EC1">
      <w:pPr>
        <w:spacing w:line="380" w:lineRule="exact"/>
        <w:jc w:val="both"/>
        <w:rPr>
          <w:rFonts w:hint="cs"/>
          <w:b/>
          <w:bCs/>
          <w:rtl/>
        </w:rPr>
      </w:pPr>
      <w:r>
        <w:rPr>
          <w:rFonts w:hint="cs"/>
          <w:b/>
          <w:bCs/>
          <w:rtl/>
        </w:rPr>
        <w:t>التربية الوطنية وتعليم حقوق الإنسان وتعليم مكافحة التمييز</w:t>
      </w:r>
    </w:p>
    <w:p w:rsidR="00000000" w:rsidRDefault="00443EC1">
      <w:pPr>
        <w:spacing w:line="380" w:lineRule="exact"/>
        <w:jc w:val="both"/>
        <w:rPr>
          <w:rFonts w:hint="cs"/>
          <w:i/>
          <w:iCs/>
          <w:rtl/>
        </w:rPr>
      </w:pPr>
      <w:r>
        <w:rPr>
          <w:rFonts w:hint="cs"/>
          <w:i/>
          <w:iCs/>
          <w:rtl/>
        </w:rPr>
        <w:t>المناهج المدرسية وغيرها من التدابير</w:t>
      </w:r>
    </w:p>
    <w:p w:rsidR="00000000" w:rsidRDefault="00443EC1">
      <w:pPr>
        <w:spacing w:line="380" w:lineRule="exact"/>
        <w:jc w:val="both"/>
        <w:rPr>
          <w:rFonts w:hint="cs"/>
          <w:rtl/>
        </w:rPr>
      </w:pPr>
      <w:r>
        <w:rPr>
          <w:rFonts w:hint="cs"/>
          <w:rtl/>
        </w:rPr>
        <w:t>742-</w:t>
      </w:r>
      <w:r>
        <w:rPr>
          <w:rFonts w:hint="cs"/>
          <w:rtl/>
        </w:rPr>
        <w:tab/>
        <w:t>لم يتغير الوضع أساساً عما هو مبين في الفقر</w:t>
      </w:r>
      <w:r>
        <w:rPr>
          <w:rFonts w:hint="cs"/>
          <w:rtl/>
        </w:rPr>
        <w:t>ات من 567 إلى 569 من التقرير الأولي. ولكنه تم تعزيز تعلم وتعليم حقوق الإنسان بعد إدخال تحسينات على المناهج الدراسية في أيلول/سبتمبر 2001. حيث تدرس المدارس اليوم جميع المواضيع المتصلة بالقيم في إطار موضوع جديد هو "التربية الأخلاقية والوطنية". وفضلاً عن ذلك،</w:t>
      </w:r>
      <w:r>
        <w:rPr>
          <w:rFonts w:hint="cs"/>
          <w:rtl/>
        </w:rPr>
        <w:t xml:space="preserve"> يتم تدريس المفاهيم الأساسية وقيم حقوق الإنسان من خلال المناهج الدراسية الرسمية ومختلف الأنشطة </w:t>
      </w:r>
      <w:r>
        <w:rPr>
          <w:rFonts w:hint="cs"/>
          <w:spacing w:val="0"/>
          <w:rtl/>
        </w:rPr>
        <w:t>الطلابية. ويتم في إطار المناهج الدراسية الجديدة، أيضاً، إلقاء محاضرات تتعلق بحقوق الإنسان من خلال مواضيع فرعية مثل "التنمية الشخصية والاجتماعية" و"الثقافة والترا</w:t>
      </w:r>
      <w:r>
        <w:rPr>
          <w:rFonts w:hint="cs"/>
          <w:spacing w:val="0"/>
          <w:rtl/>
        </w:rPr>
        <w:t xml:space="preserve">ث" و"النظم الاجتماعية والمواطنة" و"المجتمع المحلي والمواطنة". </w:t>
      </w:r>
    </w:p>
    <w:p w:rsidR="00000000" w:rsidRDefault="00443EC1">
      <w:pPr>
        <w:spacing w:line="380" w:lineRule="exact"/>
        <w:jc w:val="both"/>
        <w:rPr>
          <w:rFonts w:hint="cs"/>
          <w:rtl/>
        </w:rPr>
      </w:pPr>
      <w:r>
        <w:rPr>
          <w:rFonts w:hint="cs"/>
          <w:rtl/>
        </w:rPr>
        <w:t>743-</w:t>
      </w:r>
      <w:r>
        <w:rPr>
          <w:rFonts w:hint="cs"/>
          <w:rtl/>
        </w:rPr>
        <w:tab/>
        <w:t>أعرب بعض المعلقين عن القلق إزاء تضمين المناهج الدراسية قوالب نمطية تميّز بين الجنسين. ونود أن نقول إن سياستنا هي أنه لا ينبغي أن يكون هناك أي تمييز قائم على الجنس في النظام التعليمي أو الع</w:t>
      </w:r>
      <w:r>
        <w:rPr>
          <w:rFonts w:hint="cs"/>
          <w:rtl/>
        </w:rPr>
        <w:t>ملية التعليمية. ووفقاً لذلك، ينبغي ألا يكون أي موضوع من المنهج الدراسي الذي يقوم بإعداده مجلس وضع المناهج الدراسية والذي يوصى باستخدامه في المدارس، قائماً على الجنس. وقد أصدر وزير التربية واليد العاملة بصورة منتظمة منشورات تذكِّر المدارس بالقضاء على جميع أ</w:t>
      </w:r>
      <w:r>
        <w:rPr>
          <w:rFonts w:hint="cs"/>
          <w:rtl/>
        </w:rPr>
        <w:t xml:space="preserve">شكال التمييز وتكفل إتاحة فرص متكافئة أمام جميع الطلاب للمشاركة في عملية التعلم. ونحن نطالب المدارس بتعزيز مفاهيم المساواة من خلال القضاء على جميع أشكال التمييز، بما في ذلك التمييز القائم على الجنس والطبقة الاجتماعية والعرق والإعاقة. </w:t>
      </w:r>
    </w:p>
    <w:p w:rsidR="00000000" w:rsidRDefault="00443EC1">
      <w:pPr>
        <w:spacing w:line="380" w:lineRule="exact"/>
        <w:jc w:val="both"/>
        <w:rPr>
          <w:rFonts w:hint="cs"/>
          <w:rtl/>
        </w:rPr>
      </w:pPr>
      <w:r>
        <w:rPr>
          <w:rFonts w:hint="cs"/>
          <w:rtl/>
        </w:rPr>
        <w:t>744-</w:t>
      </w:r>
      <w:r>
        <w:rPr>
          <w:rFonts w:hint="cs"/>
          <w:rtl/>
        </w:rPr>
        <w:tab/>
        <w:t>والتقى مكتب الترب</w:t>
      </w:r>
      <w:r>
        <w:rPr>
          <w:rFonts w:hint="cs"/>
          <w:rtl/>
        </w:rPr>
        <w:t>ية واليد العاملة ولجنة تكافؤ الفرص برابطات الناشرين المحليين لتوعيتها بهذه الشواغل ولجعلها تدرك تماماً ضرورة عدم إدراج أي شكل من أشكال التمييز في الكتب المدرسية وما يتصل بها من مواد تقوم بنشرها. كما أصدر المكتب مبادئ توجيهية مثل المبادئ التوجيهية للجنة تكا</w:t>
      </w:r>
      <w:r>
        <w:rPr>
          <w:rFonts w:hint="cs"/>
          <w:rtl/>
        </w:rPr>
        <w:t xml:space="preserve">فؤ الفرص المستخدمة عند وضع المواد التعليمية، كوسيلة مرجعية للناشرين وواضعي الكتب المدرسية والمدرسين. وهذه المبادئ التوجيهية بمثابة تعليمات موجهة صراحة إلى العاملين في مجال نشر الكتب المدرسية لكي يتجنبوا القوالب النمطية التي تقوم على </w:t>
      </w:r>
      <w:r>
        <w:rPr>
          <w:rFonts w:hint="cs"/>
          <w:spacing w:val="0"/>
          <w:rtl/>
        </w:rPr>
        <w:t xml:space="preserve">نوع الجنس والسن والعرق </w:t>
      </w:r>
      <w:r>
        <w:rPr>
          <w:rFonts w:hint="cs"/>
          <w:spacing w:val="0"/>
          <w:rtl/>
        </w:rPr>
        <w:t>والدين والثقافة والإعاقة وما إلى ذلك، في الكتب المدرسية والمواد التعليمية. وقد اشترك المكتب مع لجنة تكافؤ الفرص في وضع مجموعة من وسائل التعليم التي تعزز مفهوم مناهضة التمييز في المدارس.</w:t>
      </w:r>
    </w:p>
    <w:p w:rsidR="00000000" w:rsidRDefault="00443EC1">
      <w:pPr>
        <w:spacing w:line="380" w:lineRule="exact"/>
        <w:jc w:val="both"/>
        <w:rPr>
          <w:rFonts w:hint="cs"/>
          <w:i/>
          <w:iCs/>
          <w:u w:val="single"/>
          <w:rtl/>
        </w:rPr>
      </w:pPr>
    </w:p>
    <w:p w:rsidR="00000000" w:rsidRDefault="00443EC1">
      <w:pPr>
        <w:spacing w:before="180" w:after="180" w:line="380" w:lineRule="exact"/>
        <w:jc w:val="both"/>
        <w:rPr>
          <w:rFonts w:hint="cs"/>
          <w:i/>
          <w:iCs/>
          <w:u w:val="single"/>
          <w:rtl/>
        </w:rPr>
      </w:pPr>
      <w:r>
        <w:rPr>
          <w:rFonts w:hint="cs"/>
          <w:i/>
          <w:iCs/>
          <w:u w:val="single"/>
          <w:rtl/>
        </w:rPr>
        <w:t>برامج للمدرسين</w:t>
      </w:r>
    </w:p>
    <w:p w:rsidR="00000000" w:rsidRDefault="00443EC1">
      <w:pPr>
        <w:spacing w:before="180" w:after="180" w:line="380" w:lineRule="exact"/>
        <w:jc w:val="both"/>
        <w:rPr>
          <w:rFonts w:hint="cs"/>
          <w:rtl/>
        </w:rPr>
      </w:pPr>
      <w:r>
        <w:rPr>
          <w:rFonts w:hint="cs"/>
          <w:rtl/>
        </w:rPr>
        <w:t>745-</w:t>
      </w:r>
      <w:r>
        <w:rPr>
          <w:rFonts w:hint="cs"/>
          <w:rtl/>
        </w:rPr>
        <w:tab/>
        <w:t>نظم مكتب التعليم واليد العاملة في الفترة بين 1997</w:t>
      </w:r>
      <w:r>
        <w:rPr>
          <w:rFonts w:hint="cs"/>
          <w:rtl/>
        </w:rPr>
        <w:t xml:space="preserve"> و2002، سبع حلقات دراسية للمدرسين، بشأن مواضيع تتعلق بحقوق الإنسان</w:t>
      </w:r>
      <w:r>
        <w:rPr>
          <w:rFonts w:hint="cs"/>
          <w:vertAlign w:val="superscript"/>
          <w:rtl/>
        </w:rPr>
        <w:t>(64)</w:t>
      </w:r>
      <w:r>
        <w:rPr>
          <w:rFonts w:hint="cs"/>
          <w:rtl/>
        </w:rPr>
        <w:t>، حضرها أكثر من 750 مدرِّساً. وستستمر هذه الجهود. ومنذ عام 1998، قدم المكتب برامج مكثفة لتدريب المعلمين داخل المدارس على التربية الوطنية. وتدير هذه البرامج معاهد التعليم العالي المحلية ب</w:t>
      </w:r>
      <w:r>
        <w:rPr>
          <w:rFonts w:hint="cs"/>
          <w:rtl/>
        </w:rPr>
        <w:t>النيابة عن المكتب. وتتضمن البرامج حلقتين دراسيتين عن "حقوق الإنسان والتربية الوطنية". وتقدم هاتان الحلقتان الدراسيتان إلى المدرسين مجاناً.</w:t>
      </w:r>
    </w:p>
    <w:p w:rsidR="00000000" w:rsidRDefault="00443EC1">
      <w:pPr>
        <w:spacing w:before="180" w:after="180" w:line="380" w:lineRule="exact"/>
        <w:jc w:val="both"/>
        <w:rPr>
          <w:rFonts w:hint="cs"/>
          <w:i/>
          <w:iCs/>
          <w:rtl/>
        </w:rPr>
      </w:pPr>
      <w:r>
        <w:rPr>
          <w:rFonts w:hint="cs"/>
          <w:i/>
          <w:iCs/>
          <w:rtl/>
        </w:rPr>
        <w:t>التعليم العام في مجال تأهيل المعوقين</w:t>
      </w:r>
    </w:p>
    <w:p w:rsidR="00000000" w:rsidRDefault="00443EC1">
      <w:pPr>
        <w:spacing w:before="180" w:after="180" w:line="380" w:lineRule="exact"/>
        <w:jc w:val="both"/>
        <w:rPr>
          <w:rFonts w:hint="cs"/>
          <w:rtl/>
        </w:rPr>
      </w:pPr>
      <w:r>
        <w:rPr>
          <w:rFonts w:hint="cs"/>
          <w:rtl/>
        </w:rPr>
        <w:t>746-</w:t>
      </w:r>
      <w:r>
        <w:rPr>
          <w:rFonts w:hint="cs"/>
          <w:rtl/>
        </w:rPr>
        <w:tab/>
        <w:t>لم يتغير الوضع أساساً عما هو مبين في الفقرة 573 من التقرير الأولي.</w:t>
      </w:r>
    </w:p>
    <w:p w:rsidR="00000000" w:rsidRDefault="00443EC1">
      <w:pPr>
        <w:spacing w:before="180" w:after="180" w:line="380" w:lineRule="exact"/>
        <w:jc w:val="both"/>
        <w:rPr>
          <w:rFonts w:hint="cs"/>
          <w:i/>
          <w:iCs/>
          <w:rtl/>
        </w:rPr>
      </w:pPr>
      <w:r>
        <w:rPr>
          <w:rFonts w:hint="cs"/>
          <w:i/>
          <w:iCs/>
          <w:rtl/>
        </w:rPr>
        <w:t>عمل لجنة</w:t>
      </w:r>
      <w:r>
        <w:rPr>
          <w:rFonts w:hint="cs"/>
          <w:i/>
          <w:iCs/>
          <w:rtl/>
        </w:rPr>
        <w:t xml:space="preserve"> تكافؤ الفرص</w:t>
      </w:r>
    </w:p>
    <w:p w:rsidR="00000000" w:rsidRDefault="00443EC1">
      <w:pPr>
        <w:spacing w:before="180" w:after="180" w:line="380" w:lineRule="exact"/>
        <w:jc w:val="both"/>
        <w:rPr>
          <w:rFonts w:hint="cs"/>
          <w:rtl/>
        </w:rPr>
      </w:pPr>
      <w:r>
        <w:rPr>
          <w:rFonts w:hint="cs"/>
          <w:rtl/>
        </w:rPr>
        <w:t>747-</w:t>
      </w:r>
      <w:r>
        <w:rPr>
          <w:rFonts w:hint="cs"/>
          <w:rtl/>
        </w:rPr>
        <w:tab/>
        <w:t>واصلت لجنة تكافؤ الفرص تنفيذ برامج التعليم العام من أجل تعزيز المساواة في معاملة المعاقين، والمساواة بين الجنسين والمساواة بين الأشخاص المنتمين إلى أسر ذات أوضاع مختلفة. وترد في المرفق 13 حاء معلومات مفصلة عن البرامج، وهي معلومات تستكمل م</w:t>
      </w:r>
      <w:r>
        <w:rPr>
          <w:rFonts w:hint="cs"/>
          <w:rtl/>
        </w:rPr>
        <w:t>ا ورد في المرفق 36 من التقرير الأولي.</w:t>
      </w:r>
    </w:p>
    <w:p w:rsidR="00000000" w:rsidRDefault="00443EC1">
      <w:pPr>
        <w:spacing w:before="180" w:after="180" w:line="380" w:lineRule="exact"/>
        <w:jc w:val="both"/>
        <w:rPr>
          <w:rFonts w:hint="cs"/>
          <w:i/>
          <w:iCs/>
          <w:rtl/>
        </w:rPr>
      </w:pPr>
      <w:r>
        <w:rPr>
          <w:rFonts w:hint="cs"/>
          <w:i/>
          <w:iCs/>
          <w:rtl/>
        </w:rPr>
        <w:t>تعليم حقوق الإنسان خارج المدرسة</w:t>
      </w:r>
    </w:p>
    <w:p w:rsidR="00000000" w:rsidRDefault="00443EC1">
      <w:pPr>
        <w:spacing w:before="180" w:after="180" w:line="380" w:lineRule="exact"/>
        <w:jc w:val="both"/>
        <w:rPr>
          <w:rFonts w:hint="cs"/>
          <w:rtl/>
        </w:rPr>
      </w:pPr>
      <w:r>
        <w:rPr>
          <w:rFonts w:hint="cs"/>
          <w:rtl/>
        </w:rPr>
        <w:t>748-</w:t>
      </w:r>
      <w:r>
        <w:rPr>
          <w:rFonts w:hint="cs"/>
          <w:rtl/>
        </w:rPr>
        <w:tab/>
        <w:t xml:space="preserve">واصلت لجنة تشجيع تعليم الحقوق المدنية عملها الجاري في تنظيم ورعاية برامج تعليمية وإعلامية لتعزيز وعي المجتمع بحقوق الفرد وتكافؤ الفرص وحماية خصوصية البيانات. وتعمل اللجنة على زيادة </w:t>
      </w:r>
      <w:r>
        <w:rPr>
          <w:rFonts w:hint="cs"/>
          <w:rtl/>
        </w:rPr>
        <w:t xml:space="preserve">الوعي والمعرفة </w:t>
      </w:r>
      <w:r>
        <w:rPr>
          <w:rFonts w:hint="cs"/>
          <w:spacing w:val="0"/>
          <w:rtl/>
        </w:rPr>
        <w:t>بالقانون الأساسي، وهو الضمان الدستوري لحماية حقوق الإنسان في هونغ كونغ. ولهذا الغرض، أنفقت اللجنة 1.5 مليون دولار من دولارات هونغ كونغ في العام الدراسي 2002-2003 لإنتاج مواد تعليمية تتعلق بهذه المواضيع.</w:t>
      </w:r>
    </w:p>
    <w:p w:rsidR="00000000" w:rsidRDefault="00443EC1">
      <w:pPr>
        <w:spacing w:before="180" w:after="180" w:line="380" w:lineRule="exact"/>
        <w:jc w:val="both"/>
        <w:rPr>
          <w:rFonts w:hint="cs"/>
          <w:b/>
          <w:bCs/>
          <w:rtl/>
        </w:rPr>
      </w:pPr>
      <w:r>
        <w:rPr>
          <w:rFonts w:hint="cs"/>
          <w:b/>
          <w:bCs/>
          <w:rtl/>
        </w:rPr>
        <w:t>اللجنة التوجيهية للنهوض بالقانون الأسا</w:t>
      </w:r>
      <w:r>
        <w:rPr>
          <w:rFonts w:hint="cs"/>
          <w:b/>
          <w:bCs/>
          <w:rtl/>
        </w:rPr>
        <w:t>سي: التعليم العام بشأن القانون الأساسي</w:t>
      </w:r>
    </w:p>
    <w:p w:rsidR="00000000" w:rsidRDefault="00443EC1">
      <w:pPr>
        <w:spacing w:before="180" w:after="180" w:line="380" w:lineRule="exact"/>
        <w:jc w:val="both"/>
        <w:rPr>
          <w:rFonts w:hint="cs"/>
          <w:rtl/>
        </w:rPr>
      </w:pPr>
      <w:r>
        <w:rPr>
          <w:rFonts w:hint="cs"/>
          <w:rtl/>
        </w:rPr>
        <w:t>749-</w:t>
      </w:r>
      <w:r>
        <w:rPr>
          <w:rFonts w:hint="cs"/>
          <w:rtl/>
        </w:rPr>
        <w:tab/>
        <w:t>لم يتغير الوضع عما هو مبين في الفقرتين 576 و577 من التقرير الأولي.</w:t>
      </w:r>
    </w:p>
    <w:p w:rsidR="00000000" w:rsidRDefault="00443EC1">
      <w:pPr>
        <w:spacing w:before="180" w:after="180" w:line="380" w:lineRule="exact"/>
        <w:jc w:val="both"/>
        <w:rPr>
          <w:rFonts w:hint="cs"/>
          <w:i/>
          <w:iCs/>
          <w:rtl/>
        </w:rPr>
      </w:pPr>
      <w:r>
        <w:rPr>
          <w:rFonts w:hint="cs"/>
          <w:i/>
          <w:iCs/>
          <w:rtl/>
        </w:rPr>
        <w:t>المناهج الدراسية والتدابير الأخرى</w:t>
      </w:r>
    </w:p>
    <w:p w:rsidR="00000000" w:rsidRDefault="00443EC1">
      <w:pPr>
        <w:spacing w:before="180" w:after="180" w:line="380" w:lineRule="exact"/>
        <w:jc w:val="both"/>
        <w:rPr>
          <w:rFonts w:hint="cs"/>
          <w:rtl/>
        </w:rPr>
      </w:pPr>
      <w:r>
        <w:rPr>
          <w:rFonts w:hint="cs"/>
          <w:rtl/>
        </w:rPr>
        <w:t>750-</w:t>
      </w:r>
      <w:r>
        <w:rPr>
          <w:rFonts w:hint="cs"/>
          <w:rtl/>
        </w:rPr>
        <w:tab/>
        <w:t>لم يتغير الوضع أساساً عما هو مبين في الفقرتين 578 و579 من التقرير الأولي. والآن أصبحت المناهج الدراسية الت</w:t>
      </w:r>
      <w:r>
        <w:rPr>
          <w:rFonts w:hint="cs"/>
          <w:rtl/>
        </w:rPr>
        <w:t xml:space="preserve">ي تعزز القانون الأساسي متاحة للجمهور من خلال موقع الحكومة على الشبكة. </w:t>
      </w:r>
    </w:p>
    <w:p w:rsidR="00000000" w:rsidRDefault="00443EC1">
      <w:pPr>
        <w:spacing w:before="180" w:after="180" w:line="380" w:lineRule="exact"/>
        <w:jc w:val="center"/>
        <w:rPr>
          <w:rFonts w:hint="cs"/>
          <w:b/>
          <w:bCs/>
          <w:rtl/>
        </w:rPr>
      </w:pPr>
      <w:r>
        <w:rPr>
          <w:rFonts w:hint="cs"/>
          <w:b/>
          <w:bCs/>
          <w:rtl/>
        </w:rPr>
        <w:t>نون - المادة 15</w:t>
      </w:r>
    </w:p>
    <w:p w:rsidR="00000000" w:rsidRDefault="00443EC1">
      <w:pPr>
        <w:spacing w:before="180" w:after="180" w:line="380" w:lineRule="exact"/>
        <w:jc w:val="center"/>
        <w:rPr>
          <w:rFonts w:hint="cs"/>
          <w:b/>
          <w:bCs/>
          <w:rtl/>
        </w:rPr>
      </w:pPr>
      <w:r>
        <w:rPr>
          <w:rFonts w:hint="cs"/>
          <w:b/>
          <w:bCs/>
          <w:rtl/>
        </w:rPr>
        <w:t>الحق في الحياة الثقافية والتقدم العلمي وتطبيقاته</w:t>
      </w:r>
    </w:p>
    <w:p w:rsidR="00000000" w:rsidRDefault="00443EC1">
      <w:pPr>
        <w:spacing w:before="180" w:after="180" w:line="380" w:lineRule="exact"/>
        <w:jc w:val="both"/>
        <w:rPr>
          <w:rFonts w:hint="cs"/>
          <w:rtl/>
        </w:rPr>
      </w:pPr>
      <w:r>
        <w:rPr>
          <w:rFonts w:hint="cs"/>
          <w:rtl/>
        </w:rPr>
        <w:t>751-</w:t>
      </w:r>
      <w:r>
        <w:rPr>
          <w:rFonts w:hint="cs"/>
          <w:rtl/>
        </w:rPr>
        <w:tab/>
        <w:t>لم تتغير أوجه الحماية والضمانات بموجب الدستور (القانون الأساسي) فيما يتعلق بالحقوق المشمولة بالمادة 15 من الاتفاقية</w:t>
      </w:r>
      <w:r>
        <w:rPr>
          <w:rFonts w:hint="cs"/>
          <w:rtl/>
        </w:rPr>
        <w:t>، عما هو مبين في الفقرة 581 من التقرير الأولي.</w:t>
      </w:r>
    </w:p>
    <w:p w:rsidR="00000000" w:rsidRDefault="00443EC1">
      <w:pPr>
        <w:spacing w:line="380" w:lineRule="exact"/>
        <w:jc w:val="both"/>
        <w:rPr>
          <w:rFonts w:hint="cs"/>
          <w:u w:val="single"/>
          <w:rtl/>
        </w:rPr>
      </w:pPr>
    </w:p>
    <w:p w:rsidR="00000000" w:rsidRDefault="00443EC1">
      <w:pPr>
        <w:spacing w:line="380" w:lineRule="exact"/>
        <w:jc w:val="both"/>
        <w:rPr>
          <w:rFonts w:hint="cs"/>
          <w:i/>
          <w:iCs/>
          <w:rtl/>
        </w:rPr>
      </w:pPr>
      <w:r>
        <w:rPr>
          <w:rFonts w:hint="cs"/>
          <w:i/>
          <w:iCs/>
          <w:rtl/>
        </w:rPr>
        <w:t>سياسة الثقافة</w:t>
      </w:r>
    </w:p>
    <w:p w:rsidR="00000000" w:rsidRDefault="00443EC1">
      <w:pPr>
        <w:spacing w:line="380" w:lineRule="exact"/>
        <w:jc w:val="both"/>
        <w:rPr>
          <w:rFonts w:hint="cs"/>
          <w:rtl/>
        </w:rPr>
      </w:pPr>
      <w:r>
        <w:rPr>
          <w:rFonts w:hint="cs"/>
          <w:rtl/>
        </w:rPr>
        <w:t>752-</w:t>
      </w:r>
      <w:r>
        <w:rPr>
          <w:rFonts w:hint="cs"/>
          <w:rtl/>
        </w:rPr>
        <w:tab/>
        <w:t>لم يتغير الوضع عما هو مبين في الفقرتين 582 و583 من التقرير الأولي. وقد أنفقت الحكومة، في الفترة 2001 و2002، أكثر من 2.7 من مليارات دولارات هونغ كونغ على الأنشطة الثقافية.</w:t>
      </w:r>
    </w:p>
    <w:p w:rsidR="00000000" w:rsidRDefault="00443EC1">
      <w:pPr>
        <w:spacing w:line="380" w:lineRule="exact"/>
        <w:jc w:val="both"/>
        <w:rPr>
          <w:rFonts w:hint="cs"/>
          <w:i/>
          <w:iCs/>
          <w:rtl/>
        </w:rPr>
      </w:pPr>
      <w:r>
        <w:rPr>
          <w:rFonts w:hint="cs"/>
          <w:i/>
          <w:iCs/>
          <w:rtl/>
        </w:rPr>
        <w:t>لجنة الثقافة والتر</w:t>
      </w:r>
      <w:r>
        <w:rPr>
          <w:rFonts w:hint="cs"/>
          <w:i/>
          <w:iCs/>
          <w:rtl/>
        </w:rPr>
        <w:t>اث</w:t>
      </w:r>
    </w:p>
    <w:p w:rsidR="00000000" w:rsidRDefault="00443EC1">
      <w:pPr>
        <w:spacing w:line="380" w:lineRule="exact"/>
        <w:jc w:val="both"/>
        <w:rPr>
          <w:rFonts w:hint="cs"/>
          <w:rtl/>
        </w:rPr>
      </w:pPr>
      <w:r>
        <w:rPr>
          <w:rFonts w:hint="cs"/>
          <w:rtl/>
        </w:rPr>
        <w:t>753-</w:t>
      </w:r>
      <w:r>
        <w:rPr>
          <w:rFonts w:hint="cs"/>
          <w:rtl/>
        </w:rPr>
        <w:tab/>
        <w:t xml:space="preserve">لجنة الثقافة والتراث، التي تم إنشاؤها في نيسان/أبريل 2000، هي هيئة رفيعة المستوى مسؤولة عن </w:t>
      </w:r>
      <w:r>
        <w:rPr>
          <w:rFonts w:hint="cs"/>
          <w:spacing w:val="0"/>
          <w:rtl/>
        </w:rPr>
        <w:t>تقديم المشورة إلى الحكومة بشأن السياسات الثقافية وتمويل مجالات الثقافة أو الفنون ذات الأولوية. وتقع على عاتقها مسؤولية رئيسية تتمثل في صياغة مبادئ واستراتيجي</w:t>
      </w:r>
      <w:r>
        <w:rPr>
          <w:rFonts w:hint="cs"/>
          <w:spacing w:val="0"/>
          <w:rtl/>
        </w:rPr>
        <w:t>ات لتعزيز تنمية الثقافة في هونغ كونغ في الأجل الطويل.</w:t>
      </w:r>
    </w:p>
    <w:p w:rsidR="00000000" w:rsidRDefault="00443EC1">
      <w:pPr>
        <w:spacing w:line="380" w:lineRule="exact"/>
        <w:jc w:val="both"/>
        <w:rPr>
          <w:rFonts w:hint="cs"/>
          <w:rtl/>
        </w:rPr>
      </w:pPr>
      <w:r>
        <w:rPr>
          <w:rFonts w:hint="cs"/>
          <w:rtl/>
        </w:rPr>
        <w:t>754-</w:t>
      </w:r>
      <w:r>
        <w:rPr>
          <w:rFonts w:hint="cs"/>
          <w:rtl/>
        </w:rPr>
        <w:tab/>
        <w:t xml:space="preserve">وفي آذار/مارس 2001، أصدرت اللجنة ورقة للمشاورة بعنوان "جمع المواهب لعملية تجديد مستمرة" للحصول على آراء الجمهور بشأن تطوير الثقافة في هونغ كونغ. وتعتزم اللجنة التشاور مع الجمهور قبل نهاية عام 2002 </w:t>
      </w:r>
      <w:r>
        <w:rPr>
          <w:rFonts w:hint="cs"/>
          <w:rtl/>
        </w:rPr>
        <w:t>بشأن مقترحات محددة للسياسة العامة قبل أن تقدم توصياتها إلى الحكومة.</w:t>
      </w:r>
    </w:p>
    <w:p w:rsidR="00000000" w:rsidRDefault="00443EC1">
      <w:pPr>
        <w:spacing w:line="380" w:lineRule="exact"/>
        <w:jc w:val="both"/>
        <w:rPr>
          <w:rFonts w:hint="cs"/>
          <w:rtl/>
        </w:rPr>
      </w:pPr>
      <w:r>
        <w:rPr>
          <w:rFonts w:hint="cs"/>
          <w:rtl/>
        </w:rPr>
        <w:t>755-</w:t>
      </w:r>
      <w:r>
        <w:rPr>
          <w:rFonts w:hint="cs"/>
          <w:rtl/>
        </w:rPr>
        <w:tab/>
        <w:t>لم يتغير الوضع عما هو مبين في الفقرتين 584 و585 من التقرير الأولي. وقد أنجز المجلس خطة استراتيجية (أدرجت في الفقرة 585) لتخطيط وتطوير وتعزيز ودعم الفنون خلال فترة 5 سنوات ابتداءً من ع</w:t>
      </w:r>
      <w:r>
        <w:rPr>
          <w:rFonts w:hint="cs"/>
          <w:rtl/>
        </w:rPr>
        <w:t>ام 1996 وحتى عام 2001. وقد شرع الآن في خطة جديدة لمدة ثلاث سنوات تشمل:</w:t>
      </w:r>
    </w:p>
    <w:p w:rsidR="00000000" w:rsidRDefault="00443EC1">
      <w:pPr>
        <w:spacing w:line="380" w:lineRule="exact"/>
        <w:jc w:val="both"/>
        <w:rPr>
          <w:rFonts w:hint="cs"/>
          <w:rtl/>
        </w:rPr>
      </w:pPr>
      <w:r>
        <w:rPr>
          <w:rFonts w:hint="cs"/>
          <w:rtl/>
        </w:rPr>
        <w:tab/>
        <w:t>(أ)</w:t>
      </w:r>
      <w:r>
        <w:rPr>
          <w:rFonts w:hint="cs"/>
          <w:rtl/>
        </w:rPr>
        <w:tab/>
        <w:t>تطوير الوظائف الاجتماعية للفنون؛</w:t>
      </w:r>
    </w:p>
    <w:p w:rsidR="00000000" w:rsidRDefault="00443EC1">
      <w:pPr>
        <w:spacing w:line="380" w:lineRule="exact"/>
        <w:jc w:val="both"/>
        <w:rPr>
          <w:rFonts w:hint="cs"/>
          <w:rtl/>
        </w:rPr>
      </w:pPr>
      <w:r>
        <w:rPr>
          <w:rFonts w:hint="cs"/>
          <w:rtl/>
        </w:rPr>
        <w:tab/>
        <w:t>(ب)</w:t>
      </w:r>
      <w:r>
        <w:rPr>
          <w:rFonts w:hint="cs"/>
          <w:rtl/>
        </w:rPr>
        <w:tab/>
        <w:t>توسيع نطاق سوق الفنون وتشجيع الجمهور على المشاركة؛</w:t>
      </w:r>
    </w:p>
    <w:p w:rsidR="00000000" w:rsidRDefault="00443EC1">
      <w:pPr>
        <w:spacing w:line="380" w:lineRule="exact"/>
        <w:jc w:val="both"/>
        <w:rPr>
          <w:rFonts w:hint="cs"/>
          <w:rtl/>
        </w:rPr>
      </w:pPr>
      <w:r>
        <w:rPr>
          <w:rFonts w:hint="cs"/>
          <w:rtl/>
        </w:rPr>
        <w:tab/>
        <w:t>(ج)</w:t>
      </w:r>
      <w:r>
        <w:rPr>
          <w:rFonts w:hint="cs"/>
          <w:rtl/>
        </w:rPr>
        <w:tab/>
        <w:t>التشجيع على تعليم فنون الحياة للجميع؛</w:t>
      </w:r>
    </w:p>
    <w:p w:rsidR="00000000" w:rsidRDefault="00443EC1">
      <w:pPr>
        <w:spacing w:line="380" w:lineRule="exact"/>
        <w:jc w:val="both"/>
        <w:rPr>
          <w:rFonts w:hint="cs"/>
          <w:rtl/>
        </w:rPr>
      </w:pPr>
      <w:r>
        <w:rPr>
          <w:rFonts w:hint="cs"/>
          <w:rtl/>
        </w:rPr>
        <w:tab/>
        <w:t>(د)</w:t>
      </w:r>
      <w:r>
        <w:rPr>
          <w:rFonts w:hint="cs"/>
          <w:rtl/>
        </w:rPr>
        <w:tab/>
        <w:t>تعزيز المستوى الفني والوضع الاجتماعي للفنان</w:t>
      </w:r>
      <w:r>
        <w:rPr>
          <w:rFonts w:hint="cs"/>
          <w:rtl/>
        </w:rPr>
        <w:t>ين.</w:t>
      </w:r>
    </w:p>
    <w:p w:rsidR="00000000" w:rsidRDefault="00443EC1">
      <w:pPr>
        <w:spacing w:line="380" w:lineRule="exact"/>
        <w:jc w:val="both"/>
        <w:rPr>
          <w:rFonts w:hint="cs"/>
          <w:i/>
          <w:iCs/>
          <w:rtl/>
        </w:rPr>
      </w:pPr>
      <w:r>
        <w:rPr>
          <w:rFonts w:hint="cs"/>
          <w:i/>
          <w:iCs/>
          <w:rtl/>
        </w:rPr>
        <w:t>أكاديمية هونغ كونغ لفنون الأداء</w:t>
      </w:r>
    </w:p>
    <w:p w:rsidR="00000000" w:rsidRDefault="00443EC1">
      <w:pPr>
        <w:spacing w:line="380" w:lineRule="exact"/>
        <w:jc w:val="both"/>
        <w:rPr>
          <w:rFonts w:hint="cs"/>
          <w:rtl/>
        </w:rPr>
      </w:pPr>
      <w:r>
        <w:rPr>
          <w:rFonts w:hint="cs"/>
          <w:rtl/>
        </w:rPr>
        <w:t>756-</w:t>
      </w:r>
      <w:r>
        <w:rPr>
          <w:rFonts w:hint="cs"/>
          <w:rtl/>
        </w:rPr>
        <w:tab/>
        <w:t>لم يتغير الوضع عما هو مبين في الفقرة 586 من التقرير الأولي. والآن أصبح عدد المتخرجين من الأكاديمية أكثر من 500 3 شخص منذ إنشائها. ولا تزال الأكاديمية تشكل "منبتاً" هاماً للفنانين المحترفين وتسهم بصورة ملحوظة في الأد</w:t>
      </w:r>
      <w:r>
        <w:rPr>
          <w:rFonts w:hint="cs"/>
          <w:rtl/>
        </w:rPr>
        <w:t>اء الفني في هونغ كونغ.</w:t>
      </w:r>
    </w:p>
    <w:p w:rsidR="00000000" w:rsidRDefault="00443EC1">
      <w:pPr>
        <w:spacing w:line="380" w:lineRule="exact"/>
        <w:jc w:val="both"/>
        <w:rPr>
          <w:rFonts w:hint="cs"/>
          <w:i/>
          <w:iCs/>
          <w:rtl/>
        </w:rPr>
      </w:pPr>
      <w:r>
        <w:rPr>
          <w:rFonts w:hint="cs"/>
          <w:i/>
          <w:iCs/>
          <w:rtl/>
        </w:rPr>
        <w:t>مركز هونغ كونغ للفنون</w:t>
      </w:r>
    </w:p>
    <w:p w:rsidR="00000000" w:rsidRDefault="00443EC1">
      <w:pPr>
        <w:spacing w:line="380" w:lineRule="exact"/>
        <w:jc w:val="both"/>
        <w:rPr>
          <w:rFonts w:hint="cs"/>
          <w:rtl/>
        </w:rPr>
      </w:pPr>
      <w:r>
        <w:rPr>
          <w:rFonts w:hint="cs"/>
          <w:rtl/>
        </w:rPr>
        <w:t>757-</w:t>
      </w:r>
      <w:r>
        <w:rPr>
          <w:rFonts w:hint="cs"/>
          <w:rtl/>
        </w:rPr>
        <w:tab/>
        <w:t>لقد تحدثنا عن هذه المنظمة في التقرير الأولي. والمركز هو منظمة مستقلة ذاتية التمويل أُنشئ في عام 1974 بموجب القانون المتعلق بمركز هونغ كونغ للفنون (المادة 304). وأدى المركز دوراً هاماً كمكان لتقديم وعرض البر</w:t>
      </w:r>
      <w:r>
        <w:rPr>
          <w:rFonts w:hint="cs"/>
          <w:rtl/>
        </w:rPr>
        <w:t xml:space="preserve">امج المتعلقة بتنمية الفنون في هونغ كونغ. كما يؤدي دوراً نشطاً في مجال تعليم الفنون. ويقدم المركز دورات عديدة لنصف الوقت في مجال الفنون البصرية والتطبيقية من خلال مدرسته للفنون. </w:t>
      </w:r>
    </w:p>
    <w:p w:rsidR="00000000" w:rsidRDefault="00443EC1">
      <w:pPr>
        <w:spacing w:line="380" w:lineRule="exact"/>
        <w:jc w:val="both"/>
        <w:rPr>
          <w:rFonts w:hint="cs"/>
          <w:i/>
          <w:iCs/>
          <w:rtl/>
        </w:rPr>
      </w:pPr>
      <w:r>
        <w:rPr>
          <w:rFonts w:hint="cs"/>
          <w:i/>
          <w:iCs/>
          <w:rtl/>
        </w:rPr>
        <w:t>قسم الخدمات الترفيهية والثقافية</w:t>
      </w:r>
    </w:p>
    <w:p w:rsidR="00000000" w:rsidRDefault="00443EC1">
      <w:pPr>
        <w:spacing w:line="380" w:lineRule="exact"/>
        <w:jc w:val="both"/>
        <w:rPr>
          <w:rFonts w:hint="cs"/>
          <w:rtl/>
        </w:rPr>
      </w:pPr>
      <w:r>
        <w:rPr>
          <w:rFonts w:hint="cs"/>
          <w:rtl/>
        </w:rPr>
        <w:t>758-</w:t>
      </w:r>
      <w:r>
        <w:rPr>
          <w:rFonts w:hint="cs"/>
          <w:rtl/>
        </w:rPr>
        <w:tab/>
        <w:t>أنشئ قسم الخدمات الترفيهية والثقافية في أ</w:t>
      </w:r>
      <w:r>
        <w:rPr>
          <w:rFonts w:hint="cs"/>
          <w:rtl/>
        </w:rPr>
        <w:t>وائل عام 2000 لمواصلة تقديم الخدمات الترفيهية والثقافية بعد حل المجلس الحضري المؤقت والمجلس الإقليمي المؤقت في نهاية عام 1999 (انظر الفقرات من 594 إلى 598 من التقرير الأولي).</w:t>
      </w:r>
      <w:r>
        <w:rPr>
          <w:rStyle w:val="FootnoteReference"/>
          <w:rFonts w:hint="cs"/>
          <w:bCs w:val="0"/>
          <w:vertAlign w:val="baseline"/>
          <w:rtl/>
        </w:rPr>
        <w:t xml:space="preserve"> </w:t>
      </w:r>
      <w:r>
        <w:rPr>
          <w:rFonts w:hint="cs"/>
          <w:rtl/>
        </w:rPr>
        <w:t>وإدارة الخدمات الترفيهية والثقافية هي الآن أهم جهة مزودة للمرافق الثقافية. وقد تو</w:t>
      </w:r>
      <w:r>
        <w:rPr>
          <w:rFonts w:hint="cs"/>
          <w:rtl/>
        </w:rPr>
        <w:t>لت إدارة أماكن الأداء ومراكز الفنون المجتمعية المشار إليها في الفقرة 594 من التقرير الأولي. وتم في تشرين الثاني/نوفمبر 1999 وأيار/مايو 2000 افتتاح مرفقين جديدين من هذه المرافق. ولا تزال المنظمات التي لا تستهدف تحقيق الربح والمنظمات المحلية تتمتع بإمكانية ا</w:t>
      </w:r>
      <w:r>
        <w:rPr>
          <w:rFonts w:hint="cs"/>
          <w:rtl/>
        </w:rPr>
        <w:t>لوصول إلى هذه الأماكن بأسعار مخفضة.</w:t>
      </w:r>
    </w:p>
    <w:p w:rsidR="00000000" w:rsidRDefault="00443EC1">
      <w:pPr>
        <w:spacing w:line="380" w:lineRule="exact"/>
        <w:jc w:val="both"/>
        <w:rPr>
          <w:rFonts w:hint="cs"/>
          <w:rtl/>
        </w:rPr>
      </w:pPr>
      <w:r>
        <w:rPr>
          <w:rFonts w:hint="cs"/>
          <w:rtl/>
        </w:rPr>
        <w:t>759-</w:t>
      </w:r>
      <w:r>
        <w:rPr>
          <w:rFonts w:hint="cs"/>
          <w:rtl/>
        </w:rPr>
        <w:tab/>
        <w:t>وتقدم دائرة الخدمات الترفيهية والثقافية برامج ثقافية تشمل معزوفات للموسيقى الصينية والغربية وعروض أوبرا وفن الدراما والرقص والأفلام طوال السنة. ويقوم بأداء هذه العروض فنانون محليون وكذلك فنانون من مختلف البلدان والخ</w:t>
      </w:r>
      <w:r>
        <w:rPr>
          <w:rFonts w:hint="cs"/>
          <w:rtl/>
        </w:rPr>
        <w:t>لفيات الثقافية. كما تقدم الدائرة برامج للترفيه طوال السنة وتستضيف احتفالات بما فيها كرنفال الفنون الدولية السنوي والاحتفالات بحسب المواضيع. وتقدم أيضاً الإعانات المالية إلى الفرقة الموسيقية الصينية لهونغ كونغ، وفرقة الرقص لهونغ كونغ، وفرقة هونغ كونغ المسرح</w:t>
      </w:r>
      <w:r>
        <w:rPr>
          <w:rFonts w:hint="cs"/>
          <w:rtl/>
        </w:rPr>
        <w:t>ية، والفرقة الموسيقية الكلاسيكية لهونغ كونغ، ومهرجان فنون هونغ كونغ.</w:t>
      </w:r>
    </w:p>
    <w:p w:rsidR="00000000" w:rsidRDefault="00443EC1">
      <w:pPr>
        <w:spacing w:line="380" w:lineRule="exact"/>
        <w:jc w:val="both"/>
        <w:rPr>
          <w:rFonts w:hint="cs"/>
          <w:rtl/>
        </w:rPr>
      </w:pPr>
      <w:r>
        <w:rPr>
          <w:rFonts w:hint="cs"/>
          <w:rtl/>
        </w:rPr>
        <w:t>760-</w:t>
      </w:r>
      <w:r>
        <w:rPr>
          <w:rFonts w:hint="cs"/>
          <w:rtl/>
        </w:rPr>
        <w:tab/>
        <w:t>واستمرت إدارة الخدمات الترفيهية والثقافية في تقديم الدعم إلى فناني ومجموعات الأداء على المستوى الوطني من خلال عرض أنشطتهم وتقديم الدعم المالي لهم. وفي هذا الصدد، لم تتغير برامجها أسا</w:t>
      </w:r>
      <w:r>
        <w:rPr>
          <w:rFonts w:hint="cs"/>
          <w:rtl/>
        </w:rPr>
        <w:t>ساً عما هو موضح في الفقرة 597 من التقرير الأولي.</w:t>
      </w:r>
    </w:p>
    <w:p w:rsidR="00000000" w:rsidRDefault="00443EC1">
      <w:pPr>
        <w:spacing w:line="380" w:lineRule="exact"/>
        <w:jc w:val="both"/>
        <w:rPr>
          <w:rFonts w:hint="cs"/>
          <w:rtl/>
        </w:rPr>
      </w:pPr>
      <w:r>
        <w:rPr>
          <w:rFonts w:hint="cs"/>
          <w:rtl/>
        </w:rPr>
        <w:t>761-</w:t>
      </w:r>
      <w:r>
        <w:rPr>
          <w:rFonts w:hint="cs"/>
          <w:rtl/>
        </w:rPr>
        <w:tab/>
        <w:t>أشار أحد المعلقين إلى أنه يتعين على الحكومة أن تكفل وصول الأشخاص المعاقين بالكامل إلى المرافق الرياضية. وموقفنا هو أنه عندما نقوم بتصميم مرافق الترفيه والرياضة فإننا ندرج شرطاً في مخطط البناء ينص على ضر</w:t>
      </w:r>
      <w:r>
        <w:rPr>
          <w:rFonts w:hint="cs"/>
          <w:rtl/>
        </w:rPr>
        <w:t>ورة استيفاء المرافق لشروط إمكانية الوصول المدرجة في "دليل التصميم: الوصول الخالي من الحواجز في عام 1997" و"دليل تخطيط وتصميم النقل الجديد". وهذا يعني أن جميع المرافق الرياضية الحكومية الجديدة يجب أن تكون سهلة الوصول بالنسبة للأشخاص المعاقين.</w:t>
      </w:r>
    </w:p>
    <w:p w:rsidR="00000000" w:rsidRDefault="00443EC1">
      <w:pPr>
        <w:spacing w:line="380" w:lineRule="exact"/>
        <w:jc w:val="both"/>
        <w:rPr>
          <w:rFonts w:hint="cs"/>
          <w:b/>
          <w:bCs/>
          <w:rtl/>
        </w:rPr>
      </w:pPr>
      <w:r>
        <w:rPr>
          <w:rFonts w:hint="cs"/>
          <w:b/>
          <w:bCs/>
          <w:rtl/>
        </w:rPr>
        <w:t>المكتبات</w:t>
      </w:r>
    </w:p>
    <w:p w:rsidR="00000000" w:rsidRDefault="00443EC1">
      <w:pPr>
        <w:spacing w:line="380" w:lineRule="exact"/>
        <w:jc w:val="both"/>
        <w:rPr>
          <w:rFonts w:hint="cs"/>
          <w:rtl/>
        </w:rPr>
      </w:pPr>
      <w:r>
        <w:rPr>
          <w:rFonts w:hint="cs"/>
          <w:rtl/>
        </w:rPr>
        <w:t>762-</w:t>
      </w:r>
      <w:r>
        <w:rPr>
          <w:rFonts w:hint="cs"/>
          <w:rtl/>
        </w:rPr>
        <w:tab/>
      </w:r>
      <w:r>
        <w:rPr>
          <w:rFonts w:hint="cs"/>
          <w:rtl/>
        </w:rPr>
        <w:t xml:space="preserve">لم يتغير الوضع أساساً عما هو موضح في الفقرة 699 من التقرير الأولي، على الرغم من حدوث تطورات جديدة. فقد توسعت شبكة المكتبات العامة لتشمل 69 مكتبة (بالمقارنة مع 65 مكتبة مشار إليها في الفقرة 599 من التقرير الأولي) وهي تحتفظ بمخزون إجمالي قدره 9.51 من ملايين </w:t>
      </w:r>
      <w:r>
        <w:rPr>
          <w:rFonts w:hint="cs"/>
          <w:rtl/>
        </w:rPr>
        <w:t xml:space="preserve">الكتب. وقد افتُتحت ثلاث مكتبات قطاعية جديدة في عام 2001. كما افتتحت المكتبة المركزية لهونغ كونغ التي تعتبر بمثابة حدث جديد في خدمات المكتبات العمومية. فهي مزودة بأكبر نظام أتمتة مستخدم في المكتبات التي تعمل بلغتين، وبنظام للمعلومات المتعددة الوسائط من آخر </w:t>
      </w:r>
      <w:r>
        <w:rPr>
          <w:rFonts w:hint="cs"/>
          <w:rtl/>
        </w:rPr>
        <w:t xml:space="preserve">طراز، ومكتبة مرجعية مركزية مؤلفة من ست دوائر بحسب الموضوع، وسرعان ما أصبحت المكتبة المركزية المركز الأساسي للمعلومات والتعلم طوال الحياة. </w:t>
      </w:r>
    </w:p>
    <w:p w:rsidR="00000000" w:rsidRDefault="00443EC1">
      <w:pPr>
        <w:spacing w:line="380" w:lineRule="exact"/>
        <w:jc w:val="both"/>
        <w:rPr>
          <w:rFonts w:hint="cs"/>
          <w:b/>
          <w:bCs/>
          <w:rtl/>
        </w:rPr>
      </w:pPr>
    </w:p>
    <w:p w:rsidR="00000000" w:rsidRDefault="00443EC1">
      <w:pPr>
        <w:spacing w:line="380" w:lineRule="exact"/>
        <w:jc w:val="both"/>
        <w:rPr>
          <w:rFonts w:hint="cs"/>
          <w:b/>
          <w:bCs/>
          <w:rtl/>
        </w:rPr>
      </w:pPr>
      <w:r>
        <w:rPr>
          <w:rFonts w:hint="cs"/>
          <w:b/>
          <w:bCs/>
          <w:rtl/>
        </w:rPr>
        <w:t>المتاحف</w:t>
      </w:r>
    </w:p>
    <w:p w:rsidR="00000000" w:rsidRDefault="00443EC1">
      <w:pPr>
        <w:spacing w:line="380" w:lineRule="exact"/>
        <w:jc w:val="both"/>
        <w:rPr>
          <w:rFonts w:hint="cs"/>
          <w:rtl/>
        </w:rPr>
      </w:pPr>
      <w:r>
        <w:rPr>
          <w:rFonts w:hint="cs"/>
          <w:rtl/>
        </w:rPr>
        <w:t>763-</w:t>
      </w:r>
      <w:r>
        <w:rPr>
          <w:rFonts w:hint="cs"/>
          <w:rtl/>
        </w:rPr>
        <w:tab/>
        <w:t>لم يتغير الوضع أساساً عما هو موضح في الفقرتين 600 و601 من التقرير الأولي باستثناء الاستعاضة عن مجالس ال</w:t>
      </w:r>
      <w:r>
        <w:rPr>
          <w:rFonts w:hint="cs"/>
          <w:rtl/>
        </w:rPr>
        <w:t>بلديات المؤقتة بدائرة الخدمات الترفيهية والثقافية. وكما أشير إليه في هاتين الفقرتين، فقد افتُتح في عام 2000 متحف تراث هونغ كونغ ومتحف هونغ كونغ للدفاع الساحلي، وافتتحت في عام 2001 دائرة جديدة لمحفوظات الأفلام في هونغ كونغ. وثمة تطور جديد آخر هو افتتاح مكتب</w:t>
      </w:r>
      <w:r>
        <w:rPr>
          <w:rFonts w:hint="cs"/>
          <w:rtl/>
        </w:rPr>
        <w:t xml:space="preserve"> دعم الفنون في عام 2000 لتعزيز مشاركة الجمهور في أنشطة الفنون المرئية التي تقام في الجوار.</w:t>
      </w:r>
    </w:p>
    <w:p w:rsidR="00000000" w:rsidRDefault="00443EC1">
      <w:pPr>
        <w:spacing w:line="380" w:lineRule="exact"/>
        <w:jc w:val="both"/>
        <w:rPr>
          <w:rFonts w:hint="cs"/>
          <w:i/>
          <w:iCs/>
          <w:rtl/>
        </w:rPr>
      </w:pPr>
      <w:r>
        <w:rPr>
          <w:rFonts w:hint="cs"/>
          <w:i/>
          <w:iCs/>
          <w:rtl/>
        </w:rPr>
        <w:t>مكتب الآثار والمعالم التذكارية</w:t>
      </w:r>
    </w:p>
    <w:p w:rsidR="00000000" w:rsidRDefault="00443EC1">
      <w:pPr>
        <w:spacing w:line="380" w:lineRule="exact"/>
        <w:jc w:val="both"/>
        <w:rPr>
          <w:rFonts w:hint="cs"/>
          <w:rtl/>
        </w:rPr>
      </w:pPr>
      <w:r>
        <w:rPr>
          <w:rFonts w:hint="cs"/>
          <w:rtl/>
        </w:rPr>
        <w:t>764-</w:t>
      </w:r>
      <w:r>
        <w:rPr>
          <w:rFonts w:hint="cs"/>
          <w:rtl/>
        </w:rPr>
        <w:tab/>
        <w:t>لم يتغير الوضع أساساً عما هو مبين في الفقرات من 587 إلى 590 من التقرير الأولي. ولكن التطورات الجديدة تشمل منح مكافأة تراث هونغ كو</w:t>
      </w:r>
      <w:r>
        <w:rPr>
          <w:rFonts w:hint="cs"/>
          <w:rtl/>
        </w:rPr>
        <w:t xml:space="preserve">نغ، في عام 2001، لمكافأة المنظمات والأفراد الذين ساهموا بصورة </w:t>
      </w:r>
      <w:r>
        <w:rPr>
          <w:rFonts w:hint="cs"/>
          <w:spacing w:val="0"/>
          <w:rtl/>
        </w:rPr>
        <w:t xml:space="preserve">متميزة في صون التراث وتعليمه. وفي عام 2002، تمت دعوة أربعة معاهد مشهورة من الصين القارية لإجراء عمليات حفر تنقيباً عن الآثار في شا ها، وسي كونغ (في الأقاليم الشرقية الجديدة) بالتعاون مع المكتب. </w:t>
      </w:r>
      <w:r>
        <w:rPr>
          <w:rFonts w:hint="cs"/>
          <w:spacing w:val="0"/>
          <w:rtl/>
        </w:rPr>
        <w:t xml:space="preserve">وقد تم حفر مساحة </w:t>
      </w:r>
      <w:r>
        <w:rPr>
          <w:spacing w:val="0"/>
          <w:rtl/>
        </w:rPr>
        <w:br/>
      </w:r>
      <w:r>
        <w:rPr>
          <w:rFonts w:hint="cs"/>
          <w:spacing w:val="0"/>
          <w:rtl/>
        </w:rPr>
        <w:t>000 3 متر مربع تقريباً، وتم العثور على 000 40 قطعة أثرية تعود إلى حقب زمنية مختلفة ما قبل التاريخ وبعده.</w:t>
      </w:r>
    </w:p>
    <w:p w:rsidR="00000000" w:rsidRDefault="00443EC1">
      <w:pPr>
        <w:spacing w:line="380" w:lineRule="exact"/>
        <w:jc w:val="both"/>
        <w:rPr>
          <w:rFonts w:hint="cs"/>
          <w:rtl/>
        </w:rPr>
      </w:pPr>
      <w:r>
        <w:rPr>
          <w:rFonts w:hint="cs"/>
          <w:rtl/>
        </w:rPr>
        <w:t>765-</w:t>
      </w:r>
      <w:r>
        <w:rPr>
          <w:rFonts w:hint="cs"/>
          <w:rtl/>
        </w:rPr>
        <w:tab/>
        <w:t xml:space="preserve">ويجري التخطيط لافتتاح مركز موارد التراث في منتزه كاولون وهو أحد المنتزهات الحضرية التي تقع في قلب هونغ كونغ. ومن المقرر افتتاحه </w:t>
      </w:r>
      <w:r>
        <w:rPr>
          <w:rFonts w:hint="cs"/>
          <w:rtl/>
        </w:rPr>
        <w:t>في أواخر عام 2004. وسيكون المركز مؤلفاً من أروقة للعروض، وقاعة لإلقاء المحاضرات وغرف عمل، وورشة عمل للتنقيب عن الآثار ومكتبة للمراجع. وسيستفاد من هذا المركز كمصدر للتعليم والبحوث المتعلقة بالتراث.</w:t>
      </w:r>
    </w:p>
    <w:p w:rsidR="00000000" w:rsidRDefault="00443EC1">
      <w:pPr>
        <w:spacing w:line="380" w:lineRule="exact"/>
        <w:jc w:val="both"/>
        <w:rPr>
          <w:rFonts w:hint="cs"/>
          <w:i/>
          <w:iCs/>
          <w:rtl/>
        </w:rPr>
      </w:pPr>
      <w:r>
        <w:rPr>
          <w:rFonts w:hint="cs"/>
          <w:i/>
          <w:iCs/>
          <w:rtl/>
        </w:rPr>
        <w:t>المحفوظات</w:t>
      </w:r>
    </w:p>
    <w:p w:rsidR="00000000" w:rsidRDefault="00443EC1">
      <w:pPr>
        <w:spacing w:line="380" w:lineRule="exact"/>
        <w:jc w:val="both"/>
        <w:rPr>
          <w:rFonts w:hint="cs"/>
          <w:rtl/>
        </w:rPr>
      </w:pPr>
      <w:r>
        <w:rPr>
          <w:rFonts w:hint="cs"/>
          <w:rtl/>
        </w:rPr>
        <w:t>766-</w:t>
      </w:r>
      <w:r>
        <w:rPr>
          <w:rFonts w:hint="cs"/>
          <w:rtl/>
        </w:rPr>
        <w:tab/>
        <w:t>أوضحنا في الفقرة 591 من التقرير الأولي أن مك</w:t>
      </w:r>
      <w:r>
        <w:rPr>
          <w:rFonts w:hint="cs"/>
          <w:rtl/>
        </w:rPr>
        <w:t>تب السجلات العامة التابع لدائرة السجلات الحكومية مسؤول عن الاحتفاظ بالسجلات العامة ذات القيمة التاريخية وعن تشغيل نظام السجلات العام. وفضلاً عن ذلك، يقوم المكتب العام بإدارة المكتبة المركزية لصون المطبوعات، التي تحتفظ بمطبوعات حكومية والتي تم إنشاؤها في عا</w:t>
      </w:r>
      <w:r>
        <w:rPr>
          <w:rFonts w:hint="cs"/>
          <w:rtl/>
        </w:rPr>
        <w:t>م 2001.</w:t>
      </w:r>
    </w:p>
    <w:p w:rsidR="00000000" w:rsidRDefault="00443EC1">
      <w:pPr>
        <w:spacing w:line="380" w:lineRule="exact"/>
        <w:jc w:val="both"/>
        <w:rPr>
          <w:rFonts w:hint="cs"/>
          <w:rtl/>
        </w:rPr>
      </w:pPr>
      <w:r>
        <w:rPr>
          <w:rFonts w:hint="cs"/>
          <w:rtl/>
        </w:rPr>
        <w:t>767-</w:t>
      </w:r>
      <w:r>
        <w:rPr>
          <w:rFonts w:hint="cs"/>
          <w:rtl/>
        </w:rPr>
        <w:tab/>
        <w:t>ويقوم المكتب بتقدير القيمة التاريخية للسجلات الحكومية وينشر المواد قبل التخلص منها ويحتفظ بالمواد التي لها قيمة ثابتة لكي يستخدمها الجمهور. وتتضمن مجموعة المواد الترفيهية المتعلقة بهونغ كونغ سجلات عامة ومنشورات حكومية وكتباً وصحفاً وخرائط ومخط</w:t>
      </w:r>
      <w:r>
        <w:rPr>
          <w:rFonts w:hint="cs"/>
          <w:rtl/>
        </w:rPr>
        <w:t>طات وملصقات وأفلاماً وصوراً فوتوغرافية تاريخية وما إلى ذلك. ويمكن للجمهور أن يطلع على معظم هذه السجلات الحكومية بعد انقضاء 30 عاماً عليها، على الرغم من أن بإمكان رئيس أمانة الإدارة الموافقة على استثناءات لذلك. ويكون الوصول إلى السجلات الحكومية مجاناً ويمكن</w:t>
      </w:r>
      <w:r>
        <w:rPr>
          <w:rFonts w:hint="cs"/>
          <w:rtl/>
        </w:rPr>
        <w:t xml:space="preserve"> استنساخ معظم الوثائق مقابل دفع ثمن الاستنساخ. وفي تشرين الثاني/نوفمبر 2002، طبَّق المكتب نظاماً متكاملاً للوصول إلى المعلومات لتيسير عملية البحث.</w:t>
      </w:r>
    </w:p>
    <w:p w:rsidR="00000000" w:rsidRDefault="00443EC1">
      <w:pPr>
        <w:spacing w:before="180" w:after="180" w:line="380" w:lineRule="exact"/>
        <w:jc w:val="both"/>
        <w:rPr>
          <w:rFonts w:hint="cs"/>
          <w:rtl/>
        </w:rPr>
      </w:pPr>
      <w:r>
        <w:rPr>
          <w:rFonts w:hint="cs"/>
          <w:rtl/>
        </w:rPr>
        <w:t>768-</w:t>
      </w:r>
      <w:r>
        <w:rPr>
          <w:rFonts w:hint="cs"/>
          <w:rtl/>
        </w:rPr>
        <w:tab/>
        <w:t xml:space="preserve">ويدعم برنامج تعليم الجمهور والدعاية توعية الجمهور وتقديره لتراث المحفوظات التابع لهونغ كونغ. ويقوم مكتب </w:t>
      </w:r>
      <w:r>
        <w:rPr>
          <w:rFonts w:hint="cs"/>
          <w:rtl/>
        </w:rPr>
        <w:t xml:space="preserve">السجلات الحكومية بنشاط بتعزيز عمليات التبادل فيما بين المهنيين وصون تراث العالم. والأعضاء </w:t>
      </w:r>
      <w:r>
        <w:rPr>
          <w:rFonts w:hint="cs"/>
          <w:spacing w:val="0"/>
          <w:rtl/>
        </w:rPr>
        <w:t>فيه هم أعضاء في اللجنة التابعة للمجلس الدولي لليونسكو المعني بالمحفوظات والمواد التذكارية التابع للبرنامج العالمي.</w:t>
      </w:r>
    </w:p>
    <w:p w:rsidR="00000000" w:rsidRDefault="00443EC1">
      <w:pPr>
        <w:spacing w:before="180" w:after="180" w:line="380" w:lineRule="exact"/>
        <w:jc w:val="both"/>
        <w:rPr>
          <w:rFonts w:hint="cs"/>
          <w:i/>
          <w:iCs/>
          <w:rtl/>
        </w:rPr>
      </w:pPr>
      <w:r>
        <w:rPr>
          <w:rFonts w:hint="cs"/>
          <w:i/>
          <w:iCs/>
          <w:rtl/>
        </w:rPr>
        <w:t xml:space="preserve">تجهيز الطلبات المقدمة لاستخدام أماكن العرض التابعة </w:t>
      </w:r>
      <w:r>
        <w:rPr>
          <w:rFonts w:hint="cs"/>
          <w:i/>
          <w:iCs/>
          <w:rtl/>
        </w:rPr>
        <w:t>لدائرة الخدمات الترفيهية والثقافية</w:t>
      </w:r>
    </w:p>
    <w:p w:rsidR="00000000" w:rsidRDefault="00443EC1">
      <w:pPr>
        <w:spacing w:before="180" w:after="180" w:line="380" w:lineRule="exact"/>
        <w:jc w:val="both"/>
        <w:rPr>
          <w:rFonts w:hint="cs"/>
          <w:rtl/>
        </w:rPr>
      </w:pPr>
      <w:r>
        <w:rPr>
          <w:rFonts w:hint="cs"/>
          <w:rtl/>
        </w:rPr>
        <w:t>769-</w:t>
      </w:r>
      <w:r>
        <w:rPr>
          <w:rFonts w:hint="cs"/>
          <w:rtl/>
        </w:rPr>
        <w:tab/>
        <w:t>تساءل المعلقون عن سبب حرمان جمعية فالون دافا (فالون غونغ) بهونغ كونغ من الوصول إلى الأماكن الحكومية الداخلية للعروض الفنية بعد أن أعرب مسؤولون من السلطة المركزية عن قلقهم إزاء وصول هذه الجمعية إلى تلك الأماكن. وموقفن</w:t>
      </w:r>
      <w:r>
        <w:rPr>
          <w:rFonts w:hint="cs"/>
          <w:rtl/>
        </w:rPr>
        <w:t>ا هو أن جميع المرافق المدنية التي تقوم بإدارتها إدارة الخدمات الترفيهية والثقافية مفتوحة أمام الجمهور لاستخدامها مقابل أجر. ويتم وفقاً للسياسات والإجراءات المقررة تجهيز طلبات الحجز الواردة من جميع الأشخاص. وعند تجهيز طلبات الحجز، يولى الاعتبار إلى ما إذا ك</w:t>
      </w:r>
      <w:r>
        <w:rPr>
          <w:rFonts w:hint="cs"/>
          <w:rtl/>
        </w:rPr>
        <w:t>ان النشاط المقترح نشاطاً يتمشى مع الغرض الذي يتوخاه مكان العرض وما إذا كان ذلك المكان غير محجوز في التاريخ المراد. وفي حالة وجود منافسة على موعد استئجار مكان العرض، تُعطى الأولوية وفقاً لنظام النقاط.</w:t>
      </w:r>
    </w:p>
    <w:p w:rsidR="00000000" w:rsidRDefault="00443EC1">
      <w:pPr>
        <w:spacing w:before="180" w:after="180" w:line="380" w:lineRule="exact"/>
        <w:jc w:val="both"/>
        <w:rPr>
          <w:rFonts w:hint="cs"/>
          <w:spacing w:val="0"/>
          <w:rtl/>
        </w:rPr>
      </w:pPr>
      <w:r>
        <w:rPr>
          <w:rFonts w:hint="cs"/>
          <w:rtl/>
        </w:rPr>
        <w:t>770-</w:t>
      </w:r>
      <w:r>
        <w:rPr>
          <w:rFonts w:hint="cs"/>
          <w:rtl/>
        </w:rPr>
        <w:tab/>
        <w:t>تم، وفقاً للنظام المشار إليه أعلاه، تجهيز الطلبات ا</w:t>
      </w:r>
      <w:r>
        <w:rPr>
          <w:rFonts w:hint="cs"/>
          <w:rtl/>
        </w:rPr>
        <w:t>لواردة من جمعية فالون دافا بهونغ كونغ بنفس طريقة تجهيز جميع الطلبات الأخرى. ولم تنجح جمعية فالون دافا في الحصول على موافقة على جميع طلباته. ولكن سجل الحجز يبين نجاح العديد منها. ففي أيلول/سبتمبر 2000، نجحت الجمعية في الحصول على موافقة لحجز مركز بيازا الثقا</w:t>
      </w:r>
      <w:r>
        <w:rPr>
          <w:rFonts w:hint="cs"/>
          <w:rtl/>
        </w:rPr>
        <w:t xml:space="preserve">في لهونغ كونغ لتنظيم معرض للصور الفوتوغرافية واللوحات الفنية. وفي كانون الثاني/يناير 2001، نجحت الجمعية في حجز قاعة الحفلات الموسيقية في قاعة بلدية هونغ كونغ لعقد "اجتماع لتبادل الخبرات </w:t>
      </w:r>
      <w:r>
        <w:rPr>
          <w:rFonts w:hint="cs"/>
          <w:spacing w:val="0"/>
          <w:rtl/>
        </w:rPr>
        <w:t>الشخصية ". وفي آب/أغسطس 2002، اقترحنا على الجمعية ما يلي:</w:t>
      </w:r>
    </w:p>
    <w:p w:rsidR="00000000" w:rsidRDefault="00443EC1">
      <w:pPr>
        <w:spacing w:before="180" w:after="180" w:line="380" w:lineRule="exact"/>
        <w:jc w:val="both"/>
        <w:rPr>
          <w:rFonts w:hint="cs"/>
          <w:spacing w:val="0"/>
          <w:rtl/>
        </w:rPr>
      </w:pPr>
      <w:r>
        <w:rPr>
          <w:rFonts w:hint="cs"/>
          <w:spacing w:val="0"/>
          <w:rtl/>
        </w:rPr>
        <w:tab/>
        <w:t>(أ)</w:t>
      </w:r>
      <w:r>
        <w:rPr>
          <w:rFonts w:hint="cs"/>
          <w:spacing w:val="0"/>
          <w:rtl/>
        </w:rPr>
        <w:tab/>
        <w:t>قاعة مح</w:t>
      </w:r>
      <w:r>
        <w:rPr>
          <w:rFonts w:hint="cs"/>
          <w:spacing w:val="0"/>
          <w:rtl/>
        </w:rPr>
        <w:t>اضرات قصر بلدية تسوين وان في 24 تشرين الأول/أكتوبر 2002 لتنظيم عرض متنوع للفنون؛</w:t>
      </w:r>
    </w:p>
    <w:p w:rsidR="00000000" w:rsidRDefault="00443EC1">
      <w:pPr>
        <w:spacing w:before="180" w:after="180" w:line="380" w:lineRule="exact"/>
        <w:jc w:val="both"/>
        <w:rPr>
          <w:rFonts w:hint="cs"/>
          <w:spacing w:val="0"/>
          <w:rtl/>
        </w:rPr>
      </w:pPr>
      <w:r>
        <w:rPr>
          <w:rFonts w:hint="cs"/>
          <w:spacing w:val="0"/>
          <w:rtl/>
        </w:rPr>
        <w:tab/>
        <w:t>(ب)</w:t>
      </w:r>
      <w:r>
        <w:rPr>
          <w:rFonts w:hint="cs"/>
          <w:spacing w:val="0"/>
          <w:rtl/>
        </w:rPr>
        <w:tab/>
        <w:t>قاعة محاضرات قصر بلدية يون مون في 25 تشرين الأول/أكتوبر 2002 لتنظيم عرض متنوع للفنون؛</w:t>
      </w:r>
    </w:p>
    <w:p w:rsidR="00000000" w:rsidRDefault="00443EC1">
      <w:pPr>
        <w:spacing w:before="180" w:after="180" w:line="380" w:lineRule="exact"/>
        <w:jc w:val="both"/>
        <w:rPr>
          <w:rFonts w:hint="cs"/>
          <w:spacing w:val="0"/>
          <w:rtl/>
        </w:rPr>
      </w:pPr>
      <w:r>
        <w:rPr>
          <w:rFonts w:hint="cs"/>
          <w:spacing w:val="0"/>
          <w:rtl/>
        </w:rPr>
        <w:tab/>
        <w:t>(ج)</w:t>
      </w:r>
      <w:r>
        <w:rPr>
          <w:rFonts w:hint="cs"/>
          <w:spacing w:val="0"/>
          <w:rtl/>
        </w:rPr>
        <w:tab/>
        <w:t>قاعة معارض قصر بلدية تون مون في 24 و25 تشرين الأول/أكتوبر 2002 لمعرض صور فوتوغر</w:t>
      </w:r>
      <w:r>
        <w:rPr>
          <w:rFonts w:hint="cs"/>
          <w:spacing w:val="0"/>
          <w:rtl/>
        </w:rPr>
        <w:t>افية تعكس الخبرات الشخصية نظمته جمعية فالون دافا؛</w:t>
      </w:r>
    </w:p>
    <w:p w:rsidR="00000000" w:rsidRDefault="00443EC1">
      <w:pPr>
        <w:spacing w:before="180" w:after="180" w:line="380" w:lineRule="exact"/>
        <w:jc w:val="both"/>
        <w:rPr>
          <w:rFonts w:hint="cs"/>
          <w:rtl/>
        </w:rPr>
      </w:pPr>
      <w:r>
        <w:rPr>
          <w:rFonts w:hint="cs"/>
          <w:rtl/>
        </w:rPr>
        <w:tab/>
        <w:t>(د)</w:t>
      </w:r>
      <w:r>
        <w:rPr>
          <w:rFonts w:hint="cs"/>
          <w:rtl/>
        </w:rPr>
        <w:tab/>
        <w:t>قاعة محاضرات قصر بلدية يون مون في 28 تشرين الأول/أكتوبر 2002 لتنظيم مؤتمر.</w:t>
      </w:r>
    </w:p>
    <w:p w:rsidR="00000000" w:rsidRDefault="00443EC1">
      <w:pPr>
        <w:spacing w:before="180" w:after="180" w:line="380" w:lineRule="exact"/>
        <w:jc w:val="both"/>
        <w:rPr>
          <w:rFonts w:hint="cs"/>
          <w:rtl/>
        </w:rPr>
      </w:pPr>
      <w:r>
        <w:rPr>
          <w:rFonts w:hint="cs"/>
          <w:rtl/>
        </w:rPr>
        <w:t>وقد رفضت جمعية فالون دافا العرض المشار إليه في الفقرة (د) لكنها قبلت العروض المشار إليها في الفقرات من (أ) إلى (ج). ولذلك فإنن</w:t>
      </w:r>
      <w:r>
        <w:rPr>
          <w:rFonts w:hint="cs"/>
          <w:rtl/>
        </w:rPr>
        <w:t>ا نرى أن أوجه القلق التي أعرب عنها المعلقون لا أساس لها من الصحة.</w:t>
      </w:r>
    </w:p>
    <w:p w:rsidR="00000000" w:rsidRDefault="00443EC1">
      <w:pPr>
        <w:spacing w:before="180" w:after="180" w:line="380" w:lineRule="exact"/>
        <w:jc w:val="both"/>
        <w:rPr>
          <w:rFonts w:hint="cs"/>
          <w:i/>
          <w:iCs/>
          <w:rtl/>
        </w:rPr>
      </w:pPr>
      <w:r>
        <w:rPr>
          <w:rFonts w:hint="cs"/>
          <w:i/>
          <w:iCs/>
          <w:rtl/>
        </w:rPr>
        <w:t>العلم والتكنولوجيا</w:t>
      </w:r>
    </w:p>
    <w:p w:rsidR="00000000" w:rsidRDefault="00443EC1">
      <w:pPr>
        <w:spacing w:before="180" w:after="180" w:line="380" w:lineRule="exact"/>
        <w:jc w:val="both"/>
        <w:rPr>
          <w:rFonts w:hint="cs"/>
          <w:i/>
          <w:iCs/>
          <w:rtl/>
        </w:rPr>
      </w:pPr>
      <w:r>
        <w:rPr>
          <w:rFonts w:hint="cs"/>
          <w:i/>
          <w:iCs/>
          <w:rtl/>
        </w:rPr>
        <w:t>السياسة المتعلقة بتعزيز العلم والتكنولوجيا</w:t>
      </w:r>
    </w:p>
    <w:p w:rsidR="00000000" w:rsidRDefault="00443EC1">
      <w:pPr>
        <w:spacing w:before="120" w:after="120" w:line="360" w:lineRule="exact"/>
        <w:jc w:val="both"/>
        <w:rPr>
          <w:rFonts w:hint="cs"/>
          <w:rtl/>
        </w:rPr>
      </w:pPr>
      <w:r>
        <w:rPr>
          <w:rFonts w:hint="cs"/>
          <w:rtl/>
        </w:rPr>
        <w:t>771-</w:t>
      </w:r>
      <w:r>
        <w:rPr>
          <w:rFonts w:hint="cs"/>
          <w:rtl/>
        </w:rPr>
        <w:tab/>
        <w:t>حدثت بعض التطورات بالمقارنة مع ما تم توضيحه في الفقرة 606 من التقرير الأولي. حيث تواصل الحكومة التشجيع على زيادة الابتكار و</w:t>
      </w:r>
      <w:r>
        <w:rPr>
          <w:rFonts w:hint="cs"/>
          <w:rtl/>
        </w:rPr>
        <w:t>تحسين التكنولوجيا من خلال توفير الهياكل الأساسية المناسبة للموارد البشرية والدعم المالي وبرامج أخرى. ومع ذلك، فإن دعمنا للهياكل الأساسية يشمل اليوم شركة حظائر العلم والتكنولوجيا في هونغ كونغ</w:t>
      </w:r>
      <w:r>
        <w:rPr>
          <w:rFonts w:hint="cs"/>
          <w:vertAlign w:val="superscript"/>
          <w:rtl/>
        </w:rPr>
        <w:t>(65)</w:t>
      </w:r>
      <w:r>
        <w:rPr>
          <w:rFonts w:hint="cs"/>
          <w:rtl/>
        </w:rPr>
        <w:t>، ومعهد العلوم التطبيقية والبحوث التكنولوجية لهونغ كونغ</w:t>
      </w:r>
      <w:r>
        <w:rPr>
          <w:rFonts w:hint="cs"/>
          <w:vertAlign w:val="superscript"/>
          <w:rtl/>
        </w:rPr>
        <w:t>(66)</w:t>
      </w:r>
      <w:r>
        <w:rPr>
          <w:rFonts w:hint="cs"/>
          <w:rtl/>
        </w:rPr>
        <w:t xml:space="preserve"> وم</w:t>
      </w:r>
      <w:r>
        <w:rPr>
          <w:rFonts w:hint="cs"/>
          <w:rtl/>
        </w:rPr>
        <w:t>جلس الإنتاج لهونغ كونغ</w:t>
      </w:r>
      <w:r>
        <w:rPr>
          <w:rFonts w:hint="cs"/>
          <w:vertAlign w:val="superscript"/>
          <w:rtl/>
        </w:rPr>
        <w:t>(67)</w:t>
      </w:r>
      <w:r>
        <w:rPr>
          <w:rFonts w:hint="cs"/>
          <w:rtl/>
        </w:rPr>
        <w:t>. ولا يزال الدعم المالي يقدَّم من خلال صندوق البحوث التطبيقية</w:t>
      </w:r>
      <w:r>
        <w:rPr>
          <w:rFonts w:hint="cs"/>
          <w:vertAlign w:val="superscript"/>
          <w:rtl/>
        </w:rPr>
        <w:t>(68)</w:t>
      </w:r>
      <w:r>
        <w:rPr>
          <w:rFonts w:hint="cs"/>
          <w:rtl/>
        </w:rPr>
        <w:t>. ولكن المصدر الرئيسي الآخر للتمويل الآن هو صندوق الابتكار والتكنولوجيا</w:t>
      </w:r>
      <w:r>
        <w:rPr>
          <w:rFonts w:hint="cs"/>
          <w:vertAlign w:val="superscript"/>
          <w:rtl/>
        </w:rPr>
        <w:t>(69)</w:t>
      </w:r>
      <w:r>
        <w:rPr>
          <w:rFonts w:hint="cs"/>
          <w:rtl/>
        </w:rPr>
        <w:t xml:space="preserve"> الذي بدأ بعمله في تشرين الثاني/نوفمبر 1999.</w:t>
      </w:r>
    </w:p>
    <w:p w:rsidR="00000000" w:rsidRDefault="00443EC1">
      <w:pPr>
        <w:spacing w:before="120" w:after="120" w:line="360" w:lineRule="exact"/>
        <w:jc w:val="both"/>
        <w:rPr>
          <w:rFonts w:hint="cs"/>
          <w:i/>
          <w:iCs/>
          <w:rtl/>
        </w:rPr>
      </w:pPr>
      <w:r>
        <w:rPr>
          <w:rFonts w:hint="cs"/>
          <w:i/>
          <w:iCs/>
          <w:rtl/>
        </w:rPr>
        <w:t>دور مجلس منح البحث</w:t>
      </w:r>
    </w:p>
    <w:p w:rsidR="00000000" w:rsidRDefault="00443EC1">
      <w:pPr>
        <w:spacing w:before="120" w:after="120" w:line="360" w:lineRule="exact"/>
        <w:jc w:val="both"/>
        <w:rPr>
          <w:rFonts w:hint="cs"/>
          <w:rtl/>
        </w:rPr>
      </w:pPr>
      <w:r>
        <w:rPr>
          <w:rFonts w:hint="cs"/>
          <w:rtl/>
        </w:rPr>
        <w:t>772-</w:t>
      </w:r>
      <w:r>
        <w:rPr>
          <w:rFonts w:hint="cs"/>
          <w:rtl/>
        </w:rPr>
        <w:tab/>
        <w:t>يقدم المجلس منحاً للم</w:t>
      </w:r>
      <w:r>
        <w:rPr>
          <w:rFonts w:hint="cs"/>
          <w:rtl/>
        </w:rPr>
        <w:t xml:space="preserve">شاريع والبحوث على أساس تنافسي. وفي الفترة ما بين 1991-1992 </w:t>
      </w:r>
      <w:r>
        <w:rPr>
          <w:rtl/>
        </w:rPr>
        <w:br/>
      </w:r>
      <w:r>
        <w:rPr>
          <w:rFonts w:hint="cs"/>
          <w:spacing w:val="0"/>
          <w:rtl/>
        </w:rPr>
        <w:t>و2001-2002،</w:t>
      </w:r>
      <w:r>
        <w:rPr>
          <w:rFonts w:hint="cs"/>
          <w:rtl/>
        </w:rPr>
        <w:t xml:space="preserve"> ازدادت الأموال المتاحة للمجلس لهذا الغرض من 100 مليون دولار من دولارات هونغ كونغ إلى 511 مليون دولار من دولارات هونغ كونغ. ويتم رصد المنح لمشاريع البحوث المقسمة بصورة واسعة إلى أربعة م</w:t>
      </w:r>
      <w:r>
        <w:rPr>
          <w:rFonts w:hint="cs"/>
          <w:rtl/>
        </w:rPr>
        <w:t>واضيع عامة: الهندسة؛ والبيولوجيا والطب؛ والعلوم الفيزيائية؛ والعلوم الإنسانية، والعلوم الاجتماعية ودراسات إدارة الأعمال.</w:t>
      </w:r>
    </w:p>
    <w:p w:rsidR="00000000" w:rsidRDefault="00443EC1">
      <w:pPr>
        <w:spacing w:before="120" w:after="120" w:line="360" w:lineRule="exact"/>
        <w:jc w:val="both"/>
        <w:rPr>
          <w:rFonts w:hint="cs"/>
          <w:i/>
          <w:iCs/>
          <w:rtl/>
        </w:rPr>
      </w:pPr>
      <w:r>
        <w:rPr>
          <w:rFonts w:hint="cs"/>
          <w:i/>
          <w:iCs/>
          <w:rtl/>
        </w:rPr>
        <w:t xml:space="preserve">حظر استخدام التطورات العلمية/التكنولوجية لأغراض تتعارض مع حقوق الإنسان </w:t>
      </w:r>
    </w:p>
    <w:p w:rsidR="00000000" w:rsidRDefault="00443EC1">
      <w:pPr>
        <w:spacing w:before="120" w:after="120" w:line="360" w:lineRule="exact"/>
        <w:jc w:val="both"/>
        <w:rPr>
          <w:rFonts w:hint="cs"/>
          <w:rtl/>
        </w:rPr>
      </w:pPr>
      <w:r>
        <w:rPr>
          <w:rFonts w:hint="cs"/>
          <w:rtl/>
        </w:rPr>
        <w:t>773-</w:t>
      </w:r>
      <w:r>
        <w:rPr>
          <w:rFonts w:hint="cs"/>
          <w:rtl/>
        </w:rPr>
        <w:tab/>
        <w:t>لم يتغير الحال عما هو موضح في الفقرة 610 من التقرير الأولي</w:t>
      </w:r>
      <w:r>
        <w:rPr>
          <w:rFonts w:hint="cs"/>
          <w:rtl/>
        </w:rPr>
        <w:t>.</w:t>
      </w:r>
    </w:p>
    <w:p w:rsidR="00000000" w:rsidRDefault="00443EC1">
      <w:pPr>
        <w:spacing w:before="120" w:after="120" w:line="360" w:lineRule="exact"/>
        <w:jc w:val="both"/>
        <w:rPr>
          <w:rFonts w:hint="cs"/>
          <w:i/>
          <w:iCs/>
          <w:rtl/>
        </w:rPr>
      </w:pPr>
      <w:r>
        <w:rPr>
          <w:rFonts w:hint="cs"/>
          <w:i/>
          <w:iCs/>
          <w:rtl/>
        </w:rPr>
        <w:t>حماية حقوق الملكية الفكرية</w:t>
      </w:r>
    </w:p>
    <w:p w:rsidR="00000000" w:rsidRDefault="00443EC1">
      <w:pPr>
        <w:spacing w:before="120" w:after="120" w:line="360" w:lineRule="exact"/>
        <w:jc w:val="both"/>
        <w:rPr>
          <w:rFonts w:hint="cs"/>
          <w:rtl/>
        </w:rPr>
      </w:pPr>
      <w:r>
        <w:rPr>
          <w:rFonts w:hint="cs"/>
          <w:rtl/>
        </w:rPr>
        <w:t>774-</w:t>
      </w:r>
      <w:r>
        <w:rPr>
          <w:rFonts w:hint="cs"/>
          <w:rtl/>
        </w:rPr>
        <w:tab/>
        <w:t>لم يتغير الوضع عما تم توضيحه في الفقرات من 613 إلى 616 من التقرير الأولي.</w:t>
      </w:r>
    </w:p>
    <w:p w:rsidR="00000000" w:rsidRDefault="00443EC1">
      <w:pPr>
        <w:spacing w:before="120" w:after="120" w:line="360" w:lineRule="exact"/>
        <w:jc w:val="both"/>
        <w:rPr>
          <w:rFonts w:hint="cs"/>
          <w:i/>
          <w:iCs/>
          <w:rtl/>
        </w:rPr>
      </w:pPr>
      <w:r>
        <w:rPr>
          <w:rFonts w:hint="cs"/>
          <w:i/>
          <w:iCs/>
          <w:rtl/>
        </w:rPr>
        <w:t>المنتزهات والمناطق المحفوظة</w:t>
      </w:r>
    </w:p>
    <w:p w:rsidR="00000000" w:rsidRDefault="00443EC1">
      <w:pPr>
        <w:spacing w:before="120" w:after="120" w:line="360" w:lineRule="exact"/>
        <w:jc w:val="both"/>
        <w:rPr>
          <w:rFonts w:hint="cs"/>
          <w:rtl/>
        </w:rPr>
      </w:pPr>
      <w:r>
        <w:rPr>
          <w:rFonts w:hint="cs"/>
          <w:rtl/>
        </w:rPr>
        <w:t>775-</w:t>
      </w:r>
      <w:r>
        <w:rPr>
          <w:rFonts w:hint="cs"/>
          <w:rtl/>
        </w:rPr>
        <w:tab/>
        <w:t>لم يتغير الوضع أساساً عما تم توضيحه في الفقرة 619 من التقرير الأولي. ولكن تم منذ ذلك الحين تخصيص مساحة إضافية كمنتز</w:t>
      </w:r>
      <w:r>
        <w:rPr>
          <w:rFonts w:hint="cs"/>
          <w:rtl/>
        </w:rPr>
        <w:t>ه بحري. والآن هناك مساحة قدرها 600 47 هكتار تقريباً - أو قرابة 43 في المائة من مجموع الأراضي غير الساحلية في هونغ كونغ - محمية بموجب القانون.</w:t>
      </w:r>
    </w:p>
    <w:p w:rsidR="00000000" w:rsidRDefault="00443EC1">
      <w:pPr>
        <w:spacing w:before="120" w:after="120" w:line="360" w:lineRule="exact"/>
        <w:jc w:val="center"/>
        <w:rPr>
          <w:rFonts w:hint="cs"/>
          <w:b/>
          <w:bCs/>
          <w:rtl/>
        </w:rPr>
      </w:pPr>
      <w:r>
        <w:rPr>
          <w:rFonts w:hint="cs"/>
          <w:b/>
          <w:bCs/>
          <w:rtl/>
        </w:rPr>
        <w:t>سين- المادة 16</w:t>
      </w:r>
    </w:p>
    <w:p w:rsidR="00000000" w:rsidRDefault="00443EC1">
      <w:pPr>
        <w:spacing w:before="120" w:after="120" w:line="360" w:lineRule="exact"/>
        <w:jc w:val="center"/>
        <w:rPr>
          <w:rFonts w:hint="cs"/>
          <w:b/>
          <w:bCs/>
          <w:rtl/>
        </w:rPr>
      </w:pPr>
      <w:r>
        <w:rPr>
          <w:rFonts w:hint="cs"/>
          <w:b/>
          <w:bCs/>
          <w:rtl/>
        </w:rPr>
        <w:t>تقديم التقرير</w:t>
      </w:r>
    </w:p>
    <w:p w:rsidR="00000000" w:rsidRDefault="00443EC1">
      <w:pPr>
        <w:spacing w:before="120" w:after="120" w:line="360" w:lineRule="exact"/>
        <w:jc w:val="both"/>
        <w:rPr>
          <w:rFonts w:hint="cs"/>
          <w:spacing w:val="0"/>
          <w:rtl/>
        </w:rPr>
      </w:pPr>
      <w:r>
        <w:rPr>
          <w:rFonts w:hint="cs"/>
          <w:spacing w:val="0"/>
          <w:rtl/>
        </w:rPr>
        <w:t>776-</w:t>
      </w:r>
      <w:r>
        <w:rPr>
          <w:rFonts w:hint="cs"/>
          <w:spacing w:val="0"/>
          <w:rtl/>
        </w:rPr>
        <w:tab/>
        <w:t>طلبت الحكومة عند إعداد هذا التقرير آراء المشرعين والمنظمات غير الحكومية وأفراد ا</w:t>
      </w:r>
      <w:r>
        <w:rPr>
          <w:rFonts w:hint="cs"/>
          <w:spacing w:val="0"/>
          <w:rtl/>
        </w:rPr>
        <w:t>لجمهور ممن يهمهم الأمر.</w:t>
      </w:r>
    </w:p>
    <w:p w:rsidR="00000000" w:rsidRDefault="00443EC1">
      <w:pPr>
        <w:spacing w:before="120" w:after="120" w:line="360" w:lineRule="exact"/>
        <w:jc w:val="both"/>
        <w:rPr>
          <w:rFonts w:hint="cs"/>
          <w:rtl/>
        </w:rPr>
      </w:pPr>
      <w:r>
        <w:rPr>
          <w:rFonts w:hint="cs"/>
          <w:rtl/>
        </w:rPr>
        <w:t>777-</w:t>
      </w:r>
      <w:r>
        <w:rPr>
          <w:rFonts w:hint="cs"/>
          <w:rtl/>
        </w:rPr>
        <w:tab/>
        <w:t>ووفقاً للممارسات المقررة، كان أسلوب المشاورة يتمثل في نشر موجز لكل مقالة على حدة يتناول المواضيع التي نقترح تغطيتها. وطُلب من الموجودين إبداء التعليق على تنفيذ العهد فيما يتعلق بهذه المواضيع ولفت الانتباه إلى أي قضايا إضافية ير</w:t>
      </w:r>
      <w:r>
        <w:rPr>
          <w:rFonts w:hint="cs"/>
          <w:rtl/>
        </w:rPr>
        <w:t>ون أنه كان علينا أن ندرجها. وقد نظرنا في تعليقاتهم عند الاقتضاء في الأجزاء التي تتناول المواد ذات الصلة.</w:t>
      </w:r>
    </w:p>
    <w:p w:rsidR="00000000" w:rsidRDefault="00443EC1">
      <w:pPr>
        <w:spacing w:before="120" w:after="120" w:line="360" w:lineRule="exact"/>
        <w:jc w:val="both"/>
        <w:rPr>
          <w:rFonts w:hint="cs"/>
          <w:rtl/>
        </w:rPr>
      </w:pPr>
      <w:r>
        <w:rPr>
          <w:rFonts w:hint="cs"/>
          <w:rtl/>
        </w:rPr>
        <w:t>778-</w:t>
      </w:r>
      <w:r>
        <w:rPr>
          <w:rFonts w:hint="cs"/>
          <w:rtl/>
        </w:rPr>
        <w:tab/>
        <w:t>وأثناء المشاورات التي دارت في أواخر عام 2002 وأوائل عام 2003، اجتمع فريق الصياغة التابع للحكومة مع منظمات غير حكومية وغيرها من المنظمات لمناقشة ال</w:t>
      </w:r>
      <w:r>
        <w:rPr>
          <w:rFonts w:hint="cs"/>
          <w:rtl/>
        </w:rPr>
        <w:t>قضايا وتبادل الآراء حول عملية المشاورة. ومرة أخرى، وسيراً على الممارسة المتبعة، سينشر هذا التقرير - في مجلد ثنائي اللغة - بعد تقديمه إلى اللجنة.</w:t>
      </w:r>
    </w:p>
    <w:p w:rsidR="00000000" w:rsidRDefault="00443EC1">
      <w:pPr>
        <w:spacing w:before="120" w:after="120" w:line="360" w:lineRule="exact"/>
        <w:jc w:val="both"/>
        <w:rPr>
          <w:rtl/>
        </w:rPr>
      </w:pPr>
      <w:r>
        <w:rPr>
          <w:rFonts w:hint="cs"/>
          <w:rtl/>
        </w:rPr>
        <w:t>779-</w:t>
      </w:r>
      <w:r>
        <w:rPr>
          <w:rFonts w:hint="cs"/>
          <w:rtl/>
        </w:rPr>
        <w:tab/>
        <w:t xml:space="preserve">ووفقاً للممارسة المتَّبعة، أُرسلت نسخ من ملاحظات اللجنة الختامية على التقرير الأولي إلى القضاة والمشرعين، </w:t>
      </w:r>
      <w:r>
        <w:rPr>
          <w:rFonts w:hint="cs"/>
          <w:rtl/>
        </w:rPr>
        <w:t>والمنظمات غير الحكومية والأطراف المهتمة الأخرى.</w:t>
      </w:r>
    </w:p>
    <w:p w:rsidR="00000000" w:rsidRDefault="00443EC1">
      <w:pPr>
        <w:spacing w:line="380" w:lineRule="exact"/>
        <w:jc w:val="center"/>
        <w:rPr>
          <w:rFonts w:hint="cs"/>
          <w:b/>
          <w:bCs/>
          <w:rtl/>
        </w:rPr>
      </w:pPr>
      <w:r>
        <w:rPr>
          <w:rtl/>
        </w:rPr>
        <w:br w:type="page"/>
      </w:r>
      <w:r>
        <w:rPr>
          <w:rFonts w:hint="cs"/>
          <w:b/>
          <w:bCs/>
          <w:rtl/>
        </w:rPr>
        <w:t>الجزء الثالث</w:t>
      </w:r>
    </w:p>
    <w:p w:rsidR="00000000" w:rsidRDefault="00443EC1">
      <w:pPr>
        <w:spacing w:line="380" w:lineRule="exact"/>
        <w:jc w:val="center"/>
        <w:rPr>
          <w:rFonts w:hint="cs"/>
          <w:b/>
          <w:bCs/>
          <w:sz w:val="38"/>
          <w:szCs w:val="36"/>
          <w:rtl/>
        </w:rPr>
      </w:pPr>
      <w:r>
        <w:rPr>
          <w:rFonts w:hint="cs"/>
          <w:b/>
          <w:bCs/>
          <w:sz w:val="38"/>
          <w:szCs w:val="36"/>
          <w:rtl/>
        </w:rPr>
        <w:t>مقاطعة ماكاو الإدارية الخاصة في الصين</w:t>
      </w:r>
    </w:p>
    <w:p w:rsidR="00000000" w:rsidRDefault="00443EC1">
      <w:pPr>
        <w:spacing w:line="380" w:lineRule="exact"/>
        <w:jc w:val="center"/>
        <w:rPr>
          <w:rFonts w:hint="cs"/>
          <w:b/>
          <w:bCs/>
          <w:rtl/>
        </w:rPr>
      </w:pPr>
      <w:r>
        <w:rPr>
          <w:rFonts w:hint="cs"/>
          <w:b/>
          <w:bCs/>
          <w:rtl/>
        </w:rPr>
        <w:t>مقدمة</w:t>
      </w:r>
    </w:p>
    <w:p w:rsidR="00000000" w:rsidRDefault="00443EC1">
      <w:pPr>
        <w:spacing w:line="380" w:lineRule="exact"/>
        <w:jc w:val="both"/>
        <w:rPr>
          <w:rFonts w:hint="cs"/>
          <w:rtl/>
        </w:rPr>
      </w:pPr>
      <w:r>
        <w:rPr>
          <w:rFonts w:hint="cs"/>
          <w:rtl/>
        </w:rPr>
        <w:t>780-</w:t>
      </w:r>
      <w:r>
        <w:rPr>
          <w:rFonts w:hint="cs"/>
          <w:rtl/>
        </w:rPr>
        <w:tab/>
        <w:t>هذا التقرير هو التقرير الأول الذي تقدمه جمهورية الصين الشعبية بموجب المادتين 16 و17 من العهد الدولي الخاص بالحقوق الاقتصادية والاجتماعية والثقافي</w:t>
      </w:r>
      <w:r>
        <w:rPr>
          <w:rFonts w:hint="cs"/>
          <w:rtl/>
        </w:rPr>
        <w:t>ة (يشار إليه لاحقاً ب‍ "العهد") بشأن تطبيق العهد على مقاطعة ماكاو الإدارية الخاصة التابعة لها (يشار إليها لاحقاً ب‍ "مقاطعة ماكاو"). ويغطي التقرير الفترة من 20 كانون الأول/ديسمبر 1999 إلى 31 كانون الأول/ديسمبر 2002.</w:t>
      </w:r>
    </w:p>
    <w:p w:rsidR="00000000" w:rsidRDefault="00443EC1">
      <w:pPr>
        <w:spacing w:line="380" w:lineRule="exact"/>
        <w:jc w:val="both"/>
        <w:rPr>
          <w:rtl/>
        </w:rPr>
      </w:pPr>
      <w:r>
        <w:rPr>
          <w:rFonts w:hint="cs"/>
          <w:rtl/>
        </w:rPr>
        <w:t>781-</w:t>
      </w:r>
      <w:r>
        <w:rPr>
          <w:rFonts w:hint="cs"/>
          <w:rtl/>
        </w:rPr>
        <w:tab/>
        <w:t>وينبغي أن يُقرأ التقرير، الذي أُعدّ</w:t>
      </w:r>
      <w:r>
        <w:rPr>
          <w:rFonts w:hint="cs"/>
          <w:rtl/>
        </w:rPr>
        <w:t xml:space="preserve"> وفقاً للمبادئ التوجيهية المتعلقة بشكل ومحتوى التقارير المطلوب تقديمها من الدول الأطراف في معاهدات حقوق الإنسان الدولية </w:t>
      </w:r>
      <w:r>
        <w:t>(HRI/GEN/2/Rev.1)</w:t>
      </w:r>
      <w:r>
        <w:rPr>
          <w:rFonts w:hint="cs"/>
          <w:rtl/>
        </w:rPr>
        <w:t xml:space="preserve">، بالاقتران مع الجزء الثالث من المراجعة الثانية للوثيقة الأساسية لجمهورية الصين الشعبية </w:t>
      </w:r>
      <w:r>
        <w:t>(HRI/CORE/1/Add.21/Rev.2)</w:t>
      </w:r>
      <w:r>
        <w:rPr>
          <w:rFonts w:hint="cs"/>
          <w:rtl/>
        </w:rPr>
        <w:t xml:space="preserve">. كما </w:t>
      </w:r>
      <w:r>
        <w:rPr>
          <w:rFonts w:hint="cs"/>
          <w:rtl/>
        </w:rPr>
        <w:t xml:space="preserve">ينبغي أن تُراعى الأجزاء الثالثة من تقارير الصين عن تنفيذ الاتفاقية الدولية للقضاء على جميع أشكال التمييز العنصري </w:t>
      </w:r>
      <w:r>
        <w:t>CERD/C/357/Add.4)</w:t>
      </w:r>
      <w:r>
        <w:rPr>
          <w:rFonts w:hint="cs"/>
          <w:rtl/>
        </w:rPr>
        <w:t xml:space="preserve"> (الجزء الثالث)) واتفاقية حقوق الطفل، بشأن القضايا المتوافقة مع الموضوع.</w:t>
      </w:r>
    </w:p>
    <w:p w:rsidR="00000000" w:rsidRDefault="00443EC1">
      <w:pPr>
        <w:spacing w:line="380" w:lineRule="exact"/>
        <w:jc w:val="both"/>
        <w:rPr>
          <w:rFonts w:hint="cs"/>
          <w:rtl/>
        </w:rPr>
      </w:pPr>
      <w:r>
        <w:rPr>
          <w:rFonts w:hint="cs"/>
          <w:rtl/>
        </w:rPr>
        <w:t>782-</w:t>
      </w:r>
      <w:r>
        <w:rPr>
          <w:rFonts w:hint="cs"/>
          <w:rtl/>
        </w:rPr>
        <w:tab/>
        <w:t>دخل العهد حيز النفاذ في ماكاو في 27 تموز/يوليه 1</w:t>
      </w:r>
      <w:r>
        <w:rPr>
          <w:rFonts w:hint="cs"/>
          <w:rtl/>
        </w:rPr>
        <w:t>993</w:t>
      </w:r>
      <w:r>
        <w:rPr>
          <w:rFonts w:hint="cs"/>
          <w:vertAlign w:val="superscript"/>
          <w:rtl/>
        </w:rPr>
        <w:t>(70)</w:t>
      </w:r>
      <w:r>
        <w:rPr>
          <w:rFonts w:hint="cs"/>
          <w:rtl/>
        </w:rPr>
        <w:t xml:space="preserve">. وصدر نصه في </w:t>
      </w:r>
      <w:r>
        <w:rPr>
          <w:rFonts w:hint="cs"/>
          <w:i/>
          <w:iCs/>
          <w:rtl/>
        </w:rPr>
        <w:t>جريدة ماكاو الرسمية</w:t>
      </w:r>
      <w:r>
        <w:rPr>
          <w:rFonts w:hint="cs"/>
          <w:rtl/>
        </w:rPr>
        <w:t>، العدد 52، السلسلة طاء، الملحق الثالث، بتاريخ 31 كانون الأول/ديسمبر 1992.</w:t>
      </w:r>
    </w:p>
    <w:p w:rsidR="00000000" w:rsidRDefault="00443EC1">
      <w:pPr>
        <w:spacing w:line="380" w:lineRule="exact"/>
        <w:jc w:val="both"/>
        <w:rPr>
          <w:rFonts w:hint="cs"/>
          <w:rtl/>
        </w:rPr>
      </w:pPr>
      <w:r>
        <w:rPr>
          <w:rFonts w:hint="cs"/>
          <w:rtl/>
        </w:rPr>
        <w:t>783-</w:t>
      </w:r>
      <w:r>
        <w:rPr>
          <w:rFonts w:hint="cs"/>
          <w:rtl/>
        </w:rPr>
        <w:tab/>
        <w:t>وفي 2 كانون الأول/ديسمبر 1999، أخطرت جمهورية الصين الشعبية الأمين العام للأمم المتحدة بتحملها مسؤولية الالتزامات الناجمة عن التطبيق المت</w:t>
      </w:r>
      <w:r>
        <w:rPr>
          <w:rFonts w:hint="cs"/>
          <w:rtl/>
        </w:rPr>
        <w:t xml:space="preserve">واصل للعهد على مقاطعة ماكاو. وعقب ذلك الإخطار، أصدرت الصين الإعلان التالي: </w:t>
      </w:r>
    </w:p>
    <w:p w:rsidR="00000000" w:rsidRDefault="00443EC1">
      <w:pPr>
        <w:spacing w:line="380" w:lineRule="exact"/>
        <w:ind w:left="720"/>
        <w:jc w:val="both"/>
        <w:rPr>
          <w:rFonts w:hint="cs"/>
          <w:rtl/>
        </w:rPr>
      </w:pPr>
      <w:r>
        <w:rPr>
          <w:rFonts w:hint="cs"/>
          <w:rtl/>
        </w:rPr>
        <w:t>"1-</w:t>
      </w:r>
      <w:r>
        <w:rPr>
          <w:rFonts w:hint="cs"/>
          <w:rtl/>
        </w:rPr>
        <w:tab/>
        <w:t>لن ينال تطبيق العهد، وبالخصوص تطبيق مادته الأولى على مقاطعة ماكاو الإدارية الخاصة، من مركز ماكاو على النحو الذي يعرِّفه به الإعلان المشترك والقانون الأساسي.</w:t>
      </w:r>
    </w:p>
    <w:p w:rsidR="00000000" w:rsidRDefault="00443EC1">
      <w:pPr>
        <w:spacing w:line="380" w:lineRule="exact"/>
        <w:ind w:left="720"/>
        <w:jc w:val="both"/>
        <w:rPr>
          <w:rFonts w:hint="cs"/>
          <w:rtl/>
        </w:rPr>
      </w:pPr>
      <w:r>
        <w:rPr>
          <w:rFonts w:hint="cs"/>
          <w:rtl/>
        </w:rPr>
        <w:t>2-</w:t>
      </w:r>
      <w:r>
        <w:rPr>
          <w:rFonts w:hint="cs"/>
          <w:rtl/>
        </w:rPr>
        <w:tab/>
        <w:t>تنفّذ أحكام العه</w:t>
      </w:r>
      <w:r>
        <w:rPr>
          <w:rFonts w:hint="cs"/>
          <w:rtl/>
        </w:rPr>
        <w:t>د، التي تنطبق على مقاطعة ماكاو الإدارية الخاصة، من خلال تشريعات مقاطعة ماكاو الإدارية الخاصة.</w:t>
      </w:r>
    </w:p>
    <w:p w:rsidR="00000000" w:rsidRDefault="00443EC1">
      <w:pPr>
        <w:spacing w:line="380" w:lineRule="exact"/>
        <w:ind w:left="720"/>
        <w:jc w:val="both"/>
        <w:rPr>
          <w:rFonts w:hint="cs"/>
          <w:rtl/>
        </w:rPr>
      </w:pPr>
      <w:r>
        <w:rPr>
          <w:rFonts w:hint="cs"/>
          <w:rtl/>
        </w:rPr>
        <w:tab/>
        <w:t>لن تقيَّد الحقوق والحريات التي يحق لمقيمي ماكاو التمتع بها، ما لم ينص القانون على خلاف ذلك. وفي حالة وضع قيود، يجب ألا تتعارض هذه القيود مع أحكام العهد المطبقة ع</w:t>
      </w:r>
      <w:r>
        <w:rPr>
          <w:rFonts w:hint="cs"/>
          <w:rtl/>
        </w:rPr>
        <w:t>لى مقاطعة ماكاو الإدارية الخاصة.</w:t>
      </w:r>
    </w:p>
    <w:p w:rsidR="00000000" w:rsidRDefault="00443EC1">
      <w:pPr>
        <w:spacing w:line="380" w:lineRule="exact"/>
        <w:ind w:left="720"/>
        <w:jc w:val="both"/>
        <w:rPr>
          <w:rFonts w:hint="cs"/>
          <w:rtl/>
        </w:rPr>
      </w:pPr>
      <w:r>
        <w:rPr>
          <w:rFonts w:hint="cs"/>
          <w:rtl/>
        </w:rPr>
        <w:tab/>
        <w:t>وفي حدود ما تقدم أعلاه، تتحمل حكومة جمهورية الصين الشعبية ما تتحمّله أي دولة طرف في العهد من مسؤولية عن الحقوق والالتزامات الدولية".</w:t>
      </w:r>
    </w:p>
    <w:p w:rsidR="00000000" w:rsidRDefault="00443EC1">
      <w:pPr>
        <w:spacing w:line="380" w:lineRule="exact"/>
        <w:jc w:val="both"/>
        <w:rPr>
          <w:rFonts w:hint="cs"/>
          <w:rtl/>
        </w:rPr>
      </w:pPr>
      <w:r>
        <w:rPr>
          <w:rFonts w:hint="cs"/>
          <w:rtl/>
        </w:rPr>
        <w:t>784-</w:t>
      </w:r>
      <w:r>
        <w:rPr>
          <w:rFonts w:hint="cs"/>
          <w:rtl/>
        </w:rPr>
        <w:tab/>
        <w:t>وحيث استأنفت جمهورية الصين الشعبية ممارسة سيادتها على ماكاو، في 20 كانون الأول/ديسمب</w:t>
      </w:r>
      <w:r>
        <w:rPr>
          <w:rFonts w:hint="cs"/>
          <w:rtl/>
        </w:rPr>
        <w:t>ر 1999، أُنشئت مقاطعة ماكاو ودخل قانونها الأساسي حيز النفاذ.</w:t>
      </w:r>
    </w:p>
    <w:p w:rsidR="00000000" w:rsidRDefault="00443EC1">
      <w:pPr>
        <w:spacing w:line="380" w:lineRule="exact"/>
        <w:jc w:val="both"/>
        <w:rPr>
          <w:rFonts w:hint="cs"/>
          <w:rtl/>
        </w:rPr>
      </w:pPr>
      <w:r>
        <w:rPr>
          <w:rFonts w:hint="cs"/>
          <w:rtl/>
        </w:rPr>
        <w:t>785-</w:t>
      </w:r>
      <w:r>
        <w:rPr>
          <w:rFonts w:hint="cs"/>
          <w:rtl/>
        </w:rPr>
        <w:tab/>
        <w:t>ويتضمن القانون الأساسي، الذي لـه مكانة الدستور، عددا من المبادئ والسياسات والأحكام بموجب مبدأ "بلد واحد ونظامان". ووفقا لهذا المبدأ، لا ولن يطبق النظام الاشتراكي أو السياسات الاشتراكية على م</w:t>
      </w:r>
      <w:r>
        <w:rPr>
          <w:rFonts w:hint="cs"/>
          <w:rtl/>
        </w:rPr>
        <w:t>قاطعة ماكاو، ويظل نظامها ونمط عيشها الرأسماليان السابقان دون تغيير لمدة 50 عاماً.</w:t>
      </w:r>
    </w:p>
    <w:p w:rsidR="00000000" w:rsidRDefault="00443EC1">
      <w:pPr>
        <w:spacing w:line="380" w:lineRule="exact"/>
        <w:jc w:val="both"/>
        <w:rPr>
          <w:rFonts w:hint="cs"/>
          <w:rtl/>
        </w:rPr>
      </w:pPr>
      <w:r>
        <w:rPr>
          <w:rFonts w:hint="cs"/>
          <w:rtl/>
        </w:rPr>
        <w:t>786-</w:t>
      </w:r>
      <w:r>
        <w:rPr>
          <w:rFonts w:hint="cs"/>
          <w:rtl/>
        </w:rPr>
        <w:tab/>
        <w:t>ويقضي القانون الأساسي بوجوب الإبقاء على القوانين والمراسيم والتنظيمات الإدارية وغيرها من القوانين الشارعة السارية سابقاً في ماكاو، باستثناء ما يتعارض منها مع القانون الأ</w:t>
      </w:r>
      <w:r>
        <w:rPr>
          <w:rFonts w:hint="cs"/>
          <w:rtl/>
        </w:rPr>
        <w:t xml:space="preserve">ساسي أو يخضع لأي تنقيح من جانب الهيئة التشريعية أو غيرها من الهيئات ذات الصلة في مقاطعة ماكاو (المادة 8). وإضافة إلى ذلك، ينص القانون الأساسي على إمكانية مواصلة تنفيذ الاتفاقات الدولية التي لا تكون فيها جمهورية الصين الشعبية طرفاً ولكن تكون سارية في ماكاو </w:t>
      </w:r>
      <w:r>
        <w:rPr>
          <w:rFonts w:hint="cs"/>
          <w:rtl/>
        </w:rPr>
        <w:t>(المادة 138(2)).</w:t>
      </w:r>
    </w:p>
    <w:p w:rsidR="00000000" w:rsidRDefault="00443EC1">
      <w:pPr>
        <w:spacing w:line="380" w:lineRule="exact"/>
        <w:jc w:val="both"/>
        <w:rPr>
          <w:rFonts w:hint="cs"/>
          <w:rtl/>
        </w:rPr>
      </w:pPr>
      <w:r>
        <w:rPr>
          <w:rFonts w:hint="cs"/>
          <w:rtl/>
        </w:rPr>
        <w:t>787-</w:t>
      </w:r>
      <w:r>
        <w:rPr>
          <w:rFonts w:hint="cs"/>
          <w:rtl/>
        </w:rPr>
        <w:tab/>
        <w:t>وفي ما يتعلق بالعهد تحديدا، تنص المادة 40 من القانون الأساسي على ما يلي:</w:t>
      </w:r>
    </w:p>
    <w:p w:rsidR="00000000" w:rsidRDefault="00443EC1">
      <w:pPr>
        <w:spacing w:line="380" w:lineRule="exact"/>
        <w:ind w:left="720"/>
        <w:jc w:val="both"/>
        <w:rPr>
          <w:rFonts w:hint="cs"/>
          <w:rtl/>
        </w:rPr>
      </w:pPr>
      <w:r>
        <w:rPr>
          <w:rFonts w:hint="cs"/>
          <w:rtl/>
        </w:rPr>
        <w:t>"تظل أحكام ... العهد الدولي الخاص بالحقوق الاقتصادية والاجتماعية والثقافية ... بالصيغة التي تطبَّق بها على ماكاو نافذة وتطبَّق من خلال تشريعات مقاطعة ماكاو الإدا</w:t>
      </w:r>
      <w:r>
        <w:rPr>
          <w:rFonts w:hint="cs"/>
          <w:rtl/>
        </w:rPr>
        <w:t>رية الخاصة".</w:t>
      </w:r>
    </w:p>
    <w:p w:rsidR="00000000" w:rsidRDefault="00443EC1">
      <w:pPr>
        <w:spacing w:line="380" w:lineRule="exact"/>
        <w:jc w:val="both"/>
        <w:rPr>
          <w:rFonts w:hint="cs"/>
          <w:rtl/>
        </w:rPr>
      </w:pPr>
      <w:r>
        <w:rPr>
          <w:rFonts w:hint="cs"/>
          <w:rtl/>
        </w:rPr>
        <w:t>788-</w:t>
      </w:r>
      <w:r>
        <w:rPr>
          <w:rFonts w:hint="cs"/>
          <w:rtl/>
        </w:rPr>
        <w:tab/>
        <w:t xml:space="preserve">وأعربت اللجنة عن بالغ قلقها بسبب عدم إلمام السكان بالنظام القضائي، إضافة إلى عدم نشر المبادئ والحقوق الواردة في العهد بصفة كافية. وتتصل بعض القضايا الأخرى التي تبعث على القلق بعدم حصول غير المقيمين على حماية الضمان الاجتماعي وقلة البرامج </w:t>
      </w:r>
      <w:r>
        <w:rPr>
          <w:rFonts w:hint="cs"/>
          <w:rtl/>
        </w:rPr>
        <w:t>الخاصة لفائدة المعاقين جسديا في مجالات العمالة والتعليم والوصول إلى المرافق العامة.</w:t>
      </w:r>
    </w:p>
    <w:p w:rsidR="00000000" w:rsidRDefault="00443EC1">
      <w:pPr>
        <w:spacing w:line="380" w:lineRule="exact"/>
        <w:jc w:val="both"/>
        <w:rPr>
          <w:rFonts w:hint="cs"/>
          <w:rtl/>
        </w:rPr>
      </w:pPr>
      <w:r>
        <w:rPr>
          <w:rFonts w:hint="cs"/>
          <w:rtl/>
        </w:rPr>
        <w:t>789-</w:t>
      </w:r>
      <w:r>
        <w:rPr>
          <w:rFonts w:hint="cs"/>
          <w:rtl/>
        </w:rPr>
        <w:tab/>
        <w:t>ويجدر التنويه بالجهود الهائلة والخطوات الهامة التي اتُّخذت منذ إعادة التوحيد بهدف تأمين تمتُّع سكان مقاطعة ماكاو الكامل بالحقوق الواردة في العهد. ومن الأمثلة على ذلك ت</w:t>
      </w:r>
      <w:r>
        <w:rPr>
          <w:rFonts w:hint="cs"/>
          <w:rtl/>
        </w:rPr>
        <w:t>وسيع نطاق حماية الضمان الاجتماعي، وتوفير ظروف حياة أفضل وتحسين نوعيتها لفائدة المعاقين والمبادرات المكثفة والموسعة للنهوض بحقوق الإنسان وتعميمها.</w:t>
      </w:r>
    </w:p>
    <w:p w:rsidR="00000000" w:rsidRDefault="00443EC1">
      <w:pPr>
        <w:spacing w:line="380" w:lineRule="exact"/>
        <w:jc w:val="center"/>
        <w:rPr>
          <w:rFonts w:hint="cs"/>
          <w:b/>
          <w:bCs/>
          <w:rtl/>
        </w:rPr>
      </w:pPr>
      <w:r>
        <w:rPr>
          <w:rFonts w:hint="cs"/>
          <w:b/>
          <w:bCs/>
          <w:rtl/>
        </w:rPr>
        <w:t>المادة 1</w:t>
      </w:r>
    </w:p>
    <w:p w:rsidR="00000000" w:rsidRDefault="00443EC1">
      <w:pPr>
        <w:spacing w:line="380" w:lineRule="exact"/>
        <w:jc w:val="center"/>
        <w:rPr>
          <w:rFonts w:hint="cs"/>
          <w:b/>
          <w:bCs/>
          <w:rtl/>
        </w:rPr>
      </w:pPr>
      <w:r>
        <w:rPr>
          <w:rFonts w:hint="cs"/>
          <w:b/>
          <w:bCs/>
          <w:rtl/>
        </w:rPr>
        <w:t>الاستقلال الذاتي لمقاطعة ماكاو الإدارية الخاصة</w:t>
      </w:r>
    </w:p>
    <w:p w:rsidR="00000000" w:rsidRDefault="00443EC1">
      <w:pPr>
        <w:spacing w:line="380" w:lineRule="exact"/>
        <w:jc w:val="both"/>
        <w:rPr>
          <w:rFonts w:hint="cs"/>
          <w:rtl/>
        </w:rPr>
      </w:pPr>
      <w:r>
        <w:rPr>
          <w:rFonts w:hint="cs"/>
          <w:rtl/>
        </w:rPr>
        <w:t>790-</w:t>
      </w:r>
      <w:r>
        <w:rPr>
          <w:rFonts w:hint="cs"/>
          <w:rtl/>
        </w:rPr>
        <w:tab/>
        <w:t>للقانون الأساسي، مثلما أسلفنا، مرتبة دستورية إضاف</w:t>
      </w:r>
      <w:r>
        <w:rPr>
          <w:rFonts w:hint="cs"/>
          <w:rtl/>
        </w:rPr>
        <w:t>ة إلى تحديده المبادئ العامة المتعلقة بمقاطعة ماكاو، فضلاً عن القواعد المتعلقة بالعلاقة بين السلطات المركزية والمقاطعة، والحقوق والواجبات الأساسية لمواطني المقاطعة، وهيكلها السياسي، واقتصادها وشؤونها الثقافية والاجتماعية وشؤونها الخارجية. ويشمل القانون الأس</w:t>
      </w:r>
      <w:r>
        <w:rPr>
          <w:rFonts w:hint="cs"/>
          <w:rtl/>
        </w:rPr>
        <w:t>اسي أيضاً قواعد تتصل بتفسيره وتنقيحه، وأحكاماً إضافية وثلاثة مرفقات. ويتعلق المرفقان الأوّلان على التوالي بطريقة اختيار رئيس السلطة التنفيذية وطريقة تشكيل الجمعية التشريعية. ويسرد المرفق الثالث القوانين الوطنية السارية في مقاطعة ماكاو.</w:t>
      </w:r>
    </w:p>
    <w:p w:rsidR="00000000" w:rsidRDefault="00443EC1">
      <w:pPr>
        <w:spacing w:line="380" w:lineRule="exact"/>
        <w:jc w:val="both"/>
        <w:rPr>
          <w:rFonts w:hint="cs"/>
          <w:rtl/>
        </w:rPr>
      </w:pPr>
      <w:r>
        <w:rPr>
          <w:rFonts w:hint="cs"/>
          <w:rtl/>
        </w:rPr>
        <w:t>791-</w:t>
      </w:r>
      <w:r>
        <w:rPr>
          <w:rFonts w:hint="cs"/>
          <w:rtl/>
        </w:rPr>
        <w:tab/>
        <w:t xml:space="preserve">وبموجب القانون </w:t>
      </w:r>
      <w:r>
        <w:rPr>
          <w:rFonts w:hint="cs"/>
          <w:rtl/>
        </w:rPr>
        <w:t>الأساسي، تمارس مقاطعة ماكاو درجة عالية من الحكم الذاتي باستثناء الشؤون الخارجية وشؤون الدفاع، التي تتحمل مسؤوليتها الحكومة المركزية لجمهورية الصين الشعبية، وتتمتع المقاطعة بالسلطات التنفيذية والتشريعية والقضائية المستقلة، بما في ذلك سلطة إصدار أحكام نهائية</w:t>
      </w:r>
      <w:r>
        <w:rPr>
          <w:rFonts w:hint="cs"/>
          <w:rtl/>
        </w:rPr>
        <w:t>.</w:t>
      </w:r>
    </w:p>
    <w:p w:rsidR="00000000" w:rsidRDefault="00443EC1">
      <w:pPr>
        <w:spacing w:line="380" w:lineRule="exact"/>
        <w:jc w:val="both"/>
        <w:rPr>
          <w:rFonts w:hint="cs"/>
          <w:rtl/>
        </w:rPr>
      </w:pPr>
      <w:r>
        <w:rPr>
          <w:rFonts w:hint="cs"/>
          <w:rtl/>
        </w:rPr>
        <w:t>792-</w:t>
      </w:r>
      <w:r>
        <w:rPr>
          <w:rFonts w:hint="cs"/>
          <w:rtl/>
        </w:rPr>
        <w:tab/>
        <w:t>وبنص القانون الأساسي على وجوب أن تتألف السلطات التنفيذية والتشريعية لمقاطعة ماكاو من السكان المقيمين بصفة دائمة في ماكاو (المادة 3)، فإن ذلك القانون يكفل كذلك حكم المقاطعة من جانب سكانها.</w:t>
      </w:r>
    </w:p>
    <w:p w:rsidR="00000000" w:rsidRDefault="00443EC1">
      <w:pPr>
        <w:spacing w:line="380" w:lineRule="exact"/>
        <w:jc w:val="both"/>
        <w:rPr>
          <w:rFonts w:hint="cs"/>
          <w:rtl/>
        </w:rPr>
      </w:pPr>
      <w:r>
        <w:rPr>
          <w:rFonts w:hint="cs"/>
          <w:rtl/>
        </w:rPr>
        <w:t>793-</w:t>
      </w:r>
      <w:r>
        <w:rPr>
          <w:rFonts w:hint="cs"/>
          <w:rtl/>
        </w:rPr>
        <w:tab/>
        <w:t>واستناداً إلى القانون الأساسي، فإن حكومة مقاطعة ماكاو مس</w:t>
      </w:r>
      <w:r>
        <w:rPr>
          <w:rFonts w:hint="cs"/>
          <w:rtl/>
        </w:rPr>
        <w:t>ؤولة عن إدارة الأراضي والموارد الطبيعية والاستفادة منها وتنميتها داخل المقاطعة وعن تأجيرها أو منحها لأشخاص طبيعيين أو قانونيين، باستثناء الأراضي الخاصة المعترَف بها وفقاً للقوانين السارية قبل إنشاء مقاطعة ماكاو. وتظلّ عائدات تلك الأراضي والموارد الطبيعية ت</w:t>
      </w:r>
      <w:r>
        <w:rPr>
          <w:rFonts w:hint="cs"/>
          <w:rtl/>
        </w:rPr>
        <w:t>حت تصرف حكومة المقاطعة حكراً لها (المادة 7).</w:t>
      </w:r>
    </w:p>
    <w:p w:rsidR="00000000" w:rsidRDefault="00443EC1">
      <w:pPr>
        <w:spacing w:line="380" w:lineRule="exact"/>
        <w:jc w:val="both"/>
        <w:rPr>
          <w:rFonts w:hint="cs"/>
          <w:rtl/>
        </w:rPr>
      </w:pPr>
      <w:r>
        <w:rPr>
          <w:rFonts w:hint="cs"/>
          <w:rtl/>
        </w:rPr>
        <w:t>794-</w:t>
      </w:r>
      <w:r>
        <w:rPr>
          <w:rFonts w:hint="cs"/>
          <w:rtl/>
        </w:rPr>
        <w:tab/>
        <w:t xml:space="preserve">ويحق لمقاطعة ماكاو أن تختار وتنفِّذ بنفسها سياساتها في المجالات الاقتصادية والمالية والثقافية والاجتماعية، وأن تحدِّد الأولويات وآليات التنفيذ ذات الصلة. وفي إطار التشديد أيضاًَ على ممارسة الاستقلال الذاتي </w:t>
      </w:r>
      <w:r>
        <w:rPr>
          <w:rFonts w:hint="cs"/>
          <w:rtl/>
        </w:rPr>
        <w:t>تبقى مقاطعة ماكاو منطقة جمركية منفصلة. وتدير المقاطعة جميع العائدات المالية والضريبية وتتحكم فيها ولا تُسلّمها إلى الحكومة المركزية، التي لا تفرض أية رسوم في المقاطعة.</w:t>
      </w:r>
    </w:p>
    <w:p w:rsidR="00000000" w:rsidRDefault="00443EC1">
      <w:pPr>
        <w:spacing w:line="380" w:lineRule="exact"/>
        <w:jc w:val="both"/>
        <w:rPr>
          <w:rFonts w:hint="cs"/>
          <w:rtl/>
        </w:rPr>
      </w:pPr>
      <w:r>
        <w:rPr>
          <w:rFonts w:hint="cs"/>
          <w:rtl/>
        </w:rPr>
        <w:t>795-</w:t>
      </w:r>
      <w:r>
        <w:rPr>
          <w:rFonts w:hint="cs"/>
          <w:rtl/>
        </w:rPr>
        <w:tab/>
        <w:t>ويمكن الاطلاع على مزيد من المعلومات المتعلقة بالإطار السياسي والمؤسسي لمقاطعة ماكاو</w:t>
      </w:r>
      <w:r>
        <w:rPr>
          <w:rFonts w:hint="cs"/>
          <w:rtl/>
        </w:rPr>
        <w:t xml:space="preserve"> في الجزء الثالث من الصيغة المراجعة الثانية للوثيقة الأساسية للصين </w:t>
      </w:r>
      <w:r>
        <w:t>(HRI/CORE/1/Add.21/Rev.2)</w:t>
      </w:r>
      <w:r>
        <w:rPr>
          <w:rFonts w:hint="cs"/>
          <w:rtl/>
        </w:rPr>
        <w:t>.</w:t>
      </w:r>
    </w:p>
    <w:p w:rsidR="00000000" w:rsidRDefault="00443EC1">
      <w:pPr>
        <w:spacing w:line="380" w:lineRule="exact"/>
        <w:jc w:val="center"/>
        <w:rPr>
          <w:rFonts w:hint="cs"/>
          <w:b/>
          <w:bCs/>
          <w:rtl/>
        </w:rPr>
      </w:pPr>
      <w:r>
        <w:rPr>
          <w:rFonts w:hint="cs"/>
          <w:b/>
          <w:bCs/>
          <w:rtl/>
        </w:rPr>
        <w:t>المادة 2</w:t>
      </w:r>
    </w:p>
    <w:p w:rsidR="00000000" w:rsidRDefault="00443EC1">
      <w:pPr>
        <w:spacing w:line="380" w:lineRule="exact"/>
        <w:jc w:val="center"/>
        <w:rPr>
          <w:rFonts w:hint="cs"/>
          <w:b/>
          <w:bCs/>
          <w:rtl/>
        </w:rPr>
      </w:pPr>
      <w:r>
        <w:rPr>
          <w:rFonts w:hint="cs"/>
          <w:b/>
          <w:bCs/>
          <w:rtl/>
        </w:rPr>
        <w:t>الاعتراف بالحقوق المكفولة بموجب العهد وإعمالها</w:t>
      </w:r>
    </w:p>
    <w:p w:rsidR="00000000" w:rsidRDefault="00443EC1">
      <w:pPr>
        <w:spacing w:line="380" w:lineRule="exact"/>
        <w:jc w:val="center"/>
        <w:rPr>
          <w:rFonts w:hint="cs"/>
          <w:b/>
          <w:bCs/>
          <w:rtl/>
        </w:rPr>
      </w:pPr>
      <w:r>
        <w:rPr>
          <w:rFonts w:hint="cs"/>
          <w:b/>
          <w:bCs/>
          <w:rtl/>
        </w:rPr>
        <w:t>ألف - عدم التمييز في ضمان الحقوق</w:t>
      </w:r>
    </w:p>
    <w:p w:rsidR="00000000" w:rsidRDefault="00443EC1">
      <w:pPr>
        <w:spacing w:line="380" w:lineRule="exact"/>
        <w:jc w:val="both"/>
        <w:rPr>
          <w:rFonts w:hint="cs"/>
          <w:rtl/>
        </w:rPr>
      </w:pPr>
      <w:r>
        <w:rPr>
          <w:rFonts w:hint="cs"/>
          <w:rtl/>
        </w:rPr>
        <w:t>796-</w:t>
      </w:r>
      <w:r>
        <w:rPr>
          <w:rFonts w:hint="cs"/>
          <w:rtl/>
        </w:rPr>
        <w:tab/>
        <w:t>يتجذّر احترام حقوق الإنسان والحريات الأساسية تجذُّراً عميقاً في النظ</w:t>
      </w:r>
      <w:r>
        <w:rPr>
          <w:rFonts w:hint="cs"/>
          <w:rtl/>
        </w:rPr>
        <w:t>ام القانوني لمقاطعة ماكاو.</w:t>
      </w:r>
    </w:p>
    <w:p w:rsidR="00000000" w:rsidRDefault="00443EC1">
      <w:pPr>
        <w:spacing w:line="380" w:lineRule="exact"/>
        <w:jc w:val="both"/>
        <w:rPr>
          <w:rFonts w:hint="cs"/>
          <w:rtl/>
        </w:rPr>
      </w:pPr>
      <w:r>
        <w:rPr>
          <w:rFonts w:hint="cs"/>
          <w:rtl/>
        </w:rPr>
        <w:t>797-</w:t>
      </w:r>
      <w:r>
        <w:rPr>
          <w:rFonts w:hint="cs"/>
          <w:rtl/>
        </w:rPr>
        <w:tab/>
        <w:t>ومن المبادئ العامة لمقاطعة ماكاو، في حد ذاتها، ضمان حقوق وحريات المقيمين فيها وغيرهم من الأشخاص في المقاطعة وفقاً للقانون (المادة 4 من القانون الأساسي).</w:t>
      </w:r>
    </w:p>
    <w:p w:rsidR="00000000" w:rsidRDefault="00443EC1">
      <w:pPr>
        <w:spacing w:line="380" w:lineRule="exact"/>
        <w:jc w:val="both"/>
        <w:rPr>
          <w:rFonts w:hint="cs"/>
          <w:rtl/>
        </w:rPr>
      </w:pPr>
      <w:r>
        <w:rPr>
          <w:rFonts w:hint="cs"/>
          <w:rtl/>
        </w:rPr>
        <w:t>798-</w:t>
      </w:r>
      <w:r>
        <w:rPr>
          <w:rFonts w:hint="cs"/>
          <w:rtl/>
        </w:rPr>
        <w:tab/>
        <w:t xml:space="preserve">ويتضمن الفصل الثالث من القانون الأساسي الأحكام الموضوعية الرئيسية </w:t>
      </w:r>
      <w:r>
        <w:rPr>
          <w:rFonts w:hint="cs"/>
          <w:rtl/>
        </w:rPr>
        <w:t>المتعلقة بالحقوق الأساسية. غير أن المادة 41 تشمل حقوقاً وحريات أساسية أخرى يضمنها القانون، كما تكفل فصولٌ أخرى من القانون الأساسي بعضَ الحقوق الأساسية الإضافية، وبالخصوص الحقوق الاقتصادية والاجتماعية والثقافية. وهذه الطائفة من الحقوق والحريات الأساسية محمي</w:t>
      </w:r>
      <w:r>
        <w:rPr>
          <w:rFonts w:hint="cs"/>
          <w:rtl/>
        </w:rPr>
        <w:t>ة أيضاً بموجب العديد من المعاهدات السارية في مقاطعة ماكاو. وتشكِّل المعاهدات الدولية المنطبقة جزءاً لا يتجزأ من النظام القانوني للمقاطعة.</w:t>
      </w:r>
    </w:p>
    <w:p w:rsidR="00000000" w:rsidRDefault="00443EC1">
      <w:pPr>
        <w:spacing w:line="380" w:lineRule="exact"/>
        <w:jc w:val="both"/>
        <w:rPr>
          <w:rFonts w:hint="cs"/>
          <w:rtl/>
        </w:rPr>
      </w:pPr>
      <w:r>
        <w:rPr>
          <w:rFonts w:hint="cs"/>
          <w:rtl/>
        </w:rPr>
        <w:t>799-</w:t>
      </w:r>
      <w:r>
        <w:rPr>
          <w:rFonts w:hint="cs"/>
          <w:rtl/>
        </w:rPr>
        <w:tab/>
        <w:t>ويُضمن التمتع بالحقوق الأساسية للمقيمين في مقاطعة ماكاو المنصوص عليها في الفصل الثالث من القانون الأساسي لغير الم</w:t>
      </w:r>
      <w:r>
        <w:rPr>
          <w:rFonts w:hint="cs"/>
          <w:rtl/>
        </w:rPr>
        <w:t>قيمين وفقاً للقانون (المادة 43 من القانون الأساسي).</w:t>
      </w:r>
    </w:p>
    <w:p w:rsidR="00000000" w:rsidRDefault="00443EC1">
      <w:pPr>
        <w:spacing w:line="380" w:lineRule="exact"/>
        <w:jc w:val="both"/>
        <w:rPr>
          <w:rFonts w:hint="cs"/>
          <w:rtl/>
        </w:rPr>
      </w:pPr>
      <w:r>
        <w:rPr>
          <w:rFonts w:hint="cs"/>
          <w:rtl/>
        </w:rPr>
        <w:t>800-</w:t>
      </w:r>
      <w:r>
        <w:rPr>
          <w:rFonts w:hint="cs"/>
          <w:rtl/>
        </w:rPr>
        <w:tab/>
        <w:t xml:space="preserve">وتتضمن المادة 25 من القانون الأساسي بوضوح الحق في المساواة دون تمييز فيما يتعلق بالجنسية أو الأصل أو العرق أو نوع الجنس أو اللغة أو الدين أو المعتقد السياسي أو المذهب الإيديولوجي أو المستوى التعليمي </w:t>
      </w:r>
      <w:r>
        <w:rPr>
          <w:rFonts w:hint="cs"/>
          <w:rtl/>
        </w:rPr>
        <w:t>أو المركز الاقتصادي أو الوضع الاجتماعي. ومن جهة أخرى، تنص المادة 44 على وجوب أن يمتثل جميع الأشخاص في مقاطعة ماكاو إلى القوانين السارية فيها.</w:t>
      </w:r>
    </w:p>
    <w:p w:rsidR="00000000" w:rsidRDefault="00443EC1">
      <w:pPr>
        <w:spacing w:line="380" w:lineRule="exact"/>
        <w:jc w:val="both"/>
        <w:rPr>
          <w:rFonts w:hint="cs"/>
          <w:rtl/>
        </w:rPr>
      </w:pPr>
      <w:r>
        <w:rPr>
          <w:rFonts w:hint="cs"/>
          <w:rtl/>
        </w:rPr>
        <w:t>801</w:t>
      </w:r>
      <w:r>
        <w:rPr>
          <w:rFonts w:hint="cs"/>
          <w:rtl/>
        </w:rPr>
        <w:tab/>
        <w:t xml:space="preserve">وإن كانت المساواة حقاً أساسياً من الحقوق الفردية، إلى جانب الشرعية والدعاية، إلاّ أنها تشكل أيضاً أحد المبادئ </w:t>
      </w:r>
      <w:r>
        <w:rPr>
          <w:rFonts w:hint="cs"/>
          <w:rtl/>
        </w:rPr>
        <w:t>الإيجابية الرئيسية في النظام القانوني لمقاطعة ماكاو.</w:t>
      </w:r>
    </w:p>
    <w:p w:rsidR="00000000" w:rsidRDefault="00443EC1">
      <w:pPr>
        <w:spacing w:line="380" w:lineRule="exact"/>
        <w:jc w:val="both"/>
        <w:rPr>
          <w:rFonts w:hint="cs"/>
          <w:rtl/>
        </w:rPr>
      </w:pPr>
      <w:r>
        <w:rPr>
          <w:rFonts w:hint="cs"/>
          <w:rtl/>
        </w:rPr>
        <w:t>802-</w:t>
      </w:r>
      <w:r>
        <w:rPr>
          <w:rFonts w:hint="cs"/>
          <w:rtl/>
        </w:rPr>
        <w:tab/>
        <w:t>كما تدعم التشريعات العادية حماية حقوق الإنسان والحريات الأساسية الواردة في القانون الأساسي.</w:t>
      </w:r>
    </w:p>
    <w:p w:rsidR="00000000" w:rsidRDefault="00443EC1">
      <w:pPr>
        <w:spacing w:line="380" w:lineRule="exact"/>
        <w:jc w:val="both"/>
        <w:rPr>
          <w:rFonts w:hint="cs"/>
          <w:rtl/>
        </w:rPr>
      </w:pPr>
      <w:r>
        <w:rPr>
          <w:rFonts w:hint="cs"/>
          <w:rtl/>
        </w:rPr>
        <w:t>803-</w:t>
      </w:r>
      <w:r>
        <w:rPr>
          <w:rFonts w:hint="cs"/>
          <w:rtl/>
        </w:rPr>
        <w:tab/>
        <w:t>وفي مجال العلاقات بين الحكومة والأفراد، تتعهد الحكومة بعدم محاباة أي طرف أو تفضيله على غيره أو التحام</w:t>
      </w:r>
      <w:r>
        <w:rPr>
          <w:rFonts w:hint="cs"/>
          <w:rtl/>
        </w:rPr>
        <w:t>ل عليه أو حرمانه من أي حق من حقوقه أو إعفاؤه من أية التزامات، بسبب الأصل أو نوع الجنس أو العرق أو اللغة أو إقليم المنشأ أو الدين أو المعتقدات السياسية أو الإيديولوجية أو المستوى التعليمي أو الوضع الاقتصادي أو الاجتماعي (المادة 5(1) من قانون الإجراءات الإدا</w:t>
      </w:r>
      <w:r>
        <w:rPr>
          <w:rFonts w:hint="cs"/>
          <w:rtl/>
        </w:rPr>
        <w:t xml:space="preserve">رية المصادَق عليه بموجب المرسوم بقانون </w:t>
      </w:r>
      <w:r>
        <w:rPr>
          <w:rtl/>
        </w:rPr>
        <w:br/>
      </w:r>
      <w:r>
        <w:rPr>
          <w:rFonts w:hint="cs"/>
          <w:rtl/>
        </w:rPr>
        <w:t>57/99/م المؤرخ 11 تشرين الأول/أكتوبر).</w:t>
      </w:r>
    </w:p>
    <w:p w:rsidR="00000000" w:rsidRDefault="00443EC1">
      <w:pPr>
        <w:spacing w:line="380" w:lineRule="exact"/>
        <w:jc w:val="both"/>
        <w:rPr>
          <w:rFonts w:hint="cs"/>
          <w:rtl/>
        </w:rPr>
      </w:pPr>
      <w:r>
        <w:rPr>
          <w:rFonts w:hint="cs"/>
          <w:rtl/>
        </w:rPr>
        <w:t>804-</w:t>
      </w:r>
      <w:r>
        <w:rPr>
          <w:rFonts w:hint="cs"/>
          <w:rtl/>
        </w:rPr>
        <w:tab/>
        <w:t>وتتضمن العديد من القوانين الأخرى صراحة المبدأ ذاته، كما ينص عليه الإطار القانوني الخاص بسياسات الأسرة (القانون 6/94/م المؤرخ 1 آب/أغسطس)، والإطار القانوني بشأن العمالة وحقو</w:t>
      </w:r>
      <w:r>
        <w:rPr>
          <w:rFonts w:hint="cs"/>
          <w:rtl/>
        </w:rPr>
        <w:t xml:space="preserve">ق العمل (القانون </w:t>
      </w:r>
      <w:r>
        <w:rPr>
          <w:rtl/>
        </w:rPr>
        <w:br/>
      </w:r>
      <w:r>
        <w:rPr>
          <w:rFonts w:hint="cs"/>
          <w:rtl/>
        </w:rPr>
        <w:t>4/98/م المؤرخ 27 تموز/يوليه) والإطار القانوني بشأن النظام التعليمي (القانون 11/91/م المؤرخ 29 آب/أغسطس).</w:t>
      </w:r>
    </w:p>
    <w:p w:rsidR="00000000" w:rsidRDefault="00443EC1">
      <w:pPr>
        <w:spacing w:line="380" w:lineRule="exact"/>
        <w:jc w:val="both"/>
        <w:rPr>
          <w:rFonts w:hint="cs"/>
          <w:rtl/>
        </w:rPr>
      </w:pPr>
      <w:r>
        <w:rPr>
          <w:rFonts w:hint="cs"/>
          <w:rtl/>
        </w:rPr>
        <w:t>805-</w:t>
      </w:r>
      <w:r>
        <w:rPr>
          <w:rFonts w:hint="cs"/>
          <w:rtl/>
        </w:rPr>
        <w:tab/>
        <w:t>وتلتزم حكومة مقاطعة ماكاو التزاماً كاملاً بإعمال حقوق الإنسان والحريات الأساسية في المقاطعة.</w:t>
      </w:r>
    </w:p>
    <w:p w:rsidR="00000000" w:rsidRDefault="00443EC1">
      <w:pPr>
        <w:spacing w:line="380" w:lineRule="exact"/>
        <w:jc w:val="center"/>
        <w:rPr>
          <w:rFonts w:hint="cs"/>
          <w:b/>
          <w:bCs/>
          <w:rtl/>
        </w:rPr>
      </w:pPr>
      <w:r>
        <w:rPr>
          <w:rFonts w:hint="cs"/>
          <w:b/>
          <w:bCs/>
          <w:rtl/>
        </w:rPr>
        <w:t>باء - التدابير المتخذة لإعمال الحقو</w:t>
      </w:r>
      <w:r>
        <w:rPr>
          <w:rFonts w:hint="cs"/>
          <w:b/>
          <w:bCs/>
          <w:rtl/>
        </w:rPr>
        <w:t>ق الاقتصادية والاجتماعية والثقافية</w:t>
      </w:r>
    </w:p>
    <w:p w:rsidR="00000000" w:rsidRDefault="00443EC1">
      <w:pPr>
        <w:spacing w:line="380" w:lineRule="exact"/>
        <w:jc w:val="both"/>
        <w:rPr>
          <w:rFonts w:hint="cs"/>
          <w:rtl/>
        </w:rPr>
      </w:pPr>
      <w:r>
        <w:rPr>
          <w:rFonts w:hint="cs"/>
          <w:rtl/>
        </w:rPr>
        <w:t>806-</w:t>
      </w:r>
      <w:r>
        <w:rPr>
          <w:rFonts w:hint="cs"/>
          <w:rtl/>
        </w:rPr>
        <w:tab/>
        <w:t>كما أسلفنا، يتمتع جميع الأشخاص في مقاطعة ماكاو، بغض النظر عن العرق أو الأصل أو الدين أو نوع الجنس، بالمساواة أمام القانون ويخضعون للقانون ذاته. ولا تعلو أية سلطة حكومية ولا يعلو أي مسؤول حكومي أو أي فرد على القانون.</w:t>
      </w:r>
    </w:p>
    <w:p w:rsidR="00000000" w:rsidRDefault="00443EC1">
      <w:pPr>
        <w:spacing w:line="380" w:lineRule="exact"/>
        <w:jc w:val="both"/>
        <w:rPr>
          <w:rFonts w:hint="cs"/>
          <w:rtl/>
        </w:rPr>
      </w:pPr>
      <w:r>
        <w:rPr>
          <w:rFonts w:hint="cs"/>
          <w:rtl/>
        </w:rPr>
        <w:t>807-</w:t>
      </w:r>
      <w:r>
        <w:rPr>
          <w:rFonts w:hint="cs"/>
          <w:rtl/>
        </w:rPr>
        <w:tab/>
        <w:t>ويضمن القانون الأساسي للجميع الحق في اللجوء إلى القانون وفي تقديم الشكاوى إلى المحاكم، وفي تلقي المساعدة من محامٍ بهدف حماية حقوقهم ومصالحهم القانونية، وفي سبل الانتصاف القضائية. ولكل فرد الحق في رفع دعاوى قانونية أمام المحاكم، بما في ذلك الدعاوى المو</w:t>
      </w:r>
      <w:r>
        <w:rPr>
          <w:rFonts w:hint="cs"/>
          <w:rtl/>
        </w:rPr>
        <w:t>جّهة ضد الأفعال التي ترتكبها السلطات التنفيذية والعاملون فيها (المادة 36 بالاقتران مع المادة 43). ويمكن الاحتجاج مباشرة أمام المحاكم بحقوق الإنسان الفردية، بوصف تلك الحقوق جزءاً لا يتجزأ من النظام القانوني لمقاطعة ماكاو.</w:t>
      </w:r>
    </w:p>
    <w:p w:rsidR="00000000" w:rsidRDefault="00443EC1">
      <w:pPr>
        <w:spacing w:line="380" w:lineRule="exact"/>
        <w:jc w:val="both"/>
        <w:rPr>
          <w:rFonts w:hint="cs"/>
          <w:rtl/>
        </w:rPr>
      </w:pPr>
      <w:r>
        <w:rPr>
          <w:rFonts w:hint="cs"/>
          <w:rtl/>
        </w:rPr>
        <w:t>808-</w:t>
      </w:r>
      <w:r>
        <w:rPr>
          <w:rFonts w:hint="cs"/>
          <w:rtl/>
        </w:rPr>
        <w:tab/>
        <w:t>غير أن ضمان حقوق الإنسان وإعما</w:t>
      </w:r>
      <w:r>
        <w:rPr>
          <w:rFonts w:hint="cs"/>
          <w:rtl/>
        </w:rPr>
        <w:t>لها مكفولان أيضاً من خلال سبل الانتصاف شبه القضائية وغير القضائية. وجدير بالذكر أن مجموعة متزايدة من القواعد توجد حالياً كوسيلة لحماية الحريات الأساسية في هذا الإطار، مثل: الحق في تقديم شكاوى للجمعية التشريعية، وهو حق بالرغم من قيامه سابقاً أصبح معترَفاً ب</w:t>
      </w:r>
      <w:r>
        <w:rPr>
          <w:rFonts w:hint="cs"/>
          <w:rtl/>
        </w:rPr>
        <w:t>ه حالياً على الصعيد الدستوري (في المادة 71(6) من القانون الأساسي)، وحق تقديم عرائض بموجب القانون 5/94/م المؤرخ 1 آب/أغسطس الذي أبقي عليه، فضلاً عن الحق في تقديم الشكاوى إلى لجنة مكافحة الفساد، وكان ذلك ممكناً أيضاً قبل إعادة التوحيد وعُزِّز كذلك بواسطة الق</w:t>
      </w:r>
      <w:r>
        <w:rPr>
          <w:rFonts w:hint="cs"/>
          <w:rtl/>
        </w:rPr>
        <w:t>انون الجديد المعني بقانون تلك اللجنة وسلطاتها (القانون 10/2000 المؤرخ 14 آب/أغسطس)، وأخيراً الشكاوى الإدارية التي أعاد صياغتها المرسوم بقانون 57/99/م المؤرخ 11 تشرين الأول/أكتوبر.</w:t>
      </w:r>
    </w:p>
    <w:p w:rsidR="00000000" w:rsidRDefault="00443EC1">
      <w:pPr>
        <w:spacing w:line="380" w:lineRule="exact"/>
        <w:jc w:val="both"/>
        <w:rPr>
          <w:rFonts w:hint="cs"/>
          <w:rtl/>
        </w:rPr>
      </w:pPr>
      <w:r>
        <w:rPr>
          <w:rFonts w:hint="cs"/>
          <w:rtl/>
        </w:rPr>
        <w:t>809-</w:t>
      </w:r>
      <w:r>
        <w:rPr>
          <w:rFonts w:hint="cs"/>
          <w:rtl/>
        </w:rPr>
        <w:tab/>
        <w:t xml:space="preserve">وتم توسيع دور لجنة مكافحة الفساد وسلطاتها بوصفها أمينة مظالم. ولا تزال </w:t>
      </w:r>
      <w:r>
        <w:rPr>
          <w:rFonts w:hint="cs"/>
          <w:rtl/>
        </w:rPr>
        <w:t>اللجنة تعزِّز حماية حقوق الأفراد وحرياتهم وتضمن مصالحهم وتضفي عليها الطابع الشرعي، وتكفل التزام ممارسة السلطات العامة بقواعد العدالة والمساواة والكفاءة، غير أن للجنة اليوم سلطات مستقلة للتحقيق الجنائي في نطاق نشاطها.</w:t>
      </w:r>
    </w:p>
    <w:p w:rsidR="00000000" w:rsidRDefault="00443EC1">
      <w:pPr>
        <w:spacing w:line="380" w:lineRule="exact"/>
        <w:jc w:val="both"/>
        <w:rPr>
          <w:rFonts w:hint="cs"/>
          <w:rtl/>
        </w:rPr>
      </w:pPr>
      <w:r>
        <w:rPr>
          <w:rFonts w:hint="cs"/>
          <w:rtl/>
        </w:rPr>
        <w:t>810-</w:t>
      </w:r>
      <w:r>
        <w:rPr>
          <w:rFonts w:hint="cs"/>
          <w:rtl/>
        </w:rPr>
        <w:tab/>
        <w:t>ونُشرت معاهدات حقوق الإنسان المنطب</w:t>
      </w:r>
      <w:r>
        <w:rPr>
          <w:rFonts w:hint="cs"/>
          <w:rtl/>
        </w:rPr>
        <w:t>قة على نطاق واسع في السنوات الأخيرة. وصدر العهد باللغتين الرسميتين (الصينية والبرتغالية) ووُزِّع على السكان في شباط/فبراير 1997 ونيسان/أبريل 1999 وتموز/يوليه 2001 وحزيران/يونيه 2002 وآب/أغسطس 2002.</w:t>
      </w:r>
    </w:p>
    <w:p w:rsidR="00000000" w:rsidRDefault="00443EC1">
      <w:pPr>
        <w:spacing w:line="380" w:lineRule="exact"/>
        <w:jc w:val="both"/>
        <w:rPr>
          <w:rFonts w:hint="cs"/>
          <w:rtl/>
        </w:rPr>
      </w:pPr>
      <w:r>
        <w:rPr>
          <w:rFonts w:hint="cs"/>
          <w:rtl/>
        </w:rPr>
        <w:t>811-</w:t>
      </w:r>
      <w:r>
        <w:rPr>
          <w:rFonts w:hint="cs"/>
          <w:rtl/>
        </w:rPr>
        <w:tab/>
        <w:t>ووُزِّعت كذلك منشورات ونشرات تركز بالخصوص على حقوق ال</w:t>
      </w:r>
      <w:r>
        <w:rPr>
          <w:rFonts w:hint="cs"/>
          <w:rtl/>
        </w:rPr>
        <w:t xml:space="preserve">إنسان، مثل: الحقوق الأساسية </w:t>
      </w:r>
      <w:r>
        <w:rPr>
          <w:rtl/>
        </w:rPr>
        <w:br/>
      </w:r>
      <w:r>
        <w:rPr>
          <w:rFonts w:hint="cs"/>
          <w:rtl/>
        </w:rPr>
        <w:t xml:space="preserve">(1996 و2000 و2001)، وحقوق الطفل (1998 و2001)، وحقوق الأسرة (1998 و2001 و2002)، وقانون العمل (1998-2001)، وحقوق الملكية (1997)، وأهمية القانون بالنسبة إلى الأطفال/المراهقين </w:t>
      </w:r>
      <w:r>
        <w:rPr>
          <w:rtl/>
        </w:rPr>
        <w:br/>
      </w:r>
      <w:r>
        <w:rPr>
          <w:rFonts w:hint="cs"/>
          <w:rtl/>
        </w:rPr>
        <w:t>(2000-2002)، ونظام المساعدة القانونية (1997 و2002)، وا</w:t>
      </w:r>
      <w:r>
        <w:rPr>
          <w:rFonts w:hint="cs"/>
          <w:rtl/>
        </w:rPr>
        <w:t>لنظـام القانونـي فـي مقاطعـة ماكـاو (1997 و1999-2002)، ونظام الضمان الاجتماعي (1999 و2002).</w:t>
      </w:r>
    </w:p>
    <w:p w:rsidR="00000000" w:rsidRDefault="00443EC1">
      <w:pPr>
        <w:spacing w:line="380" w:lineRule="exact"/>
        <w:jc w:val="both"/>
        <w:rPr>
          <w:rFonts w:hint="cs"/>
          <w:rtl/>
        </w:rPr>
      </w:pPr>
      <w:r>
        <w:rPr>
          <w:rFonts w:hint="cs"/>
          <w:rtl/>
        </w:rPr>
        <w:t>812-</w:t>
      </w:r>
      <w:r>
        <w:rPr>
          <w:rFonts w:hint="cs"/>
          <w:rtl/>
        </w:rPr>
        <w:tab/>
        <w:t>وفي أيار/مايو 2001، جمّعت الجمعية التشريعية ونشرت أهم القوانين المتعلقة بحقوق الإنسان الأساسية، مثل حرية تكوين الجمعيات، والإطار القانوني للسياسات الأسرية، وال</w:t>
      </w:r>
      <w:r>
        <w:rPr>
          <w:rFonts w:hint="cs"/>
          <w:rtl/>
        </w:rPr>
        <w:t>عمالة وحقوق العمل، وحرية التعبير والحرية الدينية.</w:t>
      </w:r>
    </w:p>
    <w:p w:rsidR="00000000" w:rsidRDefault="00443EC1">
      <w:pPr>
        <w:spacing w:line="380" w:lineRule="exact"/>
        <w:jc w:val="both"/>
        <w:rPr>
          <w:rFonts w:hint="cs"/>
          <w:rtl/>
        </w:rPr>
      </w:pPr>
      <w:r>
        <w:rPr>
          <w:rFonts w:hint="cs"/>
          <w:rtl/>
        </w:rPr>
        <w:t>813-</w:t>
      </w:r>
      <w:r>
        <w:rPr>
          <w:rFonts w:hint="cs"/>
          <w:rtl/>
        </w:rPr>
        <w:tab/>
        <w:t>واتخذت حكومة مقاطعة ماكاو تدابير أخرى تهدف إلى تعزيز الإعلام بشأن الحقوق الأساسية ووعي الجمهور بها داخل المجتمعات المحلية وفي الأنشطة المدرسية، لا فقط عن طريق وسائط الإعلام بل كذلك بواسطة المسابقات وال</w:t>
      </w:r>
      <w:r>
        <w:rPr>
          <w:rFonts w:hint="cs"/>
          <w:rtl/>
        </w:rPr>
        <w:t>استقصاءات والبرامج التفاعلية، فضلاً عن موقع الحكومة على الشبكة العالمية للإنترنت والصحافة الرسمية وجمع التشريعات على قرص مدمج، (باللغتين الرسميتين وبالإنكليزية على السواء).</w:t>
      </w:r>
    </w:p>
    <w:p w:rsidR="00000000" w:rsidRDefault="00443EC1">
      <w:pPr>
        <w:spacing w:line="380" w:lineRule="exact"/>
        <w:jc w:val="both"/>
        <w:rPr>
          <w:rFonts w:hint="cs"/>
          <w:rtl/>
        </w:rPr>
      </w:pPr>
      <w:r>
        <w:rPr>
          <w:rFonts w:hint="cs"/>
          <w:rtl/>
        </w:rPr>
        <w:t>814-</w:t>
      </w:r>
      <w:r>
        <w:rPr>
          <w:rFonts w:hint="cs"/>
          <w:rtl/>
        </w:rPr>
        <w:tab/>
        <w:t>ويمكن لمن يهمّه الأمر الاطلاع، في موقع الشبكة السالف الذكر، على نصوص معاهدات د</w:t>
      </w:r>
      <w:r>
        <w:rPr>
          <w:rFonts w:hint="cs"/>
          <w:rtl/>
        </w:rPr>
        <w:t>ولية شتى، وعلى القوانين الوطنية المنطبقة، والقانون الأساسي وجميع القوانين الرئيسية للمقاطعة (مثل القانون المدني والقانون الجنائي وقانون الإجراءات المدنية وقانون الإجراءات الجنائية).</w:t>
      </w:r>
    </w:p>
    <w:p w:rsidR="00000000" w:rsidRDefault="00443EC1">
      <w:pPr>
        <w:spacing w:line="380" w:lineRule="exact"/>
        <w:jc w:val="both"/>
        <w:rPr>
          <w:rFonts w:hint="cs"/>
          <w:rtl/>
        </w:rPr>
      </w:pPr>
      <w:r>
        <w:rPr>
          <w:rFonts w:hint="cs"/>
          <w:rtl/>
        </w:rPr>
        <w:t>815-</w:t>
      </w:r>
      <w:r>
        <w:rPr>
          <w:rFonts w:hint="cs"/>
          <w:rtl/>
        </w:rPr>
        <w:tab/>
        <w:t>وخلال السنوات القليلة الماضية، أدّت وسائط الإعلام دورا حيويا في المجت</w:t>
      </w:r>
      <w:r>
        <w:rPr>
          <w:rFonts w:hint="cs"/>
          <w:rtl/>
        </w:rPr>
        <w:t>معات المحلية وذلك بتنظيم حملات توعية تستهدف بالخصوص أكبر مجموعة عرقية (المجموعة الصينية) بهدف تمكينها من المعلومات الأساسية المتعلقة بحقوق الإنسان الأساسية وتوضيح النظام القانوني الجاري العمل به في المقاطعة.</w:t>
      </w:r>
    </w:p>
    <w:p w:rsidR="00000000" w:rsidRDefault="00443EC1">
      <w:pPr>
        <w:spacing w:line="380" w:lineRule="exact"/>
        <w:jc w:val="center"/>
        <w:rPr>
          <w:rFonts w:hint="cs"/>
          <w:b/>
          <w:bCs/>
          <w:rtl/>
        </w:rPr>
      </w:pPr>
      <w:r>
        <w:rPr>
          <w:rFonts w:hint="cs"/>
          <w:b/>
          <w:bCs/>
          <w:rtl/>
        </w:rPr>
        <w:t>المادة 3</w:t>
      </w:r>
    </w:p>
    <w:p w:rsidR="00000000" w:rsidRDefault="00443EC1">
      <w:pPr>
        <w:spacing w:line="380" w:lineRule="exact"/>
        <w:jc w:val="center"/>
        <w:rPr>
          <w:rFonts w:hint="cs"/>
          <w:b/>
          <w:bCs/>
          <w:rtl/>
        </w:rPr>
      </w:pPr>
      <w:r>
        <w:rPr>
          <w:rFonts w:hint="cs"/>
          <w:b/>
          <w:bCs/>
          <w:rtl/>
        </w:rPr>
        <w:t>تساوي الرجل والمرأة في الحقوق</w:t>
      </w:r>
    </w:p>
    <w:p w:rsidR="00000000" w:rsidRDefault="00443EC1">
      <w:pPr>
        <w:spacing w:line="380" w:lineRule="exact"/>
        <w:jc w:val="both"/>
        <w:rPr>
          <w:rFonts w:hint="cs"/>
          <w:rtl/>
        </w:rPr>
      </w:pPr>
      <w:r>
        <w:rPr>
          <w:rFonts w:hint="cs"/>
          <w:rtl/>
        </w:rPr>
        <w:t>816-</w:t>
      </w:r>
      <w:r>
        <w:rPr>
          <w:rFonts w:hint="cs"/>
          <w:rtl/>
        </w:rPr>
        <w:tab/>
        <w:t>تحظر</w:t>
      </w:r>
      <w:r>
        <w:rPr>
          <w:rFonts w:hint="cs"/>
          <w:rtl/>
        </w:rPr>
        <w:t xml:space="preserve"> المادة 25 من القانون الأساسي، مثلما أسلفنا، جميع أشكال التمييز، بما في ذلك التمييز على أساس نوع الجنس. وإضافة إلى ذلك، تقضي المادة 38(2) من القانون الأساسي تحديدا بحماية الحقوق الشرعية للمرأة ومصالحها. وعلاوة على ذلك، صيغ النظام القانوني، بوصفه نظاما قانو</w:t>
      </w:r>
      <w:r>
        <w:rPr>
          <w:rFonts w:hint="cs"/>
          <w:rtl/>
        </w:rPr>
        <w:t>نيا مدنيا، استناداً إلى مبادئ إيجابية تؤكد محتواه، مثل المساواة.</w:t>
      </w:r>
    </w:p>
    <w:p w:rsidR="00000000" w:rsidRDefault="00443EC1">
      <w:pPr>
        <w:spacing w:line="380" w:lineRule="exact"/>
        <w:jc w:val="both"/>
        <w:rPr>
          <w:rFonts w:hint="cs"/>
          <w:spacing w:val="4"/>
          <w:rtl/>
        </w:rPr>
      </w:pPr>
      <w:r>
        <w:rPr>
          <w:rFonts w:hint="cs"/>
          <w:rtl/>
        </w:rPr>
        <w:t>817-</w:t>
      </w:r>
      <w:r>
        <w:rPr>
          <w:rFonts w:hint="cs"/>
          <w:rtl/>
        </w:rPr>
        <w:tab/>
        <w:t>وفيما يتعلق بالمساواة بين الجنسين، يوجد العديد من المعاهدات الدولية المنطبقة في مقاطعة ماكاو، منها على سبيل المثال اتفاقية مكافحة التمييز في مجال التعليم لعام 1960، والاتفاقية الدولية لل</w:t>
      </w:r>
      <w:r>
        <w:rPr>
          <w:rFonts w:hint="cs"/>
          <w:rtl/>
        </w:rPr>
        <w:t>قضاء على جميع أشكال التمييز العنصري لعام 1965، واتفاقية القضاء على جميع أشكال التمييز ضد المرأة لعام 1979، والاتفاقية بشأن مساواة العمال والعاملات في الأجر عن عمل ذي قيمة متساوية لعام 1951 (منظمة العمل الدولية، الاتفاقيـة رقم 100) والاتفاقية بشأن التمييز ف</w:t>
      </w:r>
      <w:r>
        <w:rPr>
          <w:rFonts w:hint="cs"/>
          <w:rtl/>
        </w:rPr>
        <w:t xml:space="preserve">ي الاستخدام والمهنة لعام 1958 </w:t>
      </w:r>
      <w:r>
        <w:rPr>
          <w:rFonts w:hint="cs"/>
          <w:spacing w:val="4"/>
          <w:rtl/>
        </w:rPr>
        <w:t>(منظمة العمل الدولية، الاتفاقية رقم 111).</w:t>
      </w:r>
    </w:p>
    <w:p w:rsidR="00000000" w:rsidRDefault="00443EC1">
      <w:pPr>
        <w:spacing w:line="380" w:lineRule="exact"/>
        <w:jc w:val="both"/>
        <w:rPr>
          <w:rFonts w:hint="cs"/>
          <w:rtl/>
        </w:rPr>
      </w:pPr>
      <w:r>
        <w:rPr>
          <w:rFonts w:hint="cs"/>
          <w:rtl/>
        </w:rPr>
        <w:t>818-</w:t>
      </w:r>
      <w:r>
        <w:rPr>
          <w:rFonts w:hint="cs"/>
          <w:rtl/>
        </w:rPr>
        <w:tab/>
        <w:t>ولا يميِّز القانون المدني بين الرجال والنساء فيما يتعلق بالشخصية والقدرة القانونيتين، ولا سيما فيما يتعلق بالزواج والوضع العائلي، والقدرة على التملُّك، والحق في إبرام العقود والحق</w:t>
      </w:r>
      <w:r>
        <w:rPr>
          <w:rFonts w:hint="cs"/>
          <w:rtl/>
        </w:rPr>
        <w:t xml:space="preserve"> في الميراث.</w:t>
      </w:r>
    </w:p>
    <w:p w:rsidR="00000000" w:rsidRDefault="00443EC1">
      <w:pPr>
        <w:spacing w:line="380" w:lineRule="exact"/>
        <w:jc w:val="both"/>
        <w:rPr>
          <w:rFonts w:hint="cs"/>
          <w:rtl/>
        </w:rPr>
      </w:pPr>
      <w:r>
        <w:rPr>
          <w:rFonts w:hint="cs"/>
          <w:rtl/>
        </w:rPr>
        <w:t>819-</w:t>
      </w:r>
      <w:r>
        <w:rPr>
          <w:rFonts w:hint="cs"/>
          <w:rtl/>
        </w:rPr>
        <w:tab/>
        <w:t>كما تشكل المساواة بين الجنسين أحد المبادئ الرئيسية للنظام التعليمي في مقاطعة ماكاو، الذي يُضمن الالتحاق به على قدم المساواة بين النساء والرجال.</w:t>
      </w:r>
    </w:p>
    <w:p w:rsidR="00000000" w:rsidRDefault="00443EC1">
      <w:pPr>
        <w:spacing w:line="380" w:lineRule="exact"/>
        <w:jc w:val="both"/>
        <w:rPr>
          <w:rFonts w:hint="cs"/>
          <w:rtl/>
        </w:rPr>
      </w:pPr>
      <w:r>
        <w:rPr>
          <w:rFonts w:hint="cs"/>
          <w:rtl/>
        </w:rPr>
        <w:t>820-</w:t>
      </w:r>
      <w:r>
        <w:rPr>
          <w:rFonts w:hint="cs"/>
          <w:rtl/>
        </w:rPr>
        <w:tab/>
        <w:t>وفيما يتعلق بقوانين العمل بصفة خاصة، توجد مجموعة قواعد تنص على تدابير مناهضة للتمييز (منع</w:t>
      </w:r>
      <w:r>
        <w:rPr>
          <w:rFonts w:hint="cs"/>
          <w:rtl/>
        </w:rPr>
        <w:t xml:space="preserve"> ومكافحة التمييز) وتنص على وجوب معاملة جميع العمال بالتساوي دون أي تمييز بين الجنسين أو غيره من أشكال التمييز الأخرى. ويغطي هذا المبدأ من مبادئ عدم التمييز التساوي في فرص العمل، والمعاملة المتساوية في موقع العمل، والمساواة في الأجر عن عمل ذي قيمة متساوية، </w:t>
      </w:r>
      <w:r>
        <w:rPr>
          <w:rFonts w:hint="cs"/>
          <w:rtl/>
        </w:rPr>
        <w:t>والمساواة في تلقي التدريب المهني. وستتم معالجة هذه المسألة بإسهاب في هذا التقرير عند الخوض في المادتين 6 و7.</w:t>
      </w:r>
    </w:p>
    <w:p w:rsidR="00000000" w:rsidRDefault="00443EC1">
      <w:pPr>
        <w:spacing w:line="380" w:lineRule="exact"/>
        <w:jc w:val="both"/>
        <w:rPr>
          <w:rFonts w:hint="cs"/>
          <w:rtl/>
        </w:rPr>
      </w:pPr>
      <w:r>
        <w:rPr>
          <w:rFonts w:hint="cs"/>
          <w:rtl/>
        </w:rPr>
        <w:t>821-</w:t>
      </w:r>
      <w:r>
        <w:rPr>
          <w:rFonts w:hint="cs"/>
          <w:rtl/>
        </w:rPr>
        <w:tab/>
        <w:t>وجدير بالذكر أن المعاملة التفضيلية بهدف تصحيح أوجه اللامساواة مقبولة عن طريق سن أحكام خاصة على أساس وجوب إثبات الأفضلية لأحد الجنسين (المادة 3</w:t>
      </w:r>
      <w:r>
        <w:rPr>
          <w:rFonts w:hint="cs"/>
          <w:rtl/>
        </w:rPr>
        <w:t xml:space="preserve">4(3) من قانون علاقات العمل والقانون بمرسوم </w:t>
      </w:r>
      <w:r>
        <w:rPr>
          <w:rtl/>
        </w:rPr>
        <w:br/>
      </w:r>
      <w:r>
        <w:rPr>
          <w:rFonts w:hint="cs"/>
          <w:rtl/>
        </w:rPr>
        <w:t>24/89/م المؤرخ 3 نيسان/أبريل).</w:t>
      </w:r>
    </w:p>
    <w:p w:rsidR="00000000" w:rsidRDefault="00443EC1">
      <w:pPr>
        <w:spacing w:line="380" w:lineRule="exact"/>
        <w:jc w:val="both"/>
        <w:rPr>
          <w:rFonts w:hint="cs"/>
          <w:rtl/>
        </w:rPr>
      </w:pPr>
      <w:r>
        <w:rPr>
          <w:rFonts w:hint="cs"/>
          <w:rtl/>
        </w:rPr>
        <w:t>822-</w:t>
      </w:r>
      <w:r>
        <w:rPr>
          <w:rFonts w:hint="cs"/>
          <w:rtl/>
        </w:rPr>
        <w:tab/>
        <w:t>وفيما يتعلق بقوانين الهجرة، لا توجد أحكام قانونية يمكن أن تعتبر تمييزية ضد النساء. فالنساء والرجال متساوون في الحقوق والواجبات ولا تفرض قيود على دخولهم مقاطعة ماكاو أو مغادرتهم</w:t>
      </w:r>
      <w:r>
        <w:rPr>
          <w:rFonts w:hint="cs"/>
          <w:rtl/>
        </w:rPr>
        <w:t xml:space="preserve"> لها.</w:t>
      </w:r>
    </w:p>
    <w:p w:rsidR="00000000" w:rsidRDefault="00443EC1">
      <w:pPr>
        <w:spacing w:line="380" w:lineRule="exact"/>
        <w:jc w:val="center"/>
        <w:rPr>
          <w:rFonts w:hint="cs"/>
          <w:b/>
          <w:bCs/>
          <w:rtl/>
        </w:rPr>
      </w:pPr>
      <w:r>
        <w:rPr>
          <w:rFonts w:hint="cs"/>
          <w:b/>
          <w:bCs/>
          <w:rtl/>
        </w:rPr>
        <w:t>المادة 4</w:t>
      </w:r>
    </w:p>
    <w:p w:rsidR="00000000" w:rsidRDefault="00443EC1">
      <w:pPr>
        <w:spacing w:line="380" w:lineRule="exact"/>
        <w:jc w:val="center"/>
        <w:rPr>
          <w:rFonts w:hint="cs"/>
          <w:b/>
          <w:bCs/>
          <w:rtl/>
        </w:rPr>
      </w:pPr>
      <w:r>
        <w:rPr>
          <w:rFonts w:hint="cs"/>
          <w:b/>
          <w:bCs/>
          <w:rtl/>
        </w:rPr>
        <w:t>إخضاع الحقوق المكفولة في العهد للقيود الجائزة بموجب القانون</w:t>
      </w:r>
    </w:p>
    <w:p w:rsidR="00000000" w:rsidRDefault="00443EC1">
      <w:pPr>
        <w:spacing w:line="380" w:lineRule="exact"/>
        <w:jc w:val="both"/>
        <w:rPr>
          <w:rFonts w:hint="cs"/>
          <w:rtl/>
        </w:rPr>
      </w:pPr>
      <w:r>
        <w:rPr>
          <w:rFonts w:hint="cs"/>
          <w:rtl/>
        </w:rPr>
        <w:t>823-</w:t>
      </w:r>
      <w:r>
        <w:rPr>
          <w:rFonts w:hint="cs"/>
          <w:rtl/>
        </w:rPr>
        <w:tab/>
        <w:t>الحكومة المركزية مسؤولة، بموجب المادة 14 من القانون الأساسي، عن الدفاع عن مقاطة ماكاو في حين أن حكومة المقاطعة مسؤولة عن صيانة النظام العام في المقاطعة.</w:t>
      </w:r>
    </w:p>
    <w:p w:rsidR="00000000" w:rsidRDefault="00443EC1">
      <w:pPr>
        <w:spacing w:line="380" w:lineRule="exact"/>
        <w:jc w:val="both"/>
        <w:rPr>
          <w:rFonts w:hint="cs"/>
          <w:rtl/>
        </w:rPr>
      </w:pPr>
      <w:r>
        <w:rPr>
          <w:rFonts w:hint="cs"/>
          <w:rtl/>
        </w:rPr>
        <w:t>824-</w:t>
      </w:r>
      <w:r>
        <w:rPr>
          <w:rFonts w:hint="cs"/>
          <w:rtl/>
        </w:rPr>
        <w:tab/>
        <w:t>وإذا قررت اللجنة ا</w:t>
      </w:r>
      <w:r>
        <w:rPr>
          <w:rFonts w:hint="cs"/>
          <w:rtl/>
        </w:rPr>
        <w:t>لدائمة التابعة للمؤتمر الشعبي الوطني إعلان حالة حرب أو قرّرت، بسبب اضطرابات داخل المقاطعة تهدد الوحدة أو الأمن الوطنيين وتتجاوز قدرة حكومة المقاطعة، اعتبار أن المنطقة في حالة طوارئ يمكن للحكومة المركزية أن تصدر أمراً بتطبيق القوانين الوطنية ذات الصلة على ا</w:t>
      </w:r>
      <w:r>
        <w:rPr>
          <w:rFonts w:hint="cs"/>
          <w:rtl/>
        </w:rPr>
        <w:t>لمقاطعة (المادة 18(4) من القانون الأساسي).</w:t>
      </w:r>
    </w:p>
    <w:p w:rsidR="00000000" w:rsidRDefault="00443EC1">
      <w:pPr>
        <w:spacing w:line="380" w:lineRule="exact"/>
        <w:jc w:val="both"/>
        <w:rPr>
          <w:rFonts w:hint="cs"/>
          <w:rtl/>
        </w:rPr>
      </w:pPr>
      <w:r>
        <w:rPr>
          <w:rFonts w:hint="cs"/>
          <w:rtl/>
        </w:rPr>
        <w:t>825-</w:t>
      </w:r>
      <w:r>
        <w:rPr>
          <w:rFonts w:hint="cs"/>
          <w:rtl/>
        </w:rPr>
        <w:tab/>
        <w:t>وبموجب قانون الأمن الداخلي، وهو القانون 9/2002 المؤرخ 9 كانون الأول/ديسمبر، يمكن القبول باتخاذ تدابير ذات طابع استثنائي يُحتمل تقييدها لبعض الحريات المدنية، وذلك دون الإخلال بالمادة 40 من القانون الأساسي وبال</w:t>
      </w:r>
      <w:r>
        <w:rPr>
          <w:rFonts w:hint="cs"/>
          <w:rtl/>
        </w:rPr>
        <w:t>تالي بالمادة 4 من العهد.</w:t>
      </w:r>
    </w:p>
    <w:p w:rsidR="00000000" w:rsidRDefault="00443EC1">
      <w:pPr>
        <w:spacing w:line="380" w:lineRule="exact"/>
        <w:jc w:val="both"/>
        <w:rPr>
          <w:rFonts w:hint="cs"/>
          <w:rtl/>
        </w:rPr>
      </w:pPr>
      <w:r>
        <w:rPr>
          <w:rFonts w:hint="cs"/>
          <w:rtl/>
        </w:rPr>
        <w:t>826-</w:t>
      </w:r>
      <w:r>
        <w:rPr>
          <w:rFonts w:hint="cs"/>
          <w:rtl/>
        </w:rPr>
        <w:tab/>
        <w:t>ويسمح نظام الحماية المدنية، الذي ينص عليه القانون بمرسوم 72/92/م المؤرخ 28 أيلول/سبتمبر، على النحو الذي عدّله به التنظيم الإداري 32/2002 المؤرخ 16 كانون الأول/ديسمبر، باتخاذ إجراءات طوارئ عند وجود حالات خطيرة أو حوادث خطرة، أو</w:t>
      </w:r>
      <w:r>
        <w:rPr>
          <w:rFonts w:hint="cs"/>
          <w:rtl/>
        </w:rPr>
        <w:t xml:space="preserve"> كوارث بجميع أنواعها. وينبغي لجميع الإجراءات المقيّدة المحتملة أن تراعي قواعد الضرورة والتناسب والاستنساب لبلوغ الهدف المتوخَّى والالتزام بالمبادئ العامة التي يحددها القانون.</w:t>
      </w:r>
    </w:p>
    <w:p w:rsidR="00000000" w:rsidRDefault="00443EC1">
      <w:pPr>
        <w:spacing w:line="380" w:lineRule="exact"/>
        <w:jc w:val="center"/>
        <w:rPr>
          <w:rFonts w:hint="cs"/>
          <w:b/>
          <w:bCs/>
          <w:rtl/>
        </w:rPr>
      </w:pPr>
      <w:r>
        <w:rPr>
          <w:rFonts w:hint="cs"/>
          <w:b/>
          <w:bCs/>
          <w:rtl/>
        </w:rPr>
        <w:t>المادة 5</w:t>
      </w:r>
    </w:p>
    <w:p w:rsidR="00000000" w:rsidRDefault="00443EC1">
      <w:pPr>
        <w:spacing w:line="380" w:lineRule="exact"/>
        <w:jc w:val="center"/>
        <w:rPr>
          <w:rFonts w:hint="cs"/>
          <w:b/>
          <w:bCs/>
          <w:rtl/>
        </w:rPr>
      </w:pPr>
      <w:r>
        <w:rPr>
          <w:rFonts w:hint="cs"/>
          <w:b/>
          <w:bCs/>
          <w:rtl/>
        </w:rPr>
        <w:t>القيود المفروضة على الحقوق التي يعترف بها العهد</w:t>
      </w:r>
    </w:p>
    <w:p w:rsidR="00000000" w:rsidRDefault="00443EC1">
      <w:pPr>
        <w:spacing w:line="380" w:lineRule="exact"/>
        <w:jc w:val="both"/>
        <w:rPr>
          <w:rFonts w:hint="cs"/>
          <w:rtl/>
        </w:rPr>
      </w:pPr>
      <w:r>
        <w:rPr>
          <w:rFonts w:hint="cs"/>
          <w:rtl/>
        </w:rPr>
        <w:t>827-</w:t>
      </w:r>
      <w:r>
        <w:rPr>
          <w:rFonts w:hint="cs"/>
          <w:rtl/>
        </w:rPr>
        <w:tab/>
        <w:t>يضمن النظام القانون</w:t>
      </w:r>
      <w:r>
        <w:rPr>
          <w:rFonts w:hint="cs"/>
          <w:rtl/>
        </w:rPr>
        <w:t>ي لمقاطعة ماكاو عددا من الحقوق والحريات الفردية. ولا يمكن اتخاذ تدابير استثنائية إلا في الحدود التي تستلزمها قطعاً حالة معينة ووفقاً للقانون.</w:t>
      </w:r>
    </w:p>
    <w:p w:rsidR="00000000" w:rsidRDefault="00443EC1">
      <w:pPr>
        <w:spacing w:line="380" w:lineRule="exact"/>
        <w:jc w:val="both"/>
        <w:rPr>
          <w:rFonts w:hint="cs"/>
          <w:rtl/>
        </w:rPr>
      </w:pPr>
      <w:r>
        <w:rPr>
          <w:rFonts w:hint="cs"/>
          <w:rtl/>
        </w:rPr>
        <w:t>828-</w:t>
      </w:r>
      <w:r>
        <w:rPr>
          <w:rFonts w:hint="cs"/>
          <w:rtl/>
        </w:rPr>
        <w:tab/>
        <w:t xml:space="preserve">وتجدد المادة 40 من القانون الأساسي تأكيد تطبيق العهد، والعهد الدولي الخاص بالحقوق المدنية والسياسية فضلاً عن </w:t>
      </w:r>
      <w:r>
        <w:rPr>
          <w:rFonts w:hint="cs"/>
          <w:rtl/>
        </w:rPr>
        <w:t>اتفاقيات منظمة العمل الدولية في مقاطعة ماكاو. وتقضي المادة 40 بأن ينص القانون على أية قيود تتعلق بالحقوق والحريات التي يتمتع بها المقيمون في المقاطعة وبألا تتعارض هذه القيود مع المعاهدات السالفة الذكر.</w:t>
      </w:r>
    </w:p>
    <w:p w:rsidR="00000000" w:rsidRDefault="00443EC1">
      <w:pPr>
        <w:spacing w:line="380" w:lineRule="exact"/>
        <w:jc w:val="center"/>
        <w:rPr>
          <w:rFonts w:hint="cs"/>
          <w:b/>
          <w:bCs/>
          <w:rtl/>
        </w:rPr>
      </w:pPr>
      <w:r>
        <w:rPr>
          <w:rFonts w:hint="cs"/>
          <w:b/>
          <w:bCs/>
          <w:rtl/>
        </w:rPr>
        <w:t>المادة 6</w:t>
      </w:r>
    </w:p>
    <w:p w:rsidR="00000000" w:rsidRDefault="00443EC1">
      <w:pPr>
        <w:spacing w:line="380" w:lineRule="exact"/>
        <w:jc w:val="center"/>
        <w:rPr>
          <w:rFonts w:hint="cs"/>
          <w:b/>
          <w:bCs/>
          <w:rtl/>
        </w:rPr>
      </w:pPr>
      <w:r>
        <w:rPr>
          <w:rFonts w:hint="cs"/>
          <w:b/>
          <w:bCs/>
          <w:rtl/>
        </w:rPr>
        <w:t>الحق في العمل</w:t>
      </w:r>
    </w:p>
    <w:p w:rsidR="00000000" w:rsidRDefault="00443EC1">
      <w:pPr>
        <w:spacing w:line="380" w:lineRule="exact"/>
        <w:jc w:val="center"/>
        <w:rPr>
          <w:rFonts w:hint="cs"/>
          <w:b/>
          <w:bCs/>
          <w:rtl/>
        </w:rPr>
      </w:pPr>
      <w:r>
        <w:rPr>
          <w:rFonts w:hint="cs"/>
          <w:b/>
          <w:bCs/>
          <w:rtl/>
        </w:rPr>
        <w:t>ألف- الإطار القانوني</w:t>
      </w:r>
    </w:p>
    <w:p w:rsidR="00000000" w:rsidRDefault="00443EC1">
      <w:pPr>
        <w:spacing w:line="380" w:lineRule="exact"/>
        <w:jc w:val="both"/>
        <w:rPr>
          <w:rFonts w:hint="cs"/>
          <w:rtl/>
        </w:rPr>
      </w:pPr>
      <w:r>
        <w:rPr>
          <w:rFonts w:hint="cs"/>
          <w:rtl/>
        </w:rPr>
        <w:t>829-</w:t>
      </w:r>
      <w:r>
        <w:rPr>
          <w:rFonts w:hint="cs"/>
          <w:rtl/>
        </w:rPr>
        <w:tab/>
        <w:t xml:space="preserve">تقضي </w:t>
      </w:r>
      <w:r>
        <w:rPr>
          <w:rFonts w:hint="cs"/>
          <w:rtl/>
        </w:rPr>
        <w:t>المادة 35 من القانون الأساسي بأن "يتمتع السكان المقيمون في ماكاو بحرية اختيار مهنتهم وعملهم".</w:t>
      </w:r>
    </w:p>
    <w:p w:rsidR="00000000" w:rsidRDefault="00443EC1">
      <w:pPr>
        <w:spacing w:line="380" w:lineRule="exact"/>
        <w:jc w:val="both"/>
        <w:rPr>
          <w:rFonts w:hint="cs"/>
          <w:rtl/>
        </w:rPr>
      </w:pPr>
      <w:r>
        <w:rPr>
          <w:rFonts w:hint="cs"/>
          <w:rtl/>
        </w:rPr>
        <w:t>830-</w:t>
      </w:r>
      <w:r>
        <w:rPr>
          <w:rFonts w:hint="cs"/>
          <w:rtl/>
        </w:rPr>
        <w:tab/>
        <w:t>وحكومة مقاطعة ماكاو مسؤولة عن تنفيذ السياسات الساعية لتحقيق النمو الاقتصادي وتهدف لايجاد توازن عادل بين أطراف العمل (المادتان 114 و115 من القانون الأساسي).</w:t>
      </w:r>
    </w:p>
    <w:p w:rsidR="00000000" w:rsidRDefault="00443EC1">
      <w:pPr>
        <w:spacing w:line="380" w:lineRule="exact"/>
        <w:jc w:val="both"/>
        <w:rPr>
          <w:rFonts w:hint="cs"/>
          <w:rtl/>
        </w:rPr>
      </w:pPr>
      <w:r>
        <w:rPr>
          <w:rFonts w:hint="cs"/>
          <w:rtl/>
        </w:rPr>
        <w:t>8</w:t>
      </w:r>
      <w:r>
        <w:rPr>
          <w:rFonts w:hint="cs"/>
          <w:rtl/>
        </w:rPr>
        <w:t>31-</w:t>
      </w:r>
      <w:r>
        <w:rPr>
          <w:rFonts w:hint="cs"/>
          <w:rtl/>
        </w:rPr>
        <w:tab/>
        <w:t>وفيما يتعلق بالقطاع الخاص، فإن القوانين الرئيسية الثلاثة المتعلقة بالعمل هي: المرسوم بقانون 24/89/م المؤرخ 3 نيسان/أبريل، الذي يحكم علاقات العمل؛ المرسوم بقانون 52/95/م المؤرخ 9 تشرين الأول/أكتوبر، الذي ينص على قانون المساواة في الأجر عن عمل ذي قيمة مت</w:t>
      </w:r>
      <w:r>
        <w:rPr>
          <w:rFonts w:hint="cs"/>
          <w:rtl/>
        </w:rPr>
        <w:t>ساوية، والقانون 4/98/م المؤرخ 27 تموز/يوليه، الذي يحدد الإطار القانوني للتوظيف وعلاقات العمل.</w:t>
      </w:r>
    </w:p>
    <w:p w:rsidR="00000000" w:rsidRDefault="00443EC1">
      <w:pPr>
        <w:spacing w:line="380" w:lineRule="exact"/>
        <w:jc w:val="both"/>
        <w:rPr>
          <w:rFonts w:hint="cs"/>
          <w:rtl/>
        </w:rPr>
      </w:pPr>
      <w:r>
        <w:rPr>
          <w:rFonts w:hint="cs"/>
          <w:rtl/>
        </w:rPr>
        <w:t>832-</w:t>
      </w:r>
      <w:r>
        <w:rPr>
          <w:rFonts w:hint="cs"/>
          <w:rtl/>
        </w:rPr>
        <w:tab/>
        <w:t>وجدير بالذكر أن حكومة مقاطعة ماكاو تقوم حالياً بإدخال عدد من الإصلاحات القانونية في هذا المجال، مثل: النظام الإجرائي القانوني لتسوية منازعات العمل، ونظام الع</w:t>
      </w:r>
      <w:r>
        <w:rPr>
          <w:rFonts w:hint="cs"/>
          <w:rtl/>
        </w:rPr>
        <w:t>مالة الوافدة، ونظام علاقات العمل والتنظيمات المتعلقة بسلامة العمل وظروفه الصحية. ويهدف التشريع الجديد إلى تحسين علاقات العمل وظروفه وكذلك تحديد نظام للحد الأدنى للأجور.</w:t>
      </w:r>
    </w:p>
    <w:p w:rsidR="00000000" w:rsidRDefault="00443EC1">
      <w:pPr>
        <w:spacing w:line="380" w:lineRule="exact"/>
        <w:jc w:val="both"/>
        <w:rPr>
          <w:rFonts w:hint="cs"/>
          <w:rtl/>
        </w:rPr>
      </w:pPr>
      <w:r>
        <w:rPr>
          <w:rFonts w:hint="cs"/>
          <w:rtl/>
        </w:rPr>
        <w:t>833-</w:t>
      </w:r>
      <w:r>
        <w:rPr>
          <w:rFonts w:hint="cs"/>
          <w:rtl/>
        </w:rPr>
        <w:tab/>
        <w:t>ويحكم العمل في القطاع العام قانون موظفي الإدارة العامة، وهو المرسوم بقانون 87/89/م</w:t>
      </w:r>
      <w:r>
        <w:rPr>
          <w:rFonts w:hint="cs"/>
          <w:rtl/>
        </w:rPr>
        <w:t xml:space="preserve"> المؤرخ 21 كانون الأول/ديسمبر بصيغته المنقحة الأخيرة، وهو قيد التعديل.</w:t>
      </w:r>
    </w:p>
    <w:p w:rsidR="00000000" w:rsidRDefault="00443EC1">
      <w:pPr>
        <w:spacing w:line="380" w:lineRule="exact"/>
        <w:jc w:val="both"/>
        <w:rPr>
          <w:rFonts w:hint="cs"/>
          <w:rtl/>
        </w:rPr>
      </w:pPr>
      <w:r>
        <w:rPr>
          <w:rFonts w:hint="cs"/>
          <w:rtl/>
        </w:rPr>
        <w:t>834-</w:t>
      </w:r>
      <w:r>
        <w:rPr>
          <w:rFonts w:hint="cs"/>
          <w:rtl/>
        </w:rPr>
        <w:tab/>
        <w:t>وإضافة إلى اتفاقية منظمة العمل الدولية رقم 111 المشار إليها أعلاه، تطبق أيضاً في مقاطعة ماكاو اتفاقية سياسة العمالة لعام 1964 (الاتفاقية رقم 122).</w:t>
      </w:r>
    </w:p>
    <w:p w:rsidR="00000000" w:rsidRDefault="00443EC1">
      <w:pPr>
        <w:spacing w:line="380" w:lineRule="exact"/>
        <w:jc w:val="center"/>
        <w:rPr>
          <w:rFonts w:hint="cs"/>
          <w:b/>
          <w:bCs/>
          <w:rtl/>
        </w:rPr>
      </w:pPr>
      <w:r>
        <w:rPr>
          <w:rFonts w:hint="cs"/>
          <w:b/>
          <w:bCs/>
          <w:rtl/>
        </w:rPr>
        <w:t xml:space="preserve">باء - العمالة، والبطالة والعمالة </w:t>
      </w:r>
      <w:r>
        <w:rPr>
          <w:rFonts w:hint="cs"/>
          <w:b/>
          <w:bCs/>
          <w:rtl/>
        </w:rPr>
        <w:t>الناقصة</w:t>
      </w:r>
    </w:p>
    <w:p w:rsidR="00000000" w:rsidRDefault="00443EC1">
      <w:pPr>
        <w:spacing w:line="380" w:lineRule="exact"/>
        <w:jc w:val="both"/>
        <w:rPr>
          <w:rFonts w:hint="cs"/>
          <w:rtl/>
        </w:rPr>
      </w:pPr>
      <w:r>
        <w:rPr>
          <w:rFonts w:hint="cs"/>
          <w:rtl/>
        </w:rPr>
        <w:t>835-</w:t>
      </w:r>
      <w:r>
        <w:rPr>
          <w:rFonts w:hint="cs"/>
          <w:rtl/>
        </w:rPr>
        <w:tab/>
        <w:t>يعود ارتفاع البطالة بعد عام 1998 أساساً إلى الأزمة المالية الآسيوية، إلى جانب الحاجة إلى التكيف الهيكلي في القطاع الاقتصادي، وهما عاملان زادا في الطلب على القوة العاملة المتخصصة في قطاع الخدمات. وكنتيجة لذلك، لوحظ تباطؤ في الاقتصاد والعمالة عل</w:t>
      </w:r>
      <w:r>
        <w:rPr>
          <w:rFonts w:hint="cs"/>
          <w:rtl/>
        </w:rPr>
        <w:t>ى السواء، نتجت عنه خسائر في فرص العمل في القطاع الثانوي.</w:t>
      </w:r>
    </w:p>
    <w:p w:rsidR="00000000" w:rsidRDefault="00443EC1">
      <w:pPr>
        <w:spacing w:line="380" w:lineRule="exact"/>
        <w:jc w:val="both"/>
        <w:rPr>
          <w:rFonts w:hint="cs"/>
          <w:b/>
          <w:bCs/>
          <w:sz w:val="28"/>
          <w:rtl/>
        </w:rPr>
      </w:pPr>
    </w:p>
    <w:p w:rsidR="00000000" w:rsidRDefault="00443EC1">
      <w:pPr>
        <w:spacing w:line="380" w:lineRule="exact"/>
        <w:jc w:val="both"/>
        <w:rPr>
          <w:rFonts w:hint="cs"/>
          <w:b/>
          <w:bCs/>
          <w:sz w:val="28"/>
          <w:rtl/>
        </w:rPr>
      </w:pPr>
      <w:r>
        <w:rPr>
          <w:rFonts w:hint="cs"/>
          <w:b/>
          <w:bCs/>
          <w:sz w:val="28"/>
          <w:rtl/>
        </w:rPr>
        <w:t>معدلات العمالة والبطالة ونقص العمالة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00"/>
        <w:gridCol w:w="1620"/>
        <w:gridCol w:w="1440"/>
        <w:gridCol w:w="1440"/>
        <w:gridCol w:w="1368"/>
      </w:tblGrid>
      <w:tr w:rsidR="00443EC1" w:rsidTr="00443EC1">
        <w:tblPrEx>
          <w:tblCellMar>
            <w:top w:w="0" w:type="dxa"/>
            <w:bottom w:w="0" w:type="dxa"/>
          </w:tblCellMar>
        </w:tblPrEx>
        <w:trPr>
          <w:jc w:val="center"/>
        </w:trPr>
        <w:tc>
          <w:tcPr>
            <w:tcW w:w="3600" w:type="dxa"/>
            <w:tcBorders>
              <w:bottom w:val="single" w:sz="4" w:space="0" w:color="auto"/>
            </w:tcBorders>
          </w:tcPr>
          <w:p w:rsidR="00443EC1" w:rsidRDefault="00443EC1">
            <w:pPr>
              <w:spacing w:before="40" w:after="60" w:line="320" w:lineRule="exact"/>
              <w:jc w:val="center"/>
              <w:rPr>
                <w:rStyle w:val="FootnoteReference"/>
                <w:rFonts w:hint="cs"/>
                <w:bCs w:val="0"/>
                <w:vertAlign w:val="baseline"/>
              </w:rPr>
            </w:pPr>
            <w:r>
              <w:rPr>
                <w:rFonts w:hint="cs"/>
                <w:rtl/>
              </w:rPr>
              <w:t>المعدلات</w:t>
            </w:r>
          </w:p>
        </w:tc>
        <w:tc>
          <w:tcPr>
            <w:tcW w:w="1620" w:type="dxa"/>
            <w:tcBorders>
              <w:bottom w:val="single" w:sz="4" w:space="0" w:color="auto"/>
            </w:tcBorders>
          </w:tcPr>
          <w:p w:rsidR="00443EC1" w:rsidRDefault="00443EC1">
            <w:pPr>
              <w:spacing w:before="40" w:after="60" w:line="320" w:lineRule="exact"/>
              <w:jc w:val="center"/>
              <w:rPr>
                <w:rStyle w:val="FootnoteReference"/>
                <w:rFonts w:hint="cs"/>
                <w:bCs w:val="0"/>
                <w:vertAlign w:val="baseline"/>
              </w:rPr>
            </w:pPr>
            <w:r>
              <w:rPr>
                <w:rFonts w:hint="cs"/>
                <w:rtl/>
              </w:rPr>
              <w:t>1999</w:t>
            </w:r>
          </w:p>
        </w:tc>
        <w:tc>
          <w:tcPr>
            <w:tcW w:w="1440" w:type="dxa"/>
            <w:tcBorders>
              <w:bottom w:val="single" w:sz="4" w:space="0" w:color="auto"/>
            </w:tcBorders>
          </w:tcPr>
          <w:p w:rsidR="00443EC1" w:rsidRDefault="00443EC1">
            <w:pPr>
              <w:spacing w:before="40" w:after="60" w:line="320" w:lineRule="exact"/>
              <w:jc w:val="center"/>
              <w:rPr>
                <w:rStyle w:val="FootnoteReference"/>
                <w:rFonts w:hint="cs"/>
                <w:bCs w:val="0"/>
                <w:vertAlign w:val="baseline"/>
              </w:rPr>
            </w:pPr>
            <w:r>
              <w:rPr>
                <w:rFonts w:hint="cs"/>
                <w:rtl/>
              </w:rPr>
              <w:t>2000</w:t>
            </w:r>
          </w:p>
        </w:tc>
        <w:tc>
          <w:tcPr>
            <w:tcW w:w="1440" w:type="dxa"/>
            <w:tcBorders>
              <w:bottom w:val="single" w:sz="4" w:space="0" w:color="auto"/>
            </w:tcBorders>
          </w:tcPr>
          <w:p w:rsidR="00443EC1" w:rsidRDefault="00443EC1">
            <w:pPr>
              <w:spacing w:before="40" w:after="60" w:line="320" w:lineRule="exact"/>
              <w:jc w:val="center"/>
              <w:rPr>
                <w:rStyle w:val="FootnoteReference"/>
                <w:rFonts w:hint="cs"/>
                <w:bCs w:val="0"/>
                <w:vertAlign w:val="baseline"/>
              </w:rPr>
            </w:pPr>
            <w:r>
              <w:rPr>
                <w:rFonts w:hint="cs"/>
                <w:rtl/>
              </w:rPr>
              <w:t>2001</w:t>
            </w:r>
          </w:p>
        </w:tc>
        <w:tc>
          <w:tcPr>
            <w:tcW w:w="1368" w:type="dxa"/>
            <w:tcBorders>
              <w:bottom w:val="single" w:sz="4" w:space="0" w:color="auto"/>
            </w:tcBorders>
          </w:tcPr>
          <w:p w:rsidR="00443EC1" w:rsidRDefault="00443EC1">
            <w:pPr>
              <w:spacing w:before="40" w:after="60" w:line="320" w:lineRule="exact"/>
              <w:jc w:val="center"/>
              <w:rPr>
                <w:rStyle w:val="FootnoteReference"/>
                <w:rFonts w:hint="cs"/>
                <w:bCs w:val="0"/>
                <w:vertAlign w:val="baseline"/>
              </w:rPr>
            </w:pPr>
            <w:r>
              <w:rPr>
                <w:rFonts w:hint="cs"/>
                <w:rtl/>
              </w:rPr>
              <w:t>2002</w:t>
            </w:r>
          </w:p>
        </w:tc>
      </w:tr>
      <w:tr w:rsidR="00443EC1" w:rsidTr="00443EC1">
        <w:tblPrEx>
          <w:tblCellMar>
            <w:top w:w="0" w:type="dxa"/>
            <w:bottom w:w="0" w:type="dxa"/>
          </w:tblCellMar>
        </w:tblPrEx>
        <w:trPr>
          <w:jc w:val="center"/>
        </w:trPr>
        <w:tc>
          <w:tcPr>
            <w:tcW w:w="3600" w:type="dxa"/>
            <w:tcBorders>
              <w:bottom w:val="nil"/>
            </w:tcBorders>
          </w:tcPr>
          <w:p w:rsidR="00443EC1" w:rsidRDefault="00443EC1">
            <w:pPr>
              <w:spacing w:before="0" w:after="0" w:line="320" w:lineRule="exact"/>
              <w:jc w:val="both"/>
              <w:rPr>
                <w:rStyle w:val="FootnoteReference"/>
                <w:rFonts w:hint="cs"/>
                <w:bCs w:val="0"/>
                <w:vertAlign w:val="baseline"/>
              </w:rPr>
            </w:pPr>
            <w:r>
              <w:rPr>
                <w:rFonts w:hint="cs"/>
                <w:rtl/>
              </w:rPr>
              <w:t xml:space="preserve">النسبة المئوية للنشاط </w:t>
            </w:r>
          </w:p>
        </w:tc>
        <w:tc>
          <w:tcPr>
            <w:tcW w:w="1620" w:type="dxa"/>
            <w:tcBorders>
              <w:bottom w:val="nil"/>
            </w:tcBorders>
          </w:tcPr>
          <w:p w:rsidR="00443EC1" w:rsidRDefault="00443EC1">
            <w:pPr>
              <w:spacing w:before="0" w:after="0" w:line="320" w:lineRule="exact"/>
              <w:jc w:val="center"/>
              <w:rPr>
                <w:rStyle w:val="FootnoteReference"/>
                <w:rFonts w:hint="cs"/>
                <w:bCs w:val="0"/>
                <w:vertAlign w:val="baseline"/>
              </w:rPr>
            </w:pPr>
            <w:r>
              <w:rPr>
                <w:rFonts w:hint="cs"/>
                <w:rtl/>
              </w:rPr>
              <w:t>65.5</w:t>
            </w:r>
          </w:p>
        </w:tc>
        <w:tc>
          <w:tcPr>
            <w:tcW w:w="1440" w:type="dxa"/>
            <w:tcBorders>
              <w:bottom w:val="nil"/>
            </w:tcBorders>
          </w:tcPr>
          <w:p w:rsidR="00443EC1" w:rsidRDefault="00443EC1">
            <w:pPr>
              <w:spacing w:before="0" w:after="0" w:line="320" w:lineRule="exact"/>
              <w:jc w:val="center"/>
              <w:rPr>
                <w:rStyle w:val="FootnoteReference"/>
                <w:rFonts w:hint="cs"/>
                <w:bCs w:val="0"/>
                <w:vertAlign w:val="baseline"/>
              </w:rPr>
            </w:pPr>
            <w:r>
              <w:rPr>
                <w:rFonts w:hint="cs"/>
                <w:rtl/>
              </w:rPr>
              <w:t>64.3</w:t>
            </w:r>
          </w:p>
        </w:tc>
        <w:tc>
          <w:tcPr>
            <w:tcW w:w="1440" w:type="dxa"/>
            <w:tcBorders>
              <w:bottom w:val="nil"/>
            </w:tcBorders>
          </w:tcPr>
          <w:p w:rsidR="00443EC1" w:rsidRDefault="00443EC1">
            <w:pPr>
              <w:spacing w:before="0" w:after="0" w:line="320" w:lineRule="exact"/>
              <w:jc w:val="center"/>
              <w:rPr>
                <w:rStyle w:val="FootnoteReference"/>
                <w:rFonts w:hint="cs"/>
                <w:bCs w:val="0"/>
                <w:vertAlign w:val="baseline"/>
              </w:rPr>
            </w:pPr>
            <w:r>
              <w:rPr>
                <w:rFonts w:hint="cs"/>
                <w:rtl/>
              </w:rPr>
              <w:t>64.8</w:t>
            </w:r>
          </w:p>
        </w:tc>
        <w:tc>
          <w:tcPr>
            <w:tcW w:w="1368" w:type="dxa"/>
            <w:tcBorders>
              <w:bottom w:val="nil"/>
            </w:tcBorders>
          </w:tcPr>
          <w:p w:rsidR="00443EC1" w:rsidRDefault="00443EC1">
            <w:pPr>
              <w:spacing w:before="0" w:after="0" w:line="320" w:lineRule="exact"/>
              <w:jc w:val="center"/>
              <w:rPr>
                <w:rStyle w:val="FootnoteReference"/>
                <w:rFonts w:hint="cs"/>
                <w:bCs w:val="0"/>
                <w:vertAlign w:val="baseline"/>
              </w:rPr>
            </w:pPr>
            <w:r>
              <w:rPr>
                <w:rFonts w:hint="cs"/>
                <w:rtl/>
              </w:rPr>
              <w:t>62.3</w:t>
            </w:r>
          </w:p>
        </w:tc>
      </w:tr>
      <w:tr w:rsidR="00443EC1" w:rsidTr="00443EC1">
        <w:tblPrEx>
          <w:tblCellMar>
            <w:top w:w="0" w:type="dxa"/>
            <w:bottom w:w="0" w:type="dxa"/>
          </w:tblCellMar>
        </w:tblPrEx>
        <w:trPr>
          <w:jc w:val="center"/>
        </w:trPr>
        <w:tc>
          <w:tcPr>
            <w:tcW w:w="3600" w:type="dxa"/>
            <w:tcBorders>
              <w:top w:val="nil"/>
              <w:bottom w:val="nil"/>
            </w:tcBorders>
          </w:tcPr>
          <w:p w:rsidR="00443EC1" w:rsidRDefault="00443EC1">
            <w:pPr>
              <w:spacing w:before="0" w:after="0" w:line="320" w:lineRule="exact"/>
              <w:jc w:val="both"/>
              <w:rPr>
                <w:rStyle w:val="FootnoteReference"/>
                <w:rFonts w:hint="cs"/>
                <w:bCs w:val="0"/>
                <w:vertAlign w:val="baseline"/>
              </w:rPr>
            </w:pPr>
            <w:r>
              <w:rPr>
                <w:rFonts w:hint="cs"/>
                <w:rtl/>
              </w:rPr>
              <w:t>ذكور</w:t>
            </w:r>
          </w:p>
        </w:tc>
        <w:tc>
          <w:tcPr>
            <w:tcW w:w="1620" w:type="dxa"/>
            <w:tcBorders>
              <w:top w:val="nil"/>
              <w:bottom w:val="nil"/>
            </w:tcBorders>
          </w:tcPr>
          <w:p w:rsidR="00443EC1" w:rsidRDefault="00443EC1">
            <w:pPr>
              <w:spacing w:before="0" w:after="0" w:line="320" w:lineRule="exact"/>
              <w:jc w:val="center"/>
              <w:rPr>
                <w:rStyle w:val="FootnoteReference"/>
                <w:rFonts w:hint="cs"/>
                <w:bCs w:val="0"/>
                <w:vertAlign w:val="baseline"/>
              </w:rPr>
            </w:pPr>
            <w:r>
              <w:rPr>
                <w:rFonts w:hint="cs"/>
                <w:rtl/>
              </w:rPr>
              <w:t>76.4</w:t>
            </w:r>
          </w:p>
        </w:tc>
        <w:tc>
          <w:tcPr>
            <w:tcW w:w="1440" w:type="dxa"/>
            <w:tcBorders>
              <w:top w:val="nil"/>
              <w:bottom w:val="nil"/>
            </w:tcBorders>
          </w:tcPr>
          <w:p w:rsidR="00443EC1" w:rsidRDefault="00443EC1">
            <w:pPr>
              <w:spacing w:before="0" w:after="0" w:line="320" w:lineRule="exact"/>
              <w:jc w:val="center"/>
              <w:rPr>
                <w:rStyle w:val="FootnoteReference"/>
                <w:rFonts w:hint="cs"/>
                <w:bCs w:val="0"/>
                <w:vertAlign w:val="baseline"/>
              </w:rPr>
            </w:pPr>
            <w:r>
              <w:rPr>
                <w:rFonts w:hint="cs"/>
                <w:rtl/>
              </w:rPr>
              <w:t>74.6</w:t>
            </w:r>
          </w:p>
        </w:tc>
        <w:tc>
          <w:tcPr>
            <w:tcW w:w="1440" w:type="dxa"/>
            <w:tcBorders>
              <w:top w:val="nil"/>
              <w:bottom w:val="nil"/>
            </w:tcBorders>
          </w:tcPr>
          <w:p w:rsidR="00443EC1" w:rsidRDefault="00443EC1">
            <w:pPr>
              <w:spacing w:before="0" w:after="0" w:line="320" w:lineRule="exact"/>
              <w:jc w:val="center"/>
              <w:rPr>
                <w:rStyle w:val="FootnoteReference"/>
                <w:rFonts w:hint="cs"/>
                <w:bCs w:val="0"/>
                <w:vertAlign w:val="baseline"/>
              </w:rPr>
            </w:pPr>
            <w:r>
              <w:rPr>
                <w:rFonts w:hint="cs"/>
                <w:rtl/>
              </w:rPr>
              <w:t>74.7</w:t>
            </w:r>
          </w:p>
        </w:tc>
        <w:tc>
          <w:tcPr>
            <w:tcW w:w="1368" w:type="dxa"/>
            <w:tcBorders>
              <w:top w:val="nil"/>
              <w:bottom w:val="nil"/>
            </w:tcBorders>
          </w:tcPr>
          <w:p w:rsidR="00443EC1" w:rsidRDefault="00443EC1">
            <w:pPr>
              <w:spacing w:before="0" w:after="0" w:line="320" w:lineRule="exact"/>
              <w:jc w:val="center"/>
              <w:rPr>
                <w:rStyle w:val="FootnoteReference"/>
                <w:rFonts w:hint="cs"/>
                <w:bCs w:val="0"/>
                <w:vertAlign w:val="baseline"/>
              </w:rPr>
            </w:pPr>
            <w:r>
              <w:rPr>
                <w:rFonts w:hint="cs"/>
                <w:rtl/>
              </w:rPr>
              <w:t>70.6</w:t>
            </w:r>
          </w:p>
        </w:tc>
      </w:tr>
      <w:tr w:rsidR="00443EC1" w:rsidTr="00443EC1">
        <w:tblPrEx>
          <w:tblCellMar>
            <w:top w:w="0" w:type="dxa"/>
            <w:bottom w:w="0" w:type="dxa"/>
          </w:tblCellMar>
        </w:tblPrEx>
        <w:trPr>
          <w:jc w:val="center"/>
        </w:trPr>
        <w:tc>
          <w:tcPr>
            <w:tcW w:w="3600" w:type="dxa"/>
            <w:tcBorders>
              <w:top w:val="nil"/>
              <w:bottom w:val="nil"/>
            </w:tcBorders>
          </w:tcPr>
          <w:p w:rsidR="00443EC1" w:rsidRDefault="00443EC1">
            <w:pPr>
              <w:spacing w:before="0" w:after="0" w:line="320" w:lineRule="exact"/>
              <w:jc w:val="both"/>
              <w:rPr>
                <w:rStyle w:val="FootnoteReference"/>
                <w:rFonts w:hint="cs"/>
                <w:bCs w:val="0"/>
                <w:vertAlign w:val="baseline"/>
              </w:rPr>
            </w:pPr>
            <w:r>
              <w:rPr>
                <w:rFonts w:hint="cs"/>
                <w:rtl/>
              </w:rPr>
              <w:t>إناث</w:t>
            </w:r>
          </w:p>
        </w:tc>
        <w:tc>
          <w:tcPr>
            <w:tcW w:w="1620" w:type="dxa"/>
            <w:tcBorders>
              <w:top w:val="nil"/>
              <w:bottom w:val="nil"/>
            </w:tcBorders>
          </w:tcPr>
          <w:p w:rsidR="00443EC1" w:rsidRDefault="00443EC1">
            <w:pPr>
              <w:spacing w:before="0" w:after="0" w:line="320" w:lineRule="exact"/>
              <w:jc w:val="center"/>
              <w:rPr>
                <w:rStyle w:val="FootnoteReference"/>
                <w:rFonts w:hint="cs"/>
                <w:bCs w:val="0"/>
                <w:vertAlign w:val="baseline"/>
              </w:rPr>
            </w:pPr>
            <w:r>
              <w:rPr>
                <w:rFonts w:hint="cs"/>
                <w:rtl/>
              </w:rPr>
              <w:t>56.1</w:t>
            </w:r>
          </w:p>
        </w:tc>
        <w:tc>
          <w:tcPr>
            <w:tcW w:w="1440" w:type="dxa"/>
            <w:tcBorders>
              <w:top w:val="nil"/>
              <w:bottom w:val="nil"/>
            </w:tcBorders>
          </w:tcPr>
          <w:p w:rsidR="00443EC1" w:rsidRDefault="00443EC1">
            <w:pPr>
              <w:spacing w:before="0" w:after="0" w:line="320" w:lineRule="exact"/>
              <w:jc w:val="center"/>
              <w:rPr>
                <w:rStyle w:val="FootnoteReference"/>
                <w:rFonts w:hint="cs"/>
                <w:bCs w:val="0"/>
                <w:vertAlign w:val="baseline"/>
              </w:rPr>
            </w:pPr>
            <w:r>
              <w:rPr>
                <w:rFonts w:hint="cs"/>
                <w:rtl/>
              </w:rPr>
              <w:t>55.3</w:t>
            </w:r>
          </w:p>
        </w:tc>
        <w:tc>
          <w:tcPr>
            <w:tcW w:w="1440" w:type="dxa"/>
            <w:tcBorders>
              <w:top w:val="nil"/>
              <w:bottom w:val="nil"/>
            </w:tcBorders>
          </w:tcPr>
          <w:p w:rsidR="00443EC1" w:rsidRDefault="00443EC1">
            <w:pPr>
              <w:spacing w:before="0" w:after="0" w:line="320" w:lineRule="exact"/>
              <w:jc w:val="center"/>
              <w:rPr>
                <w:rStyle w:val="FootnoteReference"/>
                <w:rFonts w:hint="cs"/>
                <w:bCs w:val="0"/>
                <w:vertAlign w:val="baseline"/>
              </w:rPr>
            </w:pPr>
            <w:r>
              <w:rPr>
                <w:rFonts w:hint="cs"/>
                <w:rtl/>
              </w:rPr>
              <w:t>56.2</w:t>
            </w:r>
          </w:p>
        </w:tc>
        <w:tc>
          <w:tcPr>
            <w:tcW w:w="1368" w:type="dxa"/>
            <w:tcBorders>
              <w:top w:val="nil"/>
              <w:bottom w:val="nil"/>
            </w:tcBorders>
          </w:tcPr>
          <w:p w:rsidR="00443EC1" w:rsidRDefault="00443EC1">
            <w:pPr>
              <w:spacing w:before="0" w:after="0" w:line="320" w:lineRule="exact"/>
              <w:jc w:val="center"/>
              <w:rPr>
                <w:rStyle w:val="FootnoteReference"/>
                <w:rFonts w:hint="cs"/>
                <w:bCs w:val="0"/>
                <w:vertAlign w:val="baseline"/>
              </w:rPr>
            </w:pPr>
            <w:r>
              <w:rPr>
                <w:rFonts w:hint="cs"/>
                <w:rtl/>
              </w:rPr>
              <w:t>55.1</w:t>
            </w:r>
          </w:p>
        </w:tc>
      </w:tr>
      <w:tr w:rsidR="00443EC1" w:rsidTr="00443EC1">
        <w:tblPrEx>
          <w:tblCellMar>
            <w:top w:w="0" w:type="dxa"/>
            <w:bottom w:w="0" w:type="dxa"/>
          </w:tblCellMar>
        </w:tblPrEx>
        <w:trPr>
          <w:jc w:val="center"/>
        </w:trPr>
        <w:tc>
          <w:tcPr>
            <w:tcW w:w="3600" w:type="dxa"/>
            <w:tcBorders>
              <w:top w:val="nil"/>
              <w:bottom w:val="nil"/>
            </w:tcBorders>
          </w:tcPr>
          <w:p w:rsidR="00443EC1" w:rsidRDefault="00443EC1">
            <w:pPr>
              <w:spacing w:before="0" w:after="0" w:line="320" w:lineRule="exact"/>
              <w:jc w:val="both"/>
              <w:rPr>
                <w:rStyle w:val="FootnoteReference"/>
                <w:rFonts w:hint="cs"/>
                <w:bCs w:val="0"/>
                <w:vertAlign w:val="baseline"/>
              </w:rPr>
            </w:pPr>
            <w:r>
              <w:rPr>
                <w:rFonts w:hint="cs"/>
                <w:rtl/>
              </w:rPr>
              <w:t>النسبة المئوية للبطالة</w:t>
            </w:r>
          </w:p>
        </w:tc>
        <w:tc>
          <w:tcPr>
            <w:tcW w:w="1620" w:type="dxa"/>
            <w:tcBorders>
              <w:top w:val="nil"/>
              <w:bottom w:val="nil"/>
            </w:tcBorders>
          </w:tcPr>
          <w:p w:rsidR="00443EC1" w:rsidRDefault="00443EC1">
            <w:pPr>
              <w:spacing w:before="0" w:after="0" w:line="320" w:lineRule="exact"/>
              <w:ind w:left="397"/>
              <w:jc w:val="both"/>
              <w:rPr>
                <w:rStyle w:val="FootnoteReference"/>
                <w:rFonts w:hint="cs"/>
                <w:bCs w:val="0"/>
                <w:vertAlign w:val="baseline"/>
              </w:rPr>
            </w:pPr>
            <w:r>
              <w:rPr>
                <w:rFonts w:hint="cs"/>
                <w:rtl/>
              </w:rPr>
              <w:t>6.3</w:t>
            </w:r>
          </w:p>
        </w:tc>
        <w:tc>
          <w:tcPr>
            <w:tcW w:w="1440" w:type="dxa"/>
            <w:tcBorders>
              <w:top w:val="nil"/>
              <w:bottom w:val="nil"/>
            </w:tcBorders>
          </w:tcPr>
          <w:p w:rsidR="00443EC1" w:rsidRDefault="00443EC1">
            <w:pPr>
              <w:spacing w:before="0" w:after="0" w:line="320" w:lineRule="exact"/>
              <w:ind w:left="340"/>
              <w:jc w:val="left"/>
              <w:rPr>
                <w:rStyle w:val="FootnoteReference"/>
                <w:rFonts w:hint="cs"/>
                <w:bCs w:val="0"/>
                <w:vertAlign w:val="baseline"/>
              </w:rPr>
            </w:pPr>
            <w:r>
              <w:rPr>
                <w:rFonts w:hint="cs"/>
                <w:rtl/>
              </w:rPr>
              <w:t>6.8</w:t>
            </w:r>
          </w:p>
        </w:tc>
        <w:tc>
          <w:tcPr>
            <w:tcW w:w="1440" w:type="dxa"/>
            <w:tcBorders>
              <w:top w:val="nil"/>
              <w:bottom w:val="nil"/>
            </w:tcBorders>
          </w:tcPr>
          <w:p w:rsidR="00443EC1" w:rsidRDefault="00443EC1">
            <w:pPr>
              <w:spacing w:before="0" w:after="0" w:line="320" w:lineRule="exact"/>
              <w:ind w:left="340"/>
              <w:jc w:val="left"/>
              <w:rPr>
                <w:rStyle w:val="FootnoteReference"/>
                <w:rFonts w:hint="cs"/>
                <w:bCs w:val="0"/>
                <w:vertAlign w:val="baseline"/>
              </w:rPr>
            </w:pPr>
            <w:r>
              <w:rPr>
                <w:rFonts w:hint="cs"/>
                <w:rtl/>
              </w:rPr>
              <w:t>6.4</w:t>
            </w:r>
          </w:p>
        </w:tc>
        <w:tc>
          <w:tcPr>
            <w:tcW w:w="1368" w:type="dxa"/>
            <w:tcBorders>
              <w:top w:val="nil"/>
              <w:bottom w:val="nil"/>
            </w:tcBorders>
          </w:tcPr>
          <w:p w:rsidR="00443EC1" w:rsidRDefault="00443EC1">
            <w:pPr>
              <w:spacing w:before="0" w:after="0" w:line="320" w:lineRule="exact"/>
              <w:ind w:left="340"/>
              <w:jc w:val="left"/>
              <w:rPr>
                <w:rStyle w:val="FootnoteReference"/>
                <w:rFonts w:hint="cs"/>
                <w:bCs w:val="0"/>
                <w:vertAlign w:val="baseline"/>
              </w:rPr>
            </w:pPr>
            <w:r>
              <w:rPr>
                <w:rFonts w:hint="cs"/>
                <w:rtl/>
              </w:rPr>
              <w:t>6.3</w:t>
            </w:r>
          </w:p>
        </w:tc>
      </w:tr>
      <w:tr w:rsidR="00443EC1" w:rsidTr="00443EC1">
        <w:tblPrEx>
          <w:tblCellMar>
            <w:top w:w="0" w:type="dxa"/>
            <w:bottom w:w="0" w:type="dxa"/>
          </w:tblCellMar>
        </w:tblPrEx>
        <w:trPr>
          <w:jc w:val="center"/>
        </w:trPr>
        <w:tc>
          <w:tcPr>
            <w:tcW w:w="3600" w:type="dxa"/>
            <w:tcBorders>
              <w:top w:val="nil"/>
              <w:bottom w:val="nil"/>
            </w:tcBorders>
          </w:tcPr>
          <w:p w:rsidR="00443EC1" w:rsidRDefault="00443EC1">
            <w:pPr>
              <w:spacing w:before="0" w:after="0" w:line="320" w:lineRule="exact"/>
              <w:jc w:val="both"/>
              <w:rPr>
                <w:rStyle w:val="FootnoteReference"/>
                <w:rFonts w:hint="cs"/>
                <w:bCs w:val="0"/>
                <w:vertAlign w:val="baseline"/>
              </w:rPr>
            </w:pPr>
            <w:r>
              <w:rPr>
                <w:rFonts w:hint="cs"/>
                <w:rtl/>
              </w:rPr>
              <w:t>ذكور</w:t>
            </w:r>
          </w:p>
        </w:tc>
        <w:tc>
          <w:tcPr>
            <w:tcW w:w="1620" w:type="dxa"/>
            <w:tcBorders>
              <w:top w:val="nil"/>
              <w:bottom w:val="nil"/>
            </w:tcBorders>
          </w:tcPr>
          <w:p w:rsidR="00443EC1" w:rsidRDefault="00443EC1">
            <w:pPr>
              <w:spacing w:before="0" w:after="0" w:line="320" w:lineRule="exact"/>
              <w:ind w:left="397"/>
              <w:jc w:val="both"/>
              <w:rPr>
                <w:rStyle w:val="FootnoteReference"/>
                <w:rFonts w:hint="cs"/>
                <w:bCs w:val="0"/>
                <w:vertAlign w:val="baseline"/>
              </w:rPr>
            </w:pPr>
            <w:r>
              <w:rPr>
                <w:rFonts w:hint="cs"/>
                <w:rtl/>
              </w:rPr>
              <w:t>8.0</w:t>
            </w:r>
          </w:p>
        </w:tc>
        <w:tc>
          <w:tcPr>
            <w:tcW w:w="1440" w:type="dxa"/>
            <w:tcBorders>
              <w:top w:val="nil"/>
              <w:bottom w:val="nil"/>
            </w:tcBorders>
          </w:tcPr>
          <w:p w:rsidR="00443EC1" w:rsidRDefault="00443EC1">
            <w:pPr>
              <w:spacing w:before="0" w:after="0" w:line="320" w:lineRule="exact"/>
              <w:ind w:left="340"/>
              <w:jc w:val="left"/>
              <w:rPr>
                <w:rStyle w:val="FootnoteReference"/>
                <w:rFonts w:hint="cs"/>
                <w:bCs w:val="0"/>
                <w:vertAlign w:val="baseline"/>
              </w:rPr>
            </w:pPr>
            <w:r>
              <w:rPr>
                <w:rFonts w:hint="cs"/>
                <w:rtl/>
              </w:rPr>
              <w:t>8.6</w:t>
            </w:r>
          </w:p>
        </w:tc>
        <w:tc>
          <w:tcPr>
            <w:tcW w:w="1440" w:type="dxa"/>
            <w:tcBorders>
              <w:top w:val="nil"/>
              <w:bottom w:val="nil"/>
            </w:tcBorders>
          </w:tcPr>
          <w:p w:rsidR="00443EC1" w:rsidRDefault="00443EC1">
            <w:pPr>
              <w:spacing w:before="0" w:after="0" w:line="320" w:lineRule="exact"/>
              <w:ind w:left="340"/>
              <w:jc w:val="left"/>
              <w:rPr>
                <w:rStyle w:val="FootnoteReference"/>
                <w:rFonts w:hint="cs"/>
                <w:bCs w:val="0"/>
                <w:vertAlign w:val="baseline"/>
              </w:rPr>
            </w:pPr>
            <w:r>
              <w:rPr>
                <w:rFonts w:hint="cs"/>
                <w:rtl/>
              </w:rPr>
              <w:t>8.1</w:t>
            </w:r>
          </w:p>
        </w:tc>
        <w:tc>
          <w:tcPr>
            <w:tcW w:w="1368" w:type="dxa"/>
            <w:tcBorders>
              <w:top w:val="nil"/>
              <w:bottom w:val="nil"/>
            </w:tcBorders>
          </w:tcPr>
          <w:p w:rsidR="00443EC1" w:rsidRDefault="00443EC1">
            <w:pPr>
              <w:spacing w:before="0" w:after="0" w:line="320" w:lineRule="exact"/>
              <w:ind w:left="340"/>
              <w:jc w:val="left"/>
              <w:rPr>
                <w:rStyle w:val="FootnoteReference"/>
                <w:rFonts w:hint="cs"/>
                <w:bCs w:val="0"/>
                <w:vertAlign w:val="baseline"/>
              </w:rPr>
            </w:pPr>
            <w:r>
              <w:rPr>
                <w:rFonts w:hint="cs"/>
                <w:rtl/>
              </w:rPr>
              <w:t>7.9</w:t>
            </w:r>
          </w:p>
        </w:tc>
      </w:tr>
      <w:tr w:rsidR="00443EC1" w:rsidTr="00443EC1">
        <w:tblPrEx>
          <w:tblCellMar>
            <w:top w:w="0" w:type="dxa"/>
            <w:bottom w:w="0" w:type="dxa"/>
          </w:tblCellMar>
        </w:tblPrEx>
        <w:trPr>
          <w:jc w:val="center"/>
        </w:trPr>
        <w:tc>
          <w:tcPr>
            <w:tcW w:w="3600" w:type="dxa"/>
            <w:tcBorders>
              <w:top w:val="nil"/>
              <w:bottom w:val="nil"/>
            </w:tcBorders>
          </w:tcPr>
          <w:p w:rsidR="00443EC1" w:rsidRDefault="00443EC1">
            <w:pPr>
              <w:spacing w:before="0" w:after="0" w:line="320" w:lineRule="exact"/>
              <w:jc w:val="both"/>
              <w:rPr>
                <w:rStyle w:val="FootnoteReference"/>
                <w:rFonts w:hint="cs"/>
                <w:bCs w:val="0"/>
                <w:vertAlign w:val="baseline"/>
              </w:rPr>
            </w:pPr>
            <w:r>
              <w:rPr>
                <w:rFonts w:hint="cs"/>
                <w:rtl/>
              </w:rPr>
              <w:t>إناث</w:t>
            </w:r>
          </w:p>
        </w:tc>
        <w:tc>
          <w:tcPr>
            <w:tcW w:w="1620" w:type="dxa"/>
            <w:tcBorders>
              <w:top w:val="nil"/>
              <w:bottom w:val="nil"/>
            </w:tcBorders>
          </w:tcPr>
          <w:p w:rsidR="00443EC1" w:rsidRDefault="00443EC1">
            <w:pPr>
              <w:spacing w:before="0" w:after="0" w:line="320" w:lineRule="exact"/>
              <w:ind w:left="397"/>
              <w:jc w:val="both"/>
              <w:rPr>
                <w:rStyle w:val="FootnoteReference"/>
                <w:rFonts w:hint="cs"/>
                <w:bCs w:val="0"/>
                <w:vertAlign w:val="baseline"/>
              </w:rPr>
            </w:pPr>
            <w:r>
              <w:rPr>
                <w:rFonts w:hint="cs"/>
                <w:rtl/>
              </w:rPr>
              <w:t>4.4</w:t>
            </w:r>
          </w:p>
        </w:tc>
        <w:tc>
          <w:tcPr>
            <w:tcW w:w="1440" w:type="dxa"/>
            <w:tcBorders>
              <w:top w:val="nil"/>
              <w:bottom w:val="nil"/>
            </w:tcBorders>
          </w:tcPr>
          <w:p w:rsidR="00443EC1" w:rsidRDefault="00443EC1">
            <w:pPr>
              <w:spacing w:before="0" w:after="0" w:line="320" w:lineRule="exact"/>
              <w:ind w:left="340"/>
              <w:jc w:val="left"/>
              <w:rPr>
                <w:rStyle w:val="FootnoteReference"/>
                <w:rFonts w:hint="cs"/>
                <w:bCs w:val="0"/>
                <w:vertAlign w:val="baseline"/>
              </w:rPr>
            </w:pPr>
            <w:r>
              <w:rPr>
                <w:rFonts w:hint="cs"/>
                <w:rtl/>
              </w:rPr>
              <w:t>4.6</w:t>
            </w:r>
          </w:p>
        </w:tc>
        <w:tc>
          <w:tcPr>
            <w:tcW w:w="1440" w:type="dxa"/>
            <w:tcBorders>
              <w:top w:val="nil"/>
              <w:bottom w:val="nil"/>
            </w:tcBorders>
          </w:tcPr>
          <w:p w:rsidR="00443EC1" w:rsidRDefault="00443EC1">
            <w:pPr>
              <w:spacing w:before="0" w:after="0" w:line="320" w:lineRule="exact"/>
              <w:ind w:left="340"/>
              <w:jc w:val="left"/>
              <w:rPr>
                <w:rStyle w:val="FootnoteReference"/>
                <w:rFonts w:hint="cs"/>
                <w:bCs w:val="0"/>
                <w:vertAlign w:val="baseline"/>
              </w:rPr>
            </w:pPr>
            <w:r>
              <w:rPr>
                <w:rFonts w:hint="cs"/>
                <w:rtl/>
              </w:rPr>
              <w:t>4.4</w:t>
            </w:r>
          </w:p>
        </w:tc>
        <w:tc>
          <w:tcPr>
            <w:tcW w:w="1368" w:type="dxa"/>
            <w:tcBorders>
              <w:top w:val="nil"/>
              <w:bottom w:val="nil"/>
            </w:tcBorders>
          </w:tcPr>
          <w:p w:rsidR="00443EC1" w:rsidRDefault="00443EC1">
            <w:pPr>
              <w:spacing w:before="0" w:after="0" w:line="320" w:lineRule="exact"/>
              <w:ind w:left="340"/>
              <w:jc w:val="left"/>
              <w:rPr>
                <w:rStyle w:val="FootnoteReference"/>
                <w:rFonts w:hint="cs"/>
                <w:bCs w:val="0"/>
                <w:vertAlign w:val="baseline"/>
              </w:rPr>
            </w:pPr>
            <w:r>
              <w:rPr>
                <w:rFonts w:hint="cs"/>
                <w:rtl/>
              </w:rPr>
              <w:t>4.5</w:t>
            </w:r>
          </w:p>
        </w:tc>
      </w:tr>
      <w:tr w:rsidR="00443EC1" w:rsidTr="00443EC1">
        <w:tblPrEx>
          <w:tblCellMar>
            <w:top w:w="0" w:type="dxa"/>
            <w:bottom w:w="0" w:type="dxa"/>
          </w:tblCellMar>
        </w:tblPrEx>
        <w:trPr>
          <w:jc w:val="center"/>
        </w:trPr>
        <w:tc>
          <w:tcPr>
            <w:tcW w:w="3600" w:type="dxa"/>
            <w:tcBorders>
              <w:top w:val="nil"/>
            </w:tcBorders>
          </w:tcPr>
          <w:p w:rsidR="00443EC1" w:rsidRDefault="00443EC1">
            <w:pPr>
              <w:spacing w:before="0" w:after="0" w:line="320" w:lineRule="exact"/>
              <w:jc w:val="both"/>
              <w:rPr>
                <w:rFonts w:hint="cs"/>
                <w:rtl/>
              </w:rPr>
            </w:pPr>
            <w:r>
              <w:rPr>
                <w:rFonts w:hint="cs"/>
                <w:rtl/>
              </w:rPr>
              <w:t>النسبة المئوية لنقص العمالة</w:t>
            </w:r>
          </w:p>
        </w:tc>
        <w:tc>
          <w:tcPr>
            <w:tcW w:w="1620" w:type="dxa"/>
            <w:tcBorders>
              <w:top w:val="nil"/>
            </w:tcBorders>
          </w:tcPr>
          <w:p w:rsidR="00443EC1" w:rsidRDefault="00443EC1">
            <w:pPr>
              <w:spacing w:before="0" w:after="0" w:line="320" w:lineRule="exact"/>
              <w:ind w:left="397"/>
              <w:jc w:val="both"/>
              <w:rPr>
                <w:rStyle w:val="FootnoteReference"/>
                <w:rFonts w:hint="cs"/>
                <w:bCs w:val="0"/>
                <w:vertAlign w:val="baseline"/>
              </w:rPr>
            </w:pPr>
            <w:r>
              <w:rPr>
                <w:rFonts w:hint="cs"/>
                <w:rtl/>
              </w:rPr>
              <w:t>1.3</w:t>
            </w:r>
          </w:p>
        </w:tc>
        <w:tc>
          <w:tcPr>
            <w:tcW w:w="1440" w:type="dxa"/>
            <w:tcBorders>
              <w:top w:val="nil"/>
            </w:tcBorders>
          </w:tcPr>
          <w:p w:rsidR="00443EC1" w:rsidRDefault="00443EC1">
            <w:pPr>
              <w:spacing w:before="0" w:after="0" w:line="320" w:lineRule="exact"/>
              <w:ind w:left="340"/>
              <w:jc w:val="left"/>
              <w:rPr>
                <w:rStyle w:val="FootnoteReference"/>
                <w:rFonts w:hint="cs"/>
                <w:bCs w:val="0"/>
                <w:vertAlign w:val="baseline"/>
              </w:rPr>
            </w:pPr>
            <w:r>
              <w:rPr>
                <w:rFonts w:hint="cs"/>
                <w:rtl/>
              </w:rPr>
              <w:t>3.0</w:t>
            </w:r>
          </w:p>
        </w:tc>
        <w:tc>
          <w:tcPr>
            <w:tcW w:w="1440" w:type="dxa"/>
            <w:tcBorders>
              <w:top w:val="nil"/>
            </w:tcBorders>
          </w:tcPr>
          <w:p w:rsidR="00443EC1" w:rsidRDefault="00443EC1">
            <w:pPr>
              <w:spacing w:before="0" w:after="0" w:line="320" w:lineRule="exact"/>
              <w:ind w:left="340"/>
              <w:jc w:val="left"/>
              <w:rPr>
                <w:rStyle w:val="FootnoteReference"/>
                <w:rFonts w:hint="cs"/>
                <w:bCs w:val="0"/>
                <w:vertAlign w:val="baseline"/>
              </w:rPr>
            </w:pPr>
            <w:r>
              <w:rPr>
                <w:rFonts w:hint="cs"/>
                <w:rtl/>
              </w:rPr>
              <w:t>3.6</w:t>
            </w:r>
          </w:p>
        </w:tc>
        <w:tc>
          <w:tcPr>
            <w:tcW w:w="1368" w:type="dxa"/>
            <w:tcBorders>
              <w:top w:val="nil"/>
            </w:tcBorders>
          </w:tcPr>
          <w:p w:rsidR="00443EC1" w:rsidRDefault="00443EC1">
            <w:pPr>
              <w:spacing w:before="0" w:after="0" w:line="320" w:lineRule="exact"/>
              <w:ind w:left="340"/>
              <w:jc w:val="left"/>
              <w:rPr>
                <w:rStyle w:val="FootnoteReference"/>
                <w:rFonts w:hint="cs"/>
                <w:bCs w:val="0"/>
                <w:vertAlign w:val="baseline"/>
              </w:rPr>
            </w:pPr>
            <w:r>
              <w:rPr>
                <w:rFonts w:hint="cs"/>
                <w:rtl/>
              </w:rPr>
              <w:t>3.4</w:t>
            </w:r>
          </w:p>
        </w:tc>
      </w:tr>
    </w:tbl>
    <w:p w:rsidR="00000000" w:rsidRDefault="00443EC1">
      <w:pPr>
        <w:spacing w:line="380" w:lineRule="exact"/>
        <w:jc w:val="both"/>
        <w:rPr>
          <w:rFonts w:hint="cs"/>
          <w:rtl/>
        </w:rPr>
      </w:pPr>
      <w:r>
        <w:rPr>
          <w:rFonts w:hint="cs"/>
          <w:rtl/>
        </w:rPr>
        <w:tab/>
      </w:r>
      <w:r>
        <w:rPr>
          <w:rFonts w:hint="cs"/>
          <w:i/>
          <w:iCs/>
          <w:rtl/>
        </w:rPr>
        <w:t>المصدر</w:t>
      </w:r>
      <w:r>
        <w:rPr>
          <w:rFonts w:hint="cs"/>
          <w:rtl/>
        </w:rPr>
        <w:t>: دراسة استقصائية عن العمالة، إدارة الإحصاء والتعداد.</w:t>
      </w:r>
    </w:p>
    <w:p w:rsidR="00000000" w:rsidRDefault="00443EC1">
      <w:pPr>
        <w:spacing w:line="380" w:lineRule="exact"/>
        <w:jc w:val="both"/>
        <w:rPr>
          <w:rFonts w:hint="cs"/>
          <w:rtl/>
        </w:rPr>
      </w:pPr>
      <w:r>
        <w:rPr>
          <w:rFonts w:hint="cs"/>
          <w:rtl/>
        </w:rPr>
        <w:t>836-</w:t>
      </w:r>
      <w:r>
        <w:rPr>
          <w:rFonts w:hint="cs"/>
          <w:rtl/>
        </w:rPr>
        <w:tab/>
        <w:t>وساهمت الأسباب السالفة الذكر في ارتفاع نقص العمالة، بسبب عدم إمكانية تخصيص فرص عمل وفقاً لمؤهلات</w:t>
      </w:r>
      <w:r>
        <w:rPr>
          <w:rFonts w:hint="cs"/>
          <w:rtl/>
        </w:rPr>
        <w:t xml:space="preserve"> العمّال.</w:t>
      </w:r>
    </w:p>
    <w:p w:rsidR="00000000" w:rsidRDefault="00443EC1">
      <w:pPr>
        <w:spacing w:line="380" w:lineRule="exact"/>
        <w:jc w:val="both"/>
        <w:rPr>
          <w:rFonts w:hint="cs"/>
          <w:rtl/>
        </w:rPr>
      </w:pPr>
      <w:r>
        <w:rPr>
          <w:rFonts w:hint="cs"/>
          <w:rtl/>
        </w:rPr>
        <w:t>837-</w:t>
      </w:r>
      <w:r>
        <w:rPr>
          <w:rFonts w:hint="cs"/>
          <w:rtl/>
        </w:rPr>
        <w:tab/>
        <w:t xml:space="preserve">وتبعاً لذلك، اعتمدت حكومة مقاطعة ماكاو تدابير وبرامج جديدة للنهوض بارتقاء العمال مثل العمال الأكفاء وتحديث التدريب المهني والتقني بغية تجاوز ذلك المنحى ومواجهة الاحتياجات الجديدة للسوق. ولوحظت مؤشرات الانتعاش الاقتصادي خلال الفترة 2001-2002 </w:t>
      </w:r>
      <w:r>
        <w:rPr>
          <w:rFonts w:hint="cs"/>
          <w:rtl/>
        </w:rPr>
        <w:t>أصلاً كنتيجة إيجابية ولّدتها تلك التدابير.</w:t>
      </w:r>
    </w:p>
    <w:p w:rsidR="00000000" w:rsidRDefault="00443EC1">
      <w:pPr>
        <w:spacing w:line="380" w:lineRule="exact"/>
        <w:jc w:val="both"/>
        <w:rPr>
          <w:rFonts w:hint="cs"/>
          <w:rtl/>
        </w:rPr>
      </w:pPr>
      <w:r>
        <w:rPr>
          <w:rFonts w:hint="cs"/>
          <w:rtl/>
        </w:rPr>
        <w:t>838-</w:t>
      </w:r>
      <w:r>
        <w:rPr>
          <w:rFonts w:hint="cs"/>
          <w:rtl/>
        </w:rPr>
        <w:tab/>
        <w:t>وينص القانون 4/98/م، المشار إليه أعلاه، على أن لجميع العمال في مقاطعة ماكاو الحق في أجر وفقاً لطبيعة عملهم ونوعيته وكميته، وفي تلقّي أجر عن عمل ذي قيمة متساوية، وفي ظروف عمل صحية وآمنة، وفي قدر أدنى من الساعا</w:t>
      </w:r>
      <w:r>
        <w:rPr>
          <w:rFonts w:hint="cs"/>
          <w:rtl/>
        </w:rPr>
        <w:t>ت التي تحدد ليوم عمل، وفي عطلة أسبوعية وعطل دورية مدفوعة الأجر، فضلاً عن الحق في الحصول على مكافأة مقابل العمل في الأعياد المحلية، وفي الانضمام إلى رابطات تمثل مصالحهم (المادة 5).</w:t>
      </w:r>
    </w:p>
    <w:p w:rsidR="00000000" w:rsidRDefault="00443EC1">
      <w:pPr>
        <w:spacing w:line="380" w:lineRule="exact"/>
        <w:jc w:val="both"/>
        <w:rPr>
          <w:rFonts w:hint="cs"/>
          <w:rtl/>
        </w:rPr>
      </w:pPr>
      <w:r>
        <w:rPr>
          <w:rFonts w:hint="cs"/>
          <w:rtl/>
        </w:rPr>
        <w:t>839-</w:t>
      </w:r>
      <w:r>
        <w:rPr>
          <w:rFonts w:hint="cs"/>
          <w:rtl/>
        </w:rPr>
        <w:tab/>
        <w:t>وتقضي التشريعات بتقديم المساعدة في حالة المرض أو الحمل، والتأمين ضد حوا</w:t>
      </w:r>
      <w:r>
        <w:rPr>
          <w:rFonts w:hint="cs"/>
          <w:rtl/>
        </w:rPr>
        <w:t>دث العمل والأمراض المهنية لفائدة العمال غير المقيمين (المادتان 15 و37 من المرسوم بقانون 24/89/م).</w:t>
      </w:r>
    </w:p>
    <w:p w:rsidR="00000000" w:rsidRDefault="00443EC1">
      <w:pPr>
        <w:spacing w:line="380" w:lineRule="exact"/>
        <w:jc w:val="both"/>
        <w:rPr>
          <w:rFonts w:hint="cs"/>
          <w:b/>
          <w:bCs/>
          <w:sz w:val="36"/>
          <w:szCs w:val="36"/>
          <w:rtl/>
        </w:rPr>
      </w:pPr>
      <w:r>
        <w:rPr>
          <w:rFonts w:hint="cs"/>
          <w:rtl/>
        </w:rPr>
        <w:t>840-</w:t>
      </w:r>
      <w:r>
        <w:rPr>
          <w:rFonts w:hint="cs"/>
          <w:rtl/>
        </w:rPr>
        <w:tab/>
        <w:t>وفي هذا الإطار، ينبغي الإشارة إلى أن اتفاقية منظمة العمل الدولية بشأن المساواة بين العمال المحليين والأجانب فيما يتعلق بالتعويض عن إصابات العمل (الاتفاقي</w:t>
      </w:r>
      <w:r>
        <w:rPr>
          <w:rFonts w:hint="cs"/>
          <w:rtl/>
        </w:rPr>
        <w:t>ة رقم 19 لعام 1925) تنطبق في مقاطعة ماكاو.</w:t>
      </w:r>
    </w:p>
    <w:p w:rsidR="00000000" w:rsidRDefault="00443EC1">
      <w:pPr>
        <w:spacing w:line="380" w:lineRule="exact"/>
        <w:jc w:val="both"/>
        <w:rPr>
          <w:rFonts w:hint="cs"/>
          <w:b/>
          <w:bCs/>
          <w:sz w:val="28"/>
          <w:rtl/>
        </w:rPr>
      </w:pPr>
      <w:r>
        <w:rPr>
          <w:rFonts w:hint="cs"/>
          <w:b/>
          <w:bCs/>
          <w:sz w:val="28"/>
          <w:rtl/>
        </w:rPr>
        <w:t>التطور التدريجي لعدد العمال غير المقيمين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0"/>
        <w:gridCol w:w="1620"/>
        <w:gridCol w:w="1620"/>
        <w:gridCol w:w="1620"/>
        <w:gridCol w:w="1440"/>
      </w:tblGrid>
      <w:tr w:rsidR="00443EC1" w:rsidTr="00443EC1">
        <w:tblPrEx>
          <w:tblCellMar>
            <w:top w:w="0" w:type="dxa"/>
            <w:bottom w:w="0" w:type="dxa"/>
          </w:tblCellMar>
        </w:tblPrEx>
        <w:trPr>
          <w:jc w:val="center"/>
        </w:trPr>
        <w:tc>
          <w:tcPr>
            <w:tcW w:w="3060" w:type="dxa"/>
            <w:tcBorders>
              <w:bottom w:val="single" w:sz="4" w:space="0" w:color="auto"/>
            </w:tcBorders>
          </w:tcPr>
          <w:p w:rsidR="00443EC1" w:rsidRDefault="00443EC1">
            <w:pPr>
              <w:spacing w:before="60" w:after="60" w:line="320" w:lineRule="exact"/>
              <w:jc w:val="center"/>
              <w:rPr>
                <w:rStyle w:val="FootnoteReference"/>
                <w:rFonts w:hint="cs"/>
                <w:vertAlign w:val="baseline"/>
              </w:rPr>
            </w:pPr>
            <w:r>
              <w:rPr>
                <w:rFonts w:hint="cs"/>
                <w:rtl/>
              </w:rPr>
              <w:t>السنة</w:t>
            </w:r>
          </w:p>
        </w:tc>
        <w:tc>
          <w:tcPr>
            <w:tcW w:w="1620" w:type="dxa"/>
            <w:tcBorders>
              <w:bottom w:val="single" w:sz="4" w:space="0" w:color="auto"/>
            </w:tcBorders>
          </w:tcPr>
          <w:p w:rsidR="00443EC1" w:rsidRDefault="00443EC1">
            <w:pPr>
              <w:spacing w:before="60" w:after="60" w:line="320" w:lineRule="exact"/>
              <w:jc w:val="center"/>
              <w:rPr>
                <w:rStyle w:val="FootnoteReference"/>
                <w:rFonts w:hint="cs"/>
                <w:vertAlign w:val="baseline"/>
              </w:rPr>
            </w:pPr>
            <w:r>
              <w:rPr>
                <w:rFonts w:hint="cs"/>
                <w:rtl/>
              </w:rPr>
              <w:t>1999</w:t>
            </w:r>
          </w:p>
        </w:tc>
        <w:tc>
          <w:tcPr>
            <w:tcW w:w="1620" w:type="dxa"/>
            <w:tcBorders>
              <w:bottom w:val="single" w:sz="4" w:space="0" w:color="auto"/>
            </w:tcBorders>
          </w:tcPr>
          <w:p w:rsidR="00443EC1" w:rsidRDefault="00443EC1">
            <w:pPr>
              <w:spacing w:before="60" w:after="60" w:line="320" w:lineRule="exact"/>
              <w:jc w:val="center"/>
              <w:rPr>
                <w:rStyle w:val="FootnoteReference"/>
                <w:rFonts w:hint="cs"/>
                <w:vertAlign w:val="baseline"/>
              </w:rPr>
            </w:pPr>
            <w:r>
              <w:rPr>
                <w:rFonts w:hint="cs"/>
                <w:rtl/>
              </w:rPr>
              <w:t>2000</w:t>
            </w:r>
          </w:p>
        </w:tc>
        <w:tc>
          <w:tcPr>
            <w:tcW w:w="1620" w:type="dxa"/>
            <w:tcBorders>
              <w:bottom w:val="single" w:sz="4" w:space="0" w:color="auto"/>
            </w:tcBorders>
          </w:tcPr>
          <w:p w:rsidR="00443EC1" w:rsidRDefault="00443EC1">
            <w:pPr>
              <w:spacing w:before="60" w:after="60" w:line="320" w:lineRule="exact"/>
              <w:jc w:val="center"/>
              <w:rPr>
                <w:rStyle w:val="FootnoteReference"/>
                <w:rFonts w:hint="cs"/>
                <w:vertAlign w:val="baseline"/>
              </w:rPr>
            </w:pPr>
            <w:r>
              <w:rPr>
                <w:rFonts w:hint="cs"/>
                <w:rtl/>
              </w:rPr>
              <w:t>2001</w:t>
            </w:r>
          </w:p>
        </w:tc>
        <w:tc>
          <w:tcPr>
            <w:tcW w:w="1440" w:type="dxa"/>
            <w:tcBorders>
              <w:bottom w:val="single" w:sz="4" w:space="0" w:color="auto"/>
            </w:tcBorders>
          </w:tcPr>
          <w:p w:rsidR="00443EC1" w:rsidRDefault="00443EC1">
            <w:pPr>
              <w:spacing w:before="60" w:after="60" w:line="320" w:lineRule="exact"/>
              <w:jc w:val="center"/>
              <w:rPr>
                <w:rStyle w:val="FootnoteReference"/>
                <w:rFonts w:hint="cs"/>
                <w:vertAlign w:val="baseline"/>
              </w:rPr>
            </w:pPr>
            <w:r>
              <w:rPr>
                <w:rFonts w:hint="cs"/>
                <w:rtl/>
              </w:rPr>
              <w:t>2002</w:t>
            </w:r>
          </w:p>
        </w:tc>
      </w:tr>
      <w:tr w:rsidR="00443EC1" w:rsidTr="00443EC1">
        <w:tblPrEx>
          <w:tblCellMar>
            <w:top w:w="0" w:type="dxa"/>
            <w:bottom w:w="0" w:type="dxa"/>
          </w:tblCellMar>
        </w:tblPrEx>
        <w:trPr>
          <w:jc w:val="center"/>
        </w:trPr>
        <w:tc>
          <w:tcPr>
            <w:tcW w:w="3060" w:type="dxa"/>
            <w:tcBorders>
              <w:bottom w:val="nil"/>
            </w:tcBorders>
          </w:tcPr>
          <w:p w:rsidR="00443EC1" w:rsidRDefault="00443EC1">
            <w:pPr>
              <w:spacing w:before="0" w:after="0" w:line="240" w:lineRule="exact"/>
              <w:jc w:val="both"/>
              <w:rPr>
                <w:rStyle w:val="FootnoteReference"/>
                <w:rFonts w:hint="cs"/>
                <w:bCs w:val="0"/>
                <w:vertAlign w:val="baseline"/>
              </w:rPr>
            </w:pPr>
            <w:r>
              <w:rPr>
                <w:rFonts w:hint="cs"/>
                <w:rtl/>
              </w:rPr>
              <w:t>الوافدون</w:t>
            </w:r>
          </w:p>
        </w:tc>
        <w:tc>
          <w:tcPr>
            <w:tcW w:w="1620" w:type="dxa"/>
            <w:tcBorders>
              <w:bottom w:val="nil"/>
            </w:tcBorders>
          </w:tcPr>
          <w:p w:rsidR="00443EC1" w:rsidRDefault="00443EC1">
            <w:pPr>
              <w:spacing w:before="0" w:after="0" w:line="240" w:lineRule="exact"/>
              <w:ind w:left="284"/>
              <w:jc w:val="both"/>
              <w:rPr>
                <w:rStyle w:val="FootnoteReference"/>
                <w:rFonts w:hint="cs"/>
                <w:bCs w:val="0"/>
                <w:vertAlign w:val="baseline"/>
              </w:rPr>
            </w:pPr>
            <w:r>
              <w:rPr>
                <w:rFonts w:hint="cs"/>
                <w:rtl/>
              </w:rPr>
              <w:t>988 9</w:t>
            </w:r>
          </w:p>
        </w:tc>
        <w:tc>
          <w:tcPr>
            <w:tcW w:w="1620" w:type="dxa"/>
            <w:tcBorders>
              <w:bottom w:val="nil"/>
            </w:tcBorders>
          </w:tcPr>
          <w:p w:rsidR="00443EC1" w:rsidRDefault="00443EC1">
            <w:pPr>
              <w:spacing w:before="0" w:after="0" w:line="240" w:lineRule="exact"/>
              <w:ind w:left="284"/>
              <w:jc w:val="both"/>
              <w:rPr>
                <w:rStyle w:val="FootnoteReference"/>
                <w:rFonts w:hint="cs"/>
                <w:bCs w:val="0"/>
                <w:vertAlign w:val="baseline"/>
              </w:rPr>
            </w:pPr>
            <w:r>
              <w:rPr>
                <w:rFonts w:hint="cs"/>
                <w:rtl/>
              </w:rPr>
              <w:t>334 7</w:t>
            </w:r>
          </w:p>
        </w:tc>
        <w:tc>
          <w:tcPr>
            <w:tcW w:w="1620" w:type="dxa"/>
            <w:tcBorders>
              <w:bottom w:val="nil"/>
            </w:tcBorders>
          </w:tcPr>
          <w:p w:rsidR="00443EC1" w:rsidRDefault="00443EC1">
            <w:pPr>
              <w:spacing w:before="0" w:after="0" w:line="240" w:lineRule="exact"/>
              <w:ind w:left="284"/>
              <w:jc w:val="both"/>
              <w:rPr>
                <w:rStyle w:val="FootnoteReference"/>
                <w:rFonts w:hint="cs"/>
                <w:bCs w:val="0"/>
                <w:vertAlign w:val="baseline"/>
              </w:rPr>
            </w:pPr>
            <w:r>
              <w:rPr>
                <w:rFonts w:hint="cs"/>
                <w:rtl/>
              </w:rPr>
              <w:t>542 7</w:t>
            </w:r>
          </w:p>
        </w:tc>
        <w:tc>
          <w:tcPr>
            <w:tcW w:w="1440" w:type="dxa"/>
            <w:tcBorders>
              <w:bottom w:val="nil"/>
            </w:tcBorders>
          </w:tcPr>
          <w:p w:rsidR="00443EC1" w:rsidRDefault="00443EC1">
            <w:pPr>
              <w:spacing w:before="0" w:after="0" w:line="240" w:lineRule="exact"/>
              <w:ind w:left="284"/>
              <w:jc w:val="both"/>
              <w:rPr>
                <w:rStyle w:val="FootnoteReference"/>
                <w:rFonts w:hint="cs"/>
                <w:bCs w:val="0"/>
                <w:vertAlign w:val="baseline"/>
              </w:rPr>
            </w:pPr>
            <w:r>
              <w:rPr>
                <w:rFonts w:hint="cs"/>
                <w:rtl/>
              </w:rPr>
              <w:t>720 7</w:t>
            </w:r>
          </w:p>
        </w:tc>
      </w:tr>
      <w:tr w:rsidR="00443EC1" w:rsidTr="00443EC1">
        <w:tblPrEx>
          <w:tblCellMar>
            <w:top w:w="0" w:type="dxa"/>
            <w:bottom w:w="0" w:type="dxa"/>
          </w:tblCellMar>
        </w:tblPrEx>
        <w:trPr>
          <w:jc w:val="center"/>
        </w:trPr>
        <w:tc>
          <w:tcPr>
            <w:tcW w:w="3060" w:type="dxa"/>
            <w:tcBorders>
              <w:top w:val="nil"/>
              <w:bottom w:val="nil"/>
            </w:tcBorders>
          </w:tcPr>
          <w:p w:rsidR="00443EC1" w:rsidRDefault="00443EC1">
            <w:pPr>
              <w:spacing w:before="0" w:after="0" w:line="240" w:lineRule="exact"/>
              <w:jc w:val="both"/>
              <w:rPr>
                <w:rStyle w:val="FootnoteReference"/>
                <w:rFonts w:hint="cs"/>
                <w:bCs w:val="0"/>
                <w:vertAlign w:val="baseline"/>
              </w:rPr>
            </w:pPr>
            <w:r>
              <w:rPr>
                <w:rFonts w:hint="cs"/>
                <w:rtl/>
              </w:rPr>
              <w:t>المغادرون</w:t>
            </w:r>
          </w:p>
        </w:tc>
        <w:tc>
          <w:tcPr>
            <w:tcW w:w="1620" w:type="dxa"/>
            <w:tcBorders>
              <w:top w:val="nil"/>
              <w:bottom w:val="nil"/>
            </w:tcBorders>
          </w:tcPr>
          <w:p w:rsidR="00443EC1" w:rsidRDefault="00443EC1">
            <w:pPr>
              <w:spacing w:before="0" w:after="0" w:line="240" w:lineRule="exact"/>
              <w:ind w:left="284"/>
              <w:jc w:val="both"/>
              <w:rPr>
                <w:rStyle w:val="FootnoteReference"/>
                <w:rFonts w:hint="cs"/>
                <w:bCs w:val="0"/>
                <w:vertAlign w:val="baseline"/>
              </w:rPr>
            </w:pPr>
            <w:r>
              <w:rPr>
                <w:rFonts w:hint="cs"/>
                <w:rtl/>
              </w:rPr>
              <w:t>818 9</w:t>
            </w:r>
          </w:p>
        </w:tc>
        <w:tc>
          <w:tcPr>
            <w:tcW w:w="1620" w:type="dxa"/>
            <w:tcBorders>
              <w:top w:val="nil"/>
              <w:bottom w:val="nil"/>
            </w:tcBorders>
          </w:tcPr>
          <w:p w:rsidR="00443EC1" w:rsidRDefault="00443EC1">
            <w:pPr>
              <w:spacing w:before="0" w:after="0" w:line="240" w:lineRule="exact"/>
              <w:ind w:left="284"/>
              <w:jc w:val="both"/>
              <w:rPr>
                <w:rStyle w:val="FootnoteReference"/>
                <w:rFonts w:hint="cs"/>
                <w:bCs w:val="0"/>
                <w:vertAlign w:val="baseline"/>
              </w:rPr>
            </w:pPr>
            <w:r>
              <w:rPr>
                <w:rFonts w:hint="cs"/>
                <w:rtl/>
              </w:rPr>
              <w:t>296 12</w:t>
            </w:r>
          </w:p>
        </w:tc>
        <w:tc>
          <w:tcPr>
            <w:tcW w:w="1620" w:type="dxa"/>
            <w:tcBorders>
              <w:top w:val="nil"/>
              <w:bottom w:val="nil"/>
            </w:tcBorders>
          </w:tcPr>
          <w:p w:rsidR="00443EC1" w:rsidRDefault="00443EC1">
            <w:pPr>
              <w:spacing w:before="0" w:after="0" w:line="240" w:lineRule="exact"/>
              <w:ind w:left="284"/>
              <w:jc w:val="both"/>
              <w:rPr>
                <w:rStyle w:val="FootnoteReference"/>
                <w:rFonts w:hint="cs"/>
                <w:bCs w:val="0"/>
                <w:vertAlign w:val="baseline"/>
              </w:rPr>
            </w:pPr>
            <w:r>
              <w:rPr>
                <w:rFonts w:hint="cs"/>
                <w:rtl/>
              </w:rPr>
              <w:t>838 8</w:t>
            </w:r>
          </w:p>
        </w:tc>
        <w:tc>
          <w:tcPr>
            <w:tcW w:w="1440" w:type="dxa"/>
            <w:tcBorders>
              <w:top w:val="nil"/>
              <w:bottom w:val="nil"/>
            </w:tcBorders>
          </w:tcPr>
          <w:p w:rsidR="00443EC1" w:rsidRDefault="00443EC1">
            <w:pPr>
              <w:spacing w:before="0" w:after="0" w:line="240" w:lineRule="exact"/>
              <w:ind w:left="284"/>
              <w:jc w:val="both"/>
              <w:rPr>
                <w:rStyle w:val="FootnoteReference"/>
                <w:rFonts w:hint="cs"/>
                <w:bCs w:val="0"/>
                <w:vertAlign w:val="baseline"/>
              </w:rPr>
            </w:pPr>
            <w:r>
              <w:rPr>
                <w:rFonts w:hint="cs"/>
                <w:rtl/>
              </w:rPr>
              <w:t>185 10</w:t>
            </w:r>
          </w:p>
        </w:tc>
      </w:tr>
      <w:tr w:rsidR="00443EC1" w:rsidTr="00443EC1">
        <w:tblPrEx>
          <w:tblCellMar>
            <w:top w:w="0" w:type="dxa"/>
            <w:bottom w:w="0" w:type="dxa"/>
          </w:tblCellMar>
        </w:tblPrEx>
        <w:trPr>
          <w:jc w:val="center"/>
        </w:trPr>
        <w:tc>
          <w:tcPr>
            <w:tcW w:w="3060" w:type="dxa"/>
            <w:tcBorders>
              <w:top w:val="nil"/>
              <w:bottom w:val="nil"/>
            </w:tcBorders>
          </w:tcPr>
          <w:p w:rsidR="00443EC1" w:rsidRDefault="00443EC1">
            <w:pPr>
              <w:spacing w:before="0" w:after="0" w:line="240" w:lineRule="exact"/>
              <w:jc w:val="both"/>
              <w:rPr>
                <w:rStyle w:val="FootnoteReference"/>
                <w:rFonts w:hint="cs"/>
                <w:bCs w:val="0"/>
                <w:vertAlign w:val="baseline"/>
              </w:rPr>
            </w:pPr>
            <w:r>
              <w:rPr>
                <w:rFonts w:hint="cs"/>
                <w:rtl/>
              </w:rPr>
              <w:t>الرصيد</w:t>
            </w:r>
          </w:p>
        </w:tc>
        <w:tc>
          <w:tcPr>
            <w:tcW w:w="1620" w:type="dxa"/>
            <w:tcBorders>
              <w:top w:val="nil"/>
              <w:bottom w:val="nil"/>
            </w:tcBorders>
          </w:tcPr>
          <w:p w:rsidR="00443EC1" w:rsidRDefault="00443EC1">
            <w:pPr>
              <w:spacing w:before="0" w:after="0" w:line="240" w:lineRule="exact"/>
              <w:ind w:left="284"/>
              <w:jc w:val="both"/>
              <w:rPr>
                <w:rStyle w:val="FootnoteReference"/>
                <w:rFonts w:hint="cs"/>
                <w:bCs w:val="0"/>
                <w:vertAlign w:val="baseline"/>
              </w:rPr>
            </w:pPr>
            <w:r>
              <w:rPr>
                <w:rFonts w:hint="cs"/>
                <w:rtl/>
              </w:rPr>
              <w:t>183 32</w:t>
            </w:r>
          </w:p>
        </w:tc>
        <w:tc>
          <w:tcPr>
            <w:tcW w:w="1620" w:type="dxa"/>
            <w:tcBorders>
              <w:top w:val="nil"/>
              <w:bottom w:val="nil"/>
            </w:tcBorders>
          </w:tcPr>
          <w:p w:rsidR="00443EC1" w:rsidRDefault="00443EC1">
            <w:pPr>
              <w:spacing w:before="0" w:after="0" w:line="240" w:lineRule="exact"/>
              <w:ind w:left="284"/>
              <w:jc w:val="both"/>
              <w:rPr>
                <w:rStyle w:val="FootnoteReference"/>
                <w:rFonts w:hint="cs"/>
                <w:bCs w:val="0"/>
                <w:vertAlign w:val="baseline"/>
              </w:rPr>
            </w:pPr>
            <w:r>
              <w:rPr>
                <w:rFonts w:hint="cs"/>
                <w:rtl/>
              </w:rPr>
              <w:t>221 27</w:t>
            </w:r>
          </w:p>
        </w:tc>
        <w:tc>
          <w:tcPr>
            <w:tcW w:w="1620" w:type="dxa"/>
            <w:tcBorders>
              <w:top w:val="nil"/>
              <w:bottom w:val="nil"/>
            </w:tcBorders>
          </w:tcPr>
          <w:p w:rsidR="00443EC1" w:rsidRDefault="00443EC1">
            <w:pPr>
              <w:spacing w:before="0" w:after="0" w:line="240" w:lineRule="exact"/>
              <w:ind w:left="284"/>
              <w:jc w:val="both"/>
              <w:rPr>
                <w:rStyle w:val="FootnoteReference"/>
                <w:rFonts w:hint="cs"/>
                <w:bCs w:val="0"/>
                <w:vertAlign w:val="baseline"/>
              </w:rPr>
            </w:pPr>
            <w:r>
              <w:rPr>
                <w:rFonts w:hint="cs"/>
                <w:rtl/>
              </w:rPr>
              <w:t>925 25</w:t>
            </w:r>
          </w:p>
        </w:tc>
        <w:tc>
          <w:tcPr>
            <w:tcW w:w="1440" w:type="dxa"/>
            <w:tcBorders>
              <w:top w:val="nil"/>
              <w:bottom w:val="nil"/>
            </w:tcBorders>
          </w:tcPr>
          <w:p w:rsidR="00443EC1" w:rsidRDefault="00443EC1">
            <w:pPr>
              <w:spacing w:before="0" w:after="0" w:line="240" w:lineRule="exact"/>
              <w:ind w:left="284"/>
              <w:jc w:val="both"/>
              <w:rPr>
                <w:rStyle w:val="FootnoteReference"/>
                <w:rFonts w:hint="cs"/>
                <w:bCs w:val="0"/>
                <w:vertAlign w:val="baseline"/>
              </w:rPr>
            </w:pPr>
            <w:r>
              <w:rPr>
                <w:rFonts w:hint="cs"/>
                <w:rtl/>
              </w:rPr>
              <w:t>460 23</w:t>
            </w:r>
          </w:p>
        </w:tc>
      </w:tr>
      <w:tr w:rsidR="00443EC1" w:rsidTr="00443EC1">
        <w:tblPrEx>
          <w:tblCellMar>
            <w:top w:w="0" w:type="dxa"/>
            <w:bottom w:w="0" w:type="dxa"/>
          </w:tblCellMar>
        </w:tblPrEx>
        <w:trPr>
          <w:jc w:val="center"/>
        </w:trPr>
        <w:tc>
          <w:tcPr>
            <w:tcW w:w="3060" w:type="dxa"/>
            <w:tcBorders>
              <w:top w:val="nil"/>
            </w:tcBorders>
          </w:tcPr>
          <w:p w:rsidR="00443EC1" w:rsidRDefault="00443EC1">
            <w:pPr>
              <w:spacing w:before="0" w:after="0" w:line="240" w:lineRule="exact"/>
              <w:jc w:val="both"/>
              <w:rPr>
                <w:rStyle w:val="FootnoteReference"/>
                <w:rFonts w:hint="cs"/>
                <w:bCs w:val="0"/>
                <w:spacing w:val="0"/>
                <w:vertAlign w:val="baseline"/>
              </w:rPr>
            </w:pPr>
            <w:r>
              <w:rPr>
                <w:rFonts w:hint="cs"/>
                <w:spacing w:val="0"/>
                <w:rtl/>
              </w:rPr>
              <w:t>معدل النمو السنوي (النسبة المئوية)</w:t>
            </w:r>
          </w:p>
        </w:tc>
        <w:tc>
          <w:tcPr>
            <w:tcW w:w="1620" w:type="dxa"/>
            <w:tcBorders>
              <w:top w:val="nil"/>
            </w:tcBorders>
          </w:tcPr>
          <w:p w:rsidR="00443EC1" w:rsidRDefault="00443EC1">
            <w:pPr>
              <w:spacing w:before="0" w:after="0" w:line="240" w:lineRule="exact"/>
              <w:ind w:left="284"/>
              <w:jc w:val="both"/>
              <w:rPr>
                <w:rStyle w:val="FootnoteReference"/>
                <w:rFonts w:hint="cs"/>
                <w:bCs w:val="0"/>
                <w:vertAlign w:val="baseline"/>
              </w:rPr>
            </w:pPr>
            <w:r>
              <w:rPr>
                <w:rFonts w:hint="cs"/>
                <w:rtl/>
              </w:rPr>
              <w:t>+0.5</w:t>
            </w:r>
          </w:p>
        </w:tc>
        <w:tc>
          <w:tcPr>
            <w:tcW w:w="1620" w:type="dxa"/>
            <w:tcBorders>
              <w:top w:val="nil"/>
            </w:tcBorders>
          </w:tcPr>
          <w:p w:rsidR="00443EC1" w:rsidRDefault="00443EC1">
            <w:pPr>
              <w:spacing w:before="0" w:after="0" w:line="240" w:lineRule="exact"/>
              <w:ind w:left="284"/>
              <w:jc w:val="both"/>
              <w:rPr>
                <w:rStyle w:val="FootnoteReference"/>
                <w:rFonts w:hint="cs"/>
                <w:bCs w:val="0"/>
                <w:vertAlign w:val="baseline"/>
              </w:rPr>
            </w:pPr>
            <w:r>
              <w:rPr>
                <w:rFonts w:hint="cs"/>
                <w:rtl/>
              </w:rPr>
              <w:t>-15.4</w:t>
            </w:r>
          </w:p>
        </w:tc>
        <w:tc>
          <w:tcPr>
            <w:tcW w:w="1620" w:type="dxa"/>
            <w:tcBorders>
              <w:top w:val="nil"/>
            </w:tcBorders>
          </w:tcPr>
          <w:p w:rsidR="00443EC1" w:rsidRDefault="00443EC1">
            <w:pPr>
              <w:spacing w:before="0" w:after="0" w:line="240" w:lineRule="exact"/>
              <w:ind w:left="284"/>
              <w:jc w:val="both"/>
              <w:rPr>
                <w:rStyle w:val="FootnoteReference"/>
                <w:rFonts w:hint="cs"/>
                <w:bCs w:val="0"/>
                <w:vertAlign w:val="baseline"/>
              </w:rPr>
            </w:pPr>
            <w:r>
              <w:rPr>
                <w:rFonts w:hint="cs"/>
                <w:rtl/>
              </w:rPr>
              <w:t>-4.8</w:t>
            </w:r>
          </w:p>
        </w:tc>
        <w:tc>
          <w:tcPr>
            <w:tcW w:w="1440" w:type="dxa"/>
            <w:tcBorders>
              <w:top w:val="nil"/>
            </w:tcBorders>
          </w:tcPr>
          <w:p w:rsidR="00443EC1" w:rsidRDefault="00443EC1">
            <w:pPr>
              <w:spacing w:before="0" w:after="0" w:line="240" w:lineRule="exact"/>
              <w:ind w:left="284"/>
              <w:jc w:val="both"/>
              <w:rPr>
                <w:rStyle w:val="FootnoteReference"/>
                <w:rFonts w:hint="cs"/>
                <w:bCs w:val="0"/>
                <w:vertAlign w:val="baseline"/>
              </w:rPr>
            </w:pPr>
            <w:r>
              <w:rPr>
                <w:rFonts w:hint="cs"/>
                <w:rtl/>
              </w:rPr>
              <w:t>-9.5</w:t>
            </w:r>
          </w:p>
        </w:tc>
      </w:tr>
    </w:tbl>
    <w:p w:rsidR="00000000" w:rsidRDefault="00443EC1">
      <w:pPr>
        <w:spacing w:line="380" w:lineRule="exact"/>
        <w:jc w:val="both"/>
        <w:rPr>
          <w:rFonts w:hint="cs"/>
          <w:rtl/>
        </w:rPr>
      </w:pPr>
      <w:r>
        <w:rPr>
          <w:rFonts w:hint="cs"/>
          <w:rtl/>
        </w:rPr>
        <w:tab/>
      </w:r>
      <w:r>
        <w:rPr>
          <w:rFonts w:hint="cs"/>
          <w:i/>
          <w:iCs/>
          <w:rtl/>
        </w:rPr>
        <w:t>المصدر</w:t>
      </w:r>
      <w:r>
        <w:rPr>
          <w:rFonts w:hint="cs"/>
          <w:rtl/>
        </w:rPr>
        <w:t>: إحصاءات ديموغرافية، إدارة الإحصاء والتعداد.</w:t>
      </w:r>
    </w:p>
    <w:p w:rsidR="00000000" w:rsidRDefault="00443EC1">
      <w:pPr>
        <w:spacing w:line="380" w:lineRule="exact"/>
        <w:jc w:val="both"/>
        <w:rPr>
          <w:rFonts w:hint="cs"/>
          <w:b/>
          <w:bCs/>
          <w:sz w:val="28"/>
          <w:rtl/>
        </w:rPr>
      </w:pPr>
      <w:r>
        <w:rPr>
          <w:rFonts w:hint="cs"/>
          <w:b/>
          <w:bCs/>
          <w:sz w:val="28"/>
          <w:rtl/>
        </w:rPr>
        <w:t>السكان العاملون حسب نوع الجنس والجنسية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7"/>
        <w:gridCol w:w="797"/>
        <w:gridCol w:w="797"/>
        <w:gridCol w:w="797"/>
        <w:gridCol w:w="797"/>
        <w:gridCol w:w="797"/>
        <w:gridCol w:w="798"/>
        <w:gridCol w:w="798"/>
        <w:gridCol w:w="798"/>
        <w:gridCol w:w="798"/>
        <w:gridCol w:w="798"/>
        <w:gridCol w:w="690"/>
      </w:tblGrid>
      <w:tr w:rsidR="00443EC1" w:rsidTr="00443EC1">
        <w:tblPrEx>
          <w:tblCellMar>
            <w:top w:w="0" w:type="dxa"/>
            <w:bottom w:w="0" w:type="dxa"/>
          </w:tblCellMar>
        </w:tblPrEx>
        <w:trPr>
          <w:cantSplit/>
          <w:jc w:val="center"/>
        </w:trPr>
        <w:tc>
          <w:tcPr>
            <w:tcW w:w="797" w:type="dxa"/>
            <w:tcBorders>
              <w:bottom w:val="single" w:sz="4" w:space="0" w:color="auto"/>
            </w:tcBorders>
          </w:tcPr>
          <w:p w:rsidR="00443EC1" w:rsidRDefault="00443EC1">
            <w:pPr>
              <w:spacing w:before="40" w:after="60" w:line="320" w:lineRule="exact"/>
              <w:jc w:val="both"/>
              <w:rPr>
                <w:rStyle w:val="FootnoteReference"/>
                <w:b/>
                <w:bCs w:val="0"/>
                <w:sz w:val="20"/>
                <w:szCs w:val="20"/>
              </w:rPr>
            </w:pPr>
            <w:r>
              <w:rPr>
                <w:rFonts w:hint="cs"/>
                <w:b/>
                <w:bCs/>
                <w:sz w:val="20"/>
                <w:szCs w:val="20"/>
                <w:rtl/>
              </w:rPr>
              <w:t>2001</w:t>
            </w:r>
          </w:p>
        </w:tc>
        <w:tc>
          <w:tcPr>
            <w:tcW w:w="797" w:type="dxa"/>
            <w:tcBorders>
              <w:bottom w:val="single" w:sz="4" w:space="0" w:color="auto"/>
            </w:tcBorders>
          </w:tcPr>
          <w:p w:rsidR="00443EC1" w:rsidRDefault="00443EC1">
            <w:pPr>
              <w:spacing w:before="40" w:after="60" w:line="320" w:lineRule="exact"/>
              <w:jc w:val="both"/>
              <w:rPr>
                <w:rStyle w:val="FootnoteReference"/>
                <w:b/>
                <w:bCs w:val="0"/>
                <w:sz w:val="20"/>
                <w:szCs w:val="20"/>
              </w:rPr>
            </w:pPr>
            <w:r>
              <w:rPr>
                <w:rFonts w:hint="cs"/>
                <w:b/>
                <w:bCs/>
                <w:sz w:val="20"/>
                <w:szCs w:val="20"/>
                <w:rtl/>
              </w:rPr>
              <w:t>المجموع</w:t>
            </w:r>
          </w:p>
        </w:tc>
        <w:tc>
          <w:tcPr>
            <w:tcW w:w="1594" w:type="dxa"/>
            <w:gridSpan w:val="2"/>
            <w:tcBorders>
              <w:bottom w:val="single" w:sz="4" w:space="0" w:color="auto"/>
            </w:tcBorders>
          </w:tcPr>
          <w:p w:rsidR="00443EC1" w:rsidRDefault="00443EC1">
            <w:pPr>
              <w:spacing w:before="40" w:after="60" w:line="320" w:lineRule="exact"/>
              <w:jc w:val="center"/>
              <w:rPr>
                <w:rStyle w:val="FootnoteReference"/>
                <w:b/>
                <w:bCs w:val="0"/>
                <w:sz w:val="20"/>
                <w:szCs w:val="20"/>
              </w:rPr>
            </w:pPr>
            <w:r>
              <w:rPr>
                <w:rFonts w:hint="cs"/>
                <w:b/>
                <w:bCs/>
                <w:sz w:val="20"/>
                <w:szCs w:val="20"/>
                <w:rtl/>
              </w:rPr>
              <w:t>الصينيون</w:t>
            </w:r>
          </w:p>
        </w:tc>
        <w:tc>
          <w:tcPr>
            <w:tcW w:w="1594" w:type="dxa"/>
            <w:gridSpan w:val="2"/>
            <w:tcBorders>
              <w:bottom w:val="single" w:sz="4" w:space="0" w:color="auto"/>
            </w:tcBorders>
          </w:tcPr>
          <w:p w:rsidR="00443EC1" w:rsidRDefault="00443EC1">
            <w:pPr>
              <w:spacing w:before="40" w:after="60" w:line="320" w:lineRule="exact"/>
              <w:jc w:val="center"/>
              <w:rPr>
                <w:rStyle w:val="FootnoteReference"/>
                <w:rFonts w:hint="cs"/>
                <w:b/>
                <w:bCs w:val="0"/>
                <w:sz w:val="20"/>
                <w:szCs w:val="20"/>
              </w:rPr>
            </w:pPr>
            <w:r>
              <w:rPr>
                <w:rFonts w:hint="cs"/>
                <w:b/>
                <w:bCs/>
                <w:sz w:val="20"/>
                <w:szCs w:val="20"/>
                <w:rtl/>
              </w:rPr>
              <w:t>البرتغاليون</w:t>
            </w:r>
          </w:p>
        </w:tc>
        <w:tc>
          <w:tcPr>
            <w:tcW w:w="1596" w:type="dxa"/>
            <w:gridSpan w:val="2"/>
            <w:tcBorders>
              <w:bottom w:val="single" w:sz="4" w:space="0" w:color="auto"/>
            </w:tcBorders>
          </w:tcPr>
          <w:p w:rsidR="00443EC1" w:rsidRDefault="00443EC1">
            <w:pPr>
              <w:spacing w:before="40" w:after="60" w:line="320" w:lineRule="exact"/>
              <w:jc w:val="center"/>
              <w:rPr>
                <w:rStyle w:val="FootnoteReference"/>
                <w:rFonts w:hint="cs"/>
                <w:b/>
                <w:bCs w:val="0"/>
                <w:sz w:val="20"/>
                <w:szCs w:val="20"/>
              </w:rPr>
            </w:pPr>
            <w:r>
              <w:rPr>
                <w:rFonts w:hint="cs"/>
                <w:b/>
                <w:bCs/>
                <w:sz w:val="20"/>
                <w:szCs w:val="20"/>
                <w:rtl/>
              </w:rPr>
              <w:t>الفلبينيون</w:t>
            </w:r>
          </w:p>
        </w:tc>
        <w:tc>
          <w:tcPr>
            <w:tcW w:w="1596" w:type="dxa"/>
            <w:gridSpan w:val="2"/>
            <w:tcBorders>
              <w:bottom w:val="single" w:sz="4" w:space="0" w:color="auto"/>
            </w:tcBorders>
          </w:tcPr>
          <w:p w:rsidR="00443EC1" w:rsidRDefault="00443EC1">
            <w:pPr>
              <w:spacing w:before="40" w:after="60" w:line="320" w:lineRule="exact"/>
              <w:jc w:val="center"/>
              <w:rPr>
                <w:rStyle w:val="FootnoteReference"/>
                <w:rFonts w:hint="cs"/>
                <w:b/>
                <w:bCs w:val="0"/>
                <w:sz w:val="20"/>
                <w:szCs w:val="20"/>
              </w:rPr>
            </w:pPr>
            <w:r>
              <w:rPr>
                <w:rFonts w:hint="cs"/>
                <w:b/>
                <w:bCs/>
                <w:sz w:val="20"/>
                <w:szCs w:val="20"/>
                <w:rtl/>
              </w:rPr>
              <w:t>البريطانيون</w:t>
            </w:r>
          </w:p>
        </w:tc>
        <w:tc>
          <w:tcPr>
            <w:tcW w:w="1488" w:type="dxa"/>
            <w:gridSpan w:val="2"/>
            <w:tcBorders>
              <w:bottom w:val="single" w:sz="4" w:space="0" w:color="auto"/>
            </w:tcBorders>
          </w:tcPr>
          <w:p w:rsidR="00443EC1" w:rsidRDefault="00443EC1">
            <w:pPr>
              <w:spacing w:before="40" w:after="60" w:line="320" w:lineRule="exact"/>
              <w:jc w:val="center"/>
              <w:rPr>
                <w:rStyle w:val="FootnoteReference"/>
                <w:rFonts w:hint="cs"/>
                <w:b/>
                <w:bCs w:val="0"/>
                <w:sz w:val="20"/>
                <w:szCs w:val="20"/>
              </w:rPr>
            </w:pPr>
            <w:r>
              <w:rPr>
                <w:rFonts w:hint="cs"/>
                <w:b/>
                <w:bCs/>
                <w:sz w:val="20"/>
                <w:szCs w:val="20"/>
                <w:rtl/>
              </w:rPr>
              <w:t>جنسيات أخرى</w:t>
            </w:r>
          </w:p>
        </w:tc>
      </w:tr>
      <w:tr w:rsidR="00443EC1" w:rsidTr="00443EC1">
        <w:tblPrEx>
          <w:tblCellMar>
            <w:top w:w="0" w:type="dxa"/>
            <w:bottom w:w="0" w:type="dxa"/>
          </w:tblCellMar>
        </w:tblPrEx>
        <w:trPr>
          <w:jc w:val="center"/>
        </w:trPr>
        <w:tc>
          <w:tcPr>
            <w:tcW w:w="797" w:type="dxa"/>
            <w:tcBorders>
              <w:bottom w:val="nil"/>
            </w:tcBorders>
          </w:tcPr>
          <w:p w:rsidR="00443EC1" w:rsidRDefault="00443EC1">
            <w:pPr>
              <w:spacing w:before="0" w:after="40" w:line="320" w:lineRule="exact"/>
              <w:jc w:val="both"/>
              <w:rPr>
                <w:rStyle w:val="FootnoteReference"/>
                <w:rFonts w:hint="cs"/>
                <w:bCs w:val="0"/>
                <w:spacing w:val="-4"/>
                <w:sz w:val="18"/>
                <w:szCs w:val="18"/>
                <w:vertAlign w:val="baseline"/>
              </w:rPr>
            </w:pPr>
            <w:r>
              <w:rPr>
                <w:rFonts w:hint="cs"/>
                <w:spacing w:val="-4"/>
                <w:sz w:val="18"/>
                <w:szCs w:val="18"/>
                <w:rtl/>
              </w:rPr>
              <w:t>ذكور وإناث</w:t>
            </w:r>
          </w:p>
        </w:tc>
        <w:tc>
          <w:tcPr>
            <w:tcW w:w="797" w:type="dxa"/>
            <w:tcBorders>
              <w:bottom w:val="nil"/>
            </w:tcBorders>
          </w:tcPr>
          <w:p w:rsidR="00443EC1" w:rsidRDefault="00443EC1">
            <w:pPr>
              <w:spacing w:before="0" w:after="40" w:line="320" w:lineRule="exact"/>
              <w:jc w:val="both"/>
              <w:rPr>
                <w:rStyle w:val="FootnoteReference"/>
                <w:rFonts w:hint="cs"/>
                <w:bCs w:val="0"/>
                <w:spacing w:val="0"/>
                <w:sz w:val="18"/>
                <w:szCs w:val="18"/>
                <w:vertAlign w:val="baseline"/>
              </w:rPr>
            </w:pPr>
            <w:r>
              <w:rPr>
                <w:rFonts w:hint="cs"/>
                <w:spacing w:val="0"/>
                <w:sz w:val="18"/>
                <w:szCs w:val="18"/>
                <w:rtl/>
              </w:rPr>
              <w:t>807 202</w:t>
            </w:r>
          </w:p>
        </w:tc>
        <w:tc>
          <w:tcPr>
            <w:tcW w:w="797" w:type="dxa"/>
            <w:tcBorders>
              <w:bottom w:val="nil"/>
            </w:tcBorders>
          </w:tcPr>
          <w:p w:rsidR="00443EC1" w:rsidRDefault="00443EC1">
            <w:pPr>
              <w:spacing w:before="0" w:after="40" w:line="320" w:lineRule="exact"/>
              <w:jc w:val="both"/>
              <w:rPr>
                <w:rStyle w:val="FootnoteReference"/>
                <w:rFonts w:hint="cs"/>
                <w:bCs w:val="0"/>
                <w:spacing w:val="0"/>
                <w:sz w:val="18"/>
                <w:szCs w:val="18"/>
                <w:vertAlign w:val="baseline"/>
              </w:rPr>
            </w:pPr>
            <w:r>
              <w:rPr>
                <w:rFonts w:hint="cs"/>
                <w:spacing w:val="0"/>
                <w:sz w:val="18"/>
                <w:szCs w:val="18"/>
                <w:rtl/>
              </w:rPr>
              <w:t>725 181</w:t>
            </w:r>
          </w:p>
        </w:tc>
        <w:tc>
          <w:tcPr>
            <w:tcW w:w="797" w:type="dxa"/>
            <w:tcBorders>
              <w:bottom w:val="nil"/>
            </w:tcBorders>
          </w:tcPr>
          <w:p w:rsidR="00443EC1" w:rsidRDefault="00443EC1">
            <w:pPr>
              <w:spacing w:before="0" w:after="40" w:line="320" w:lineRule="exact"/>
              <w:jc w:val="both"/>
              <w:rPr>
                <w:rStyle w:val="FootnoteReference"/>
                <w:rFonts w:hint="cs"/>
                <w:bCs w:val="0"/>
                <w:spacing w:val="0"/>
                <w:sz w:val="18"/>
                <w:szCs w:val="18"/>
                <w:vertAlign w:val="baseline"/>
              </w:rPr>
            </w:pPr>
            <w:r>
              <w:rPr>
                <w:rFonts w:hint="cs"/>
                <w:spacing w:val="0"/>
                <w:sz w:val="18"/>
                <w:szCs w:val="18"/>
                <w:rtl/>
              </w:rPr>
              <w:t>89.60</w:t>
            </w:r>
            <w:r>
              <w:rPr>
                <w:rFonts w:cs="Mudir MT" w:hint="cs"/>
                <w:spacing w:val="0"/>
                <w:sz w:val="18"/>
                <w:szCs w:val="18"/>
                <w:rtl/>
                <w:lang w:eastAsia="en-US"/>
              </w:rPr>
              <w:t>%</w:t>
            </w:r>
          </w:p>
        </w:tc>
        <w:tc>
          <w:tcPr>
            <w:tcW w:w="797" w:type="dxa"/>
            <w:tcBorders>
              <w:bottom w:val="nil"/>
            </w:tcBorders>
          </w:tcPr>
          <w:p w:rsidR="00443EC1" w:rsidRDefault="00443EC1">
            <w:pPr>
              <w:spacing w:before="0" w:after="40" w:line="320" w:lineRule="exact"/>
              <w:jc w:val="both"/>
              <w:rPr>
                <w:rStyle w:val="FootnoteReference"/>
                <w:rFonts w:hint="cs"/>
                <w:bCs w:val="0"/>
                <w:spacing w:val="0"/>
                <w:sz w:val="18"/>
                <w:szCs w:val="18"/>
                <w:vertAlign w:val="baseline"/>
              </w:rPr>
            </w:pPr>
            <w:r>
              <w:rPr>
                <w:rFonts w:hint="cs"/>
                <w:spacing w:val="0"/>
                <w:sz w:val="18"/>
                <w:szCs w:val="18"/>
                <w:rtl/>
              </w:rPr>
              <w:t>881 14</w:t>
            </w:r>
          </w:p>
        </w:tc>
        <w:tc>
          <w:tcPr>
            <w:tcW w:w="797" w:type="dxa"/>
            <w:tcBorders>
              <w:bottom w:val="nil"/>
            </w:tcBorders>
          </w:tcPr>
          <w:p w:rsidR="00443EC1" w:rsidRDefault="00443EC1">
            <w:pPr>
              <w:spacing w:before="0" w:after="40" w:line="320" w:lineRule="exact"/>
              <w:jc w:val="both"/>
              <w:rPr>
                <w:rStyle w:val="FootnoteReference"/>
                <w:rFonts w:hint="cs"/>
                <w:bCs w:val="0"/>
                <w:spacing w:val="0"/>
                <w:sz w:val="18"/>
                <w:szCs w:val="18"/>
                <w:vertAlign w:val="baseline"/>
              </w:rPr>
            </w:pPr>
            <w:r>
              <w:rPr>
                <w:rFonts w:hint="cs"/>
                <w:spacing w:val="0"/>
                <w:sz w:val="18"/>
                <w:szCs w:val="18"/>
                <w:rtl/>
              </w:rPr>
              <w:t>7.34</w:t>
            </w:r>
            <w:r>
              <w:rPr>
                <w:rFonts w:cs="Mudir MT" w:hint="cs"/>
                <w:spacing w:val="0"/>
                <w:sz w:val="18"/>
                <w:szCs w:val="18"/>
                <w:rtl/>
                <w:lang w:eastAsia="en-US"/>
              </w:rPr>
              <w:t>%</w:t>
            </w:r>
          </w:p>
        </w:tc>
        <w:tc>
          <w:tcPr>
            <w:tcW w:w="798" w:type="dxa"/>
            <w:tcBorders>
              <w:bottom w:val="nil"/>
            </w:tcBorders>
          </w:tcPr>
          <w:p w:rsidR="00443EC1" w:rsidRDefault="00443EC1">
            <w:pPr>
              <w:spacing w:before="0" w:after="40" w:line="320" w:lineRule="exact"/>
              <w:jc w:val="both"/>
              <w:rPr>
                <w:rStyle w:val="FootnoteReference"/>
                <w:rFonts w:hint="cs"/>
                <w:bCs w:val="0"/>
                <w:spacing w:val="0"/>
                <w:sz w:val="18"/>
                <w:szCs w:val="18"/>
                <w:vertAlign w:val="baseline"/>
              </w:rPr>
            </w:pPr>
            <w:r>
              <w:rPr>
                <w:rFonts w:hint="cs"/>
                <w:spacing w:val="0"/>
                <w:sz w:val="18"/>
                <w:szCs w:val="18"/>
                <w:rtl/>
              </w:rPr>
              <w:t>457 4</w:t>
            </w:r>
          </w:p>
        </w:tc>
        <w:tc>
          <w:tcPr>
            <w:tcW w:w="798" w:type="dxa"/>
            <w:tcBorders>
              <w:bottom w:val="nil"/>
            </w:tcBorders>
          </w:tcPr>
          <w:p w:rsidR="00443EC1" w:rsidRDefault="00443EC1">
            <w:pPr>
              <w:spacing w:before="0" w:after="40" w:line="320" w:lineRule="exact"/>
              <w:jc w:val="both"/>
              <w:rPr>
                <w:rStyle w:val="FootnoteReference"/>
                <w:rFonts w:hint="cs"/>
                <w:bCs w:val="0"/>
                <w:spacing w:val="0"/>
                <w:sz w:val="18"/>
                <w:szCs w:val="18"/>
                <w:vertAlign w:val="baseline"/>
              </w:rPr>
            </w:pPr>
            <w:r>
              <w:rPr>
                <w:rFonts w:hint="cs"/>
                <w:spacing w:val="0"/>
                <w:sz w:val="18"/>
                <w:szCs w:val="18"/>
                <w:rtl/>
              </w:rPr>
              <w:t>2.20</w:t>
            </w:r>
            <w:r>
              <w:rPr>
                <w:rFonts w:cs="Mudir MT" w:hint="cs"/>
                <w:spacing w:val="0"/>
                <w:sz w:val="18"/>
                <w:szCs w:val="18"/>
                <w:rtl/>
                <w:lang w:eastAsia="en-US"/>
              </w:rPr>
              <w:t>%</w:t>
            </w:r>
          </w:p>
        </w:tc>
        <w:tc>
          <w:tcPr>
            <w:tcW w:w="798" w:type="dxa"/>
            <w:tcBorders>
              <w:bottom w:val="nil"/>
            </w:tcBorders>
          </w:tcPr>
          <w:p w:rsidR="00443EC1" w:rsidRDefault="00443EC1">
            <w:pPr>
              <w:spacing w:before="0" w:after="40" w:line="320" w:lineRule="exact"/>
              <w:jc w:val="both"/>
              <w:rPr>
                <w:rStyle w:val="FootnoteReference"/>
                <w:rFonts w:hint="cs"/>
                <w:bCs w:val="0"/>
                <w:spacing w:val="0"/>
                <w:sz w:val="18"/>
                <w:szCs w:val="18"/>
                <w:vertAlign w:val="baseline"/>
              </w:rPr>
            </w:pPr>
            <w:r>
              <w:rPr>
                <w:rFonts w:hint="cs"/>
                <w:spacing w:val="0"/>
                <w:sz w:val="18"/>
                <w:szCs w:val="18"/>
                <w:rtl/>
              </w:rPr>
              <w:t>497</w:t>
            </w:r>
          </w:p>
        </w:tc>
        <w:tc>
          <w:tcPr>
            <w:tcW w:w="798" w:type="dxa"/>
            <w:tcBorders>
              <w:bottom w:val="nil"/>
            </w:tcBorders>
          </w:tcPr>
          <w:p w:rsidR="00443EC1" w:rsidRDefault="00443EC1">
            <w:pPr>
              <w:spacing w:before="0" w:after="40" w:line="320" w:lineRule="exact"/>
              <w:jc w:val="both"/>
              <w:rPr>
                <w:rStyle w:val="FootnoteReference"/>
                <w:rFonts w:hint="cs"/>
                <w:bCs w:val="0"/>
                <w:spacing w:val="0"/>
                <w:sz w:val="18"/>
                <w:szCs w:val="18"/>
                <w:vertAlign w:val="baseline"/>
              </w:rPr>
            </w:pPr>
            <w:r>
              <w:rPr>
                <w:rFonts w:hint="cs"/>
                <w:spacing w:val="0"/>
                <w:sz w:val="18"/>
                <w:szCs w:val="18"/>
                <w:rtl/>
              </w:rPr>
              <w:t>0.25</w:t>
            </w:r>
            <w:r>
              <w:rPr>
                <w:rFonts w:cs="Mudir MT" w:hint="cs"/>
                <w:spacing w:val="0"/>
                <w:sz w:val="18"/>
                <w:szCs w:val="18"/>
                <w:rtl/>
                <w:lang w:eastAsia="en-US"/>
              </w:rPr>
              <w:t>%</w:t>
            </w:r>
          </w:p>
        </w:tc>
        <w:tc>
          <w:tcPr>
            <w:tcW w:w="798" w:type="dxa"/>
            <w:tcBorders>
              <w:bottom w:val="nil"/>
            </w:tcBorders>
          </w:tcPr>
          <w:p w:rsidR="00443EC1" w:rsidRDefault="00443EC1">
            <w:pPr>
              <w:spacing w:before="0" w:after="40" w:line="320" w:lineRule="exact"/>
              <w:jc w:val="both"/>
              <w:rPr>
                <w:rStyle w:val="FootnoteReference"/>
                <w:rFonts w:hint="cs"/>
                <w:bCs w:val="0"/>
                <w:spacing w:val="0"/>
                <w:sz w:val="18"/>
                <w:szCs w:val="18"/>
                <w:vertAlign w:val="baseline"/>
              </w:rPr>
            </w:pPr>
            <w:r>
              <w:rPr>
                <w:rFonts w:hint="cs"/>
                <w:spacing w:val="0"/>
                <w:sz w:val="18"/>
                <w:szCs w:val="18"/>
                <w:rtl/>
              </w:rPr>
              <w:t>247 1</w:t>
            </w:r>
          </w:p>
        </w:tc>
        <w:tc>
          <w:tcPr>
            <w:tcW w:w="690" w:type="dxa"/>
            <w:tcBorders>
              <w:bottom w:val="nil"/>
            </w:tcBorders>
          </w:tcPr>
          <w:p w:rsidR="00443EC1" w:rsidRDefault="00443EC1">
            <w:pPr>
              <w:spacing w:before="0" w:after="40" w:line="320" w:lineRule="exact"/>
              <w:jc w:val="both"/>
              <w:rPr>
                <w:rStyle w:val="FootnoteReference"/>
                <w:rFonts w:hint="cs"/>
                <w:bCs w:val="0"/>
                <w:spacing w:val="0"/>
                <w:sz w:val="18"/>
                <w:szCs w:val="18"/>
                <w:vertAlign w:val="baseline"/>
              </w:rPr>
            </w:pPr>
            <w:r>
              <w:rPr>
                <w:rFonts w:hint="cs"/>
                <w:spacing w:val="0"/>
                <w:sz w:val="18"/>
                <w:szCs w:val="18"/>
                <w:rtl/>
              </w:rPr>
              <w:t>0.61</w:t>
            </w:r>
            <w:r>
              <w:rPr>
                <w:rFonts w:cs="Mudir MT" w:hint="cs"/>
                <w:spacing w:val="0"/>
                <w:sz w:val="18"/>
                <w:szCs w:val="18"/>
                <w:rtl/>
                <w:lang w:eastAsia="en-US"/>
              </w:rPr>
              <w:t>%</w:t>
            </w:r>
          </w:p>
        </w:tc>
      </w:tr>
      <w:tr w:rsidR="00443EC1" w:rsidTr="00443EC1">
        <w:tblPrEx>
          <w:tblCellMar>
            <w:top w:w="0" w:type="dxa"/>
            <w:bottom w:w="0" w:type="dxa"/>
          </w:tblCellMar>
        </w:tblPrEx>
        <w:trPr>
          <w:jc w:val="center"/>
        </w:trPr>
        <w:tc>
          <w:tcPr>
            <w:tcW w:w="797" w:type="dxa"/>
            <w:tcBorders>
              <w:top w:val="nil"/>
              <w:bottom w:val="nil"/>
            </w:tcBorders>
          </w:tcPr>
          <w:p w:rsidR="00443EC1" w:rsidRDefault="00443EC1">
            <w:pPr>
              <w:spacing w:before="0" w:after="40" w:line="320" w:lineRule="exact"/>
              <w:jc w:val="both"/>
              <w:rPr>
                <w:rStyle w:val="FootnoteReference"/>
                <w:rFonts w:hint="cs"/>
                <w:bCs w:val="0"/>
                <w:spacing w:val="0"/>
                <w:sz w:val="18"/>
                <w:szCs w:val="18"/>
                <w:vertAlign w:val="baseline"/>
              </w:rPr>
            </w:pPr>
            <w:r>
              <w:rPr>
                <w:rFonts w:hint="cs"/>
                <w:spacing w:val="0"/>
                <w:sz w:val="18"/>
                <w:szCs w:val="18"/>
                <w:rtl/>
              </w:rPr>
              <w:t>ذكور</w:t>
            </w:r>
          </w:p>
        </w:tc>
        <w:tc>
          <w:tcPr>
            <w:tcW w:w="797" w:type="dxa"/>
            <w:tcBorders>
              <w:top w:val="nil"/>
              <w:bottom w:val="nil"/>
            </w:tcBorders>
          </w:tcPr>
          <w:p w:rsidR="00443EC1" w:rsidRDefault="00443EC1">
            <w:pPr>
              <w:spacing w:before="0" w:after="40" w:line="320" w:lineRule="exact"/>
              <w:jc w:val="both"/>
              <w:rPr>
                <w:rStyle w:val="FootnoteReference"/>
                <w:rFonts w:hint="cs"/>
                <w:bCs w:val="0"/>
                <w:spacing w:val="0"/>
                <w:sz w:val="18"/>
                <w:szCs w:val="18"/>
                <w:vertAlign w:val="baseline"/>
              </w:rPr>
            </w:pPr>
            <w:r>
              <w:rPr>
                <w:rFonts w:hint="cs"/>
                <w:spacing w:val="0"/>
                <w:sz w:val="18"/>
                <w:szCs w:val="18"/>
                <w:rtl/>
              </w:rPr>
              <w:t>749 106</w:t>
            </w:r>
          </w:p>
        </w:tc>
        <w:tc>
          <w:tcPr>
            <w:tcW w:w="797" w:type="dxa"/>
            <w:tcBorders>
              <w:top w:val="nil"/>
              <w:bottom w:val="nil"/>
            </w:tcBorders>
          </w:tcPr>
          <w:p w:rsidR="00443EC1" w:rsidRDefault="00443EC1">
            <w:pPr>
              <w:spacing w:before="0" w:after="40" w:line="320" w:lineRule="exact"/>
              <w:jc w:val="both"/>
              <w:rPr>
                <w:rStyle w:val="FootnoteReference"/>
                <w:rFonts w:hint="cs"/>
                <w:bCs w:val="0"/>
                <w:spacing w:val="0"/>
                <w:sz w:val="18"/>
                <w:szCs w:val="18"/>
                <w:vertAlign w:val="baseline"/>
              </w:rPr>
            </w:pPr>
            <w:r>
              <w:rPr>
                <w:rFonts w:hint="cs"/>
                <w:spacing w:val="0"/>
                <w:sz w:val="18"/>
                <w:szCs w:val="18"/>
                <w:rtl/>
              </w:rPr>
              <w:t>902 95</w:t>
            </w:r>
          </w:p>
        </w:tc>
        <w:tc>
          <w:tcPr>
            <w:tcW w:w="797" w:type="dxa"/>
            <w:tcBorders>
              <w:top w:val="nil"/>
              <w:bottom w:val="nil"/>
            </w:tcBorders>
          </w:tcPr>
          <w:p w:rsidR="00443EC1" w:rsidRDefault="00443EC1">
            <w:pPr>
              <w:spacing w:before="0" w:after="40" w:line="320" w:lineRule="exact"/>
              <w:jc w:val="both"/>
              <w:rPr>
                <w:rStyle w:val="FootnoteReference"/>
                <w:rFonts w:hint="cs"/>
                <w:bCs w:val="0"/>
                <w:spacing w:val="0"/>
                <w:sz w:val="18"/>
                <w:szCs w:val="18"/>
                <w:vertAlign w:val="baseline"/>
              </w:rPr>
            </w:pPr>
            <w:r>
              <w:rPr>
                <w:rFonts w:hint="cs"/>
                <w:spacing w:val="0"/>
                <w:sz w:val="18"/>
                <w:szCs w:val="18"/>
                <w:rtl/>
              </w:rPr>
              <w:t>89.84</w:t>
            </w:r>
            <w:r>
              <w:rPr>
                <w:rFonts w:cs="Mudir MT" w:hint="cs"/>
                <w:spacing w:val="0"/>
                <w:sz w:val="18"/>
                <w:szCs w:val="18"/>
                <w:rtl/>
                <w:lang w:eastAsia="en-US"/>
              </w:rPr>
              <w:t>%</w:t>
            </w:r>
          </w:p>
        </w:tc>
        <w:tc>
          <w:tcPr>
            <w:tcW w:w="797" w:type="dxa"/>
            <w:tcBorders>
              <w:top w:val="nil"/>
              <w:bottom w:val="nil"/>
            </w:tcBorders>
          </w:tcPr>
          <w:p w:rsidR="00443EC1" w:rsidRDefault="00443EC1">
            <w:pPr>
              <w:spacing w:before="0" w:after="40" w:line="320" w:lineRule="exact"/>
              <w:jc w:val="both"/>
              <w:rPr>
                <w:rStyle w:val="FootnoteReference"/>
                <w:rFonts w:hint="cs"/>
                <w:bCs w:val="0"/>
                <w:spacing w:val="0"/>
                <w:sz w:val="18"/>
                <w:szCs w:val="18"/>
                <w:vertAlign w:val="baseline"/>
              </w:rPr>
            </w:pPr>
            <w:r>
              <w:rPr>
                <w:rFonts w:hint="cs"/>
                <w:spacing w:val="0"/>
                <w:sz w:val="18"/>
                <w:szCs w:val="18"/>
                <w:rtl/>
              </w:rPr>
              <w:t>030 8</w:t>
            </w:r>
          </w:p>
        </w:tc>
        <w:tc>
          <w:tcPr>
            <w:tcW w:w="797" w:type="dxa"/>
            <w:tcBorders>
              <w:top w:val="nil"/>
              <w:bottom w:val="nil"/>
            </w:tcBorders>
          </w:tcPr>
          <w:p w:rsidR="00443EC1" w:rsidRDefault="00443EC1">
            <w:pPr>
              <w:spacing w:before="0" w:after="40" w:line="320" w:lineRule="exact"/>
              <w:jc w:val="both"/>
              <w:rPr>
                <w:rStyle w:val="FootnoteReference"/>
                <w:rFonts w:hint="cs"/>
                <w:bCs w:val="0"/>
                <w:spacing w:val="0"/>
                <w:sz w:val="18"/>
                <w:szCs w:val="18"/>
                <w:vertAlign w:val="baseline"/>
              </w:rPr>
            </w:pPr>
            <w:r>
              <w:rPr>
                <w:rFonts w:hint="cs"/>
                <w:spacing w:val="0"/>
                <w:sz w:val="18"/>
                <w:szCs w:val="18"/>
                <w:rtl/>
              </w:rPr>
              <w:t>7.52</w:t>
            </w:r>
            <w:r>
              <w:rPr>
                <w:rFonts w:cs="Mudir MT" w:hint="cs"/>
                <w:spacing w:val="0"/>
                <w:sz w:val="18"/>
                <w:szCs w:val="18"/>
                <w:rtl/>
                <w:lang w:eastAsia="en-US"/>
              </w:rPr>
              <w:t>%</w:t>
            </w:r>
          </w:p>
        </w:tc>
        <w:tc>
          <w:tcPr>
            <w:tcW w:w="798" w:type="dxa"/>
            <w:tcBorders>
              <w:top w:val="nil"/>
              <w:bottom w:val="nil"/>
            </w:tcBorders>
          </w:tcPr>
          <w:p w:rsidR="00443EC1" w:rsidRDefault="00443EC1">
            <w:pPr>
              <w:spacing w:before="0" w:after="40" w:line="320" w:lineRule="exact"/>
              <w:jc w:val="both"/>
              <w:rPr>
                <w:rStyle w:val="FootnoteReference"/>
                <w:rFonts w:hint="cs"/>
                <w:bCs w:val="0"/>
                <w:spacing w:val="0"/>
                <w:sz w:val="18"/>
                <w:szCs w:val="18"/>
                <w:vertAlign w:val="baseline"/>
              </w:rPr>
            </w:pPr>
            <w:r>
              <w:rPr>
                <w:rFonts w:hint="cs"/>
                <w:spacing w:val="0"/>
                <w:sz w:val="18"/>
                <w:szCs w:val="18"/>
                <w:rtl/>
              </w:rPr>
              <w:t>783 1</w:t>
            </w:r>
          </w:p>
        </w:tc>
        <w:tc>
          <w:tcPr>
            <w:tcW w:w="798" w:type="dxa"/>
            <w:tcBorders>
              <w:top w:val="nil"/>
              <w:bottom w:val="nil"/>
            </w:tcBorders>
          </w:tcPr>
          <w:p w:rsidR="00443EC1" w:rsidRDefault="00443EC1">
            <w:pPr>
              <w:spacing w:before="0" w:after="40" w:line="320" w:lineRule="exact"/>
              <w:jc w:val="both"/>
              <w:rPr>
                <w:rStyle w:val="FootnoteReference"/>
                <w:rFonts w:hint="cs"/>
                <w:bCs w:val="0"/>
                <w:spacing w:val="0"/>
                <w:sz w:val="18"/>
                <w:szCs w:val="18"/>
                <w:vertAlign w:val="baseline"/>
              </w:rPr>
            </w:pPr>
            <w:r>
              <w:rPr>
                <w:rFonts w:hint="cs"/>
                <w:spacing w:val="0"/>
                <w:sz w:val="18"/>
                <w:szCs w:val="18"/>
                <w:rtl/>
              </w:rPr>
              <w:t>1.67</w:t>
            </w:r>
            <w:r>
              <w:rPr>
                <w:rFonts w:cs="Mudir MT" w:hint="cs"/>
                <w:spacing w:val="0"/>
                <w:sz w:val="18"/>
                <w:szCs w:val="18"/>
                <w:rtl/>
                <w:lang w:eastAsia="en-US"/>
              </w:rPr>
              <w:t>%</w:t>
            </w:r>
          </w:p>
        </w:tc>
        <w:tc>
          <w:tcPr>
            <w:tcW w:w="798" w:type="dxa"/>
            <w:tcBorders>
              <w:top w:val="nil"/>
              <w:bottom w:val="nil"/>
            </w:tcBorders>
          </w:tcPr>
          <w:p w:rsidR="00443EC1" w:rsidRDefault="00443EC1">
            <w:pPr>
              <w:spacing w:before="0" w:after="40" w:line="320" w:lineRule="exact"/>
              <w:jc w:val="both"/>
              <w:rPr>
                <w:rStyle w:val="FootnoteReference"/>
                <w:rFonts w:hint="cs"/>
                <w:bCs w:val="0"/>
                <w:spacing w:val="0"/>
                <w:sz w:val="18"/>
                <w:szCs w:val="18"/>
                <w:vertAlign w:val="baseline"/>
              </w:rPr>
            </w:pPr>
            <w:r>
              <w:rPr>
                <w:rFonts w:hint="cs"/>
                <w:spacing w:val="0"/>
                <w:sz w:val="18"/>
                <w:szCs w:val="18"/>
                <w:rtl/>
              </w:rPr>
              <w:t>282</w:t>
            </w:r>
          </w:p>
        </w:tc>
        <w:tc>
          <w:tcPr>
            <w:tcW w:w="798" w:type="dxa"/>
            <w:tcBorders>
              <w:top w:val="nil"/>
              <w:bottom w:val="nil"/>
            </w:tcBorders>
          </w:tcPr>
          <w:p w:rsidR="00443EC1" w:rsidRDefault="00443EC1">
            <w:pPr>
              <w:spacing w:before="0" w:after="40" w:line="320" w:lineRule="exact"/>
              <w:jc w:val="both"/>
              <w:rPr>
                <w:rStyle w:val="FootnoteReference"/>
                <w:rFonts w:hint="cs"/>
                <w:bCs w:val="0"/>
                <w:spacing w:val="0"/>
                <w:sz w:val="18"/>
                <w:szCs w:val="18"/>
                <w:vertAlign w:val="baseline"/>
              </w:rPr>
            </w:pPr>
            <w:r>
              <w:rPr>
                <w:rFonts w:hint="cs"/>
                <w:spacing w:val="0"/>
                <w:sz w:val="18"/>
                <w:szCs w:val="18"/>
                <w:rtl/>
              </w:rPr>
              <w:t>0.26</w:t>
            </w:r>
            <w:r>
              <w:rPr>
                <w:rFonts w:cs="Mudir MT" w:hint="cs"/>
                <w:spacing w:val="0"/>
                <w:sz w:val="18"/>
                <w:szCs w:val="18"/>
                <w:rtl/>
                <w:lang w:eastAsia="en-US"/>
              </w:rPr>
              <w:t>%</w:t>
            </w:r>
          </w:p>
        </w:tc>
        <w:tc>
          <w:tcPr>
            <w:tcW w:w="798" w:type="dxa"/>
            <w:tcBorders>
              <w:top w:val="nil"/>
              <w:bottom w:val="nil"/>
            </w:tcBorders>
          </w:tcPr>
          <w:p w:rsidR="00443EC1" w:rsidRDefault="00443EC1">
            <w:pPr>
              <w:spacing w:before="0" w:after="40" w:line="320" w:lineRule="exact"/>
              <w:jc w:val="both"/>
              <w:rPr>
                <w:rStyle w:val="FootnoteReference"/>
                <w:rFonts w:hint="cs"/>
                <w:bCs w:val="0"/>
                <w:spacing w:val="0"/>
                <w:sz w:val="18"/>
                <w:szCs w:val="18"/>
                <w:vertAlign w:val="baseline"/>
              </w:rPr>
            </w:pPr>
            <w:r>
              <w:rPr>
                <w:rFonts w:hint="cs"/>
                <w:spacing w:val="0"/>
                <w:sz w:val="18"/>
                <w:szCs w:val="18"/>
                <w:rtl/>
              </w:rPr>
              <w:t>752</w:t>
            </w:r>
          </w:p>
        </w:tc>
        <w:tc>
          <w:tcPr>
            <w:tcW w:w="690" w:type="dxa"/>
            <w:tcBorders>
              <w:top w:val="nil"/>
              <w:bottom w:val="nil"/>
            </w:tcBorders>
          </w:tcPr>
          <w:p w:rsidR="00443EC1" w:rsidRDefault="00443EC1">
            <w:pPr>
              <w:spacing w:before="0" w:after="40" w:line="320" w:lineRule="exact"/>
              <w:jc w:val="both"/>
              <w:rPr>
                <w:rStyle w:val="FootnoteReference"/>
                <w:rFonts w:hint="cs"/>
                <w:bCs w:val="0"/>
                <w:spacing w:val="0"/>
                <w:sz w:val="18"/>
                <w:szCs w:val="18"/>
                <w:vertAlign w:val="baseline"/>
              </w:rPr>
            </w:pPr>
            <w:r>
              <w:rPr>
                <w:rFonts w:hint="cs"/>
                <w:spacing w:val="0"/>
                <w:sz w:val="18"/>
                <w:szCs w:val="18"/>
                <w:rtl/>
              </w:rPr>
              <w:t>0.70</w:t>
            </w:r>
            <w:r>
              <w:rPr>
                <w:rFonts w:cs="Mudir MT" w:hint="cs"/>
                <w:spacing w:val="0"/>
                <w:sz w:val="18"/>
                <w:szCs w:val="18"/>
                <w:rtl/>
                <w:lang w:eastAsia="en-US"/>
              </w:rPr>
              <w:t>%</w:t>
            </w:r>
          </w:p>
        </w:tc>
      </w:tr>
      <w:tr w:rsidR="00443EC1" w:rsidTr="00443EC1">
        <w:tblPrEx>
          <w:tblCellMar>
            <w:top w:w="0" w:type="dxa"/>
            <w:bottom w:w="0" w:type="dxa"/>
          </w:tblCellMar>
        </w:tblPrEx>
        <w:trPr>
          <w:jc w:val="center"/>
        </w:trPr>
        <w:tc>
          <w:tcPr>
            <w:tcW w:w="797" w:type="dxa"/>
            <w:tcBorders>
              <w:top w:val="nil"/>
            </w:tcBorders>
          </w:tcPr>
          <w:p w:rsidR="00443EC1" w:rsidRDefault="00443EC1">
            <w:pPr>
              <w:spacing w:before="0" w:after="40" w:line="320" w:lineRule="exact"/>
              <w:jc w:val="both"/>
              <w:rPr>
                <w:rStyle w:val="FootnoteReference"/>
                <w:rFonts w:hint="cs"/>
                <w:bCs w:val="0"/>
                <w:spacing w:val="0"/>
                <w:sz w:val="18"/>
                <w:szCs w:val="18"/>
                <w:vertAlign w:val="baseline"/>
              </w:rPr>
            </w:pPr>
            <w:r>
              <w:rPr>
                <w:rFonts w:hint="cs"/>
                <w:spacing w:val="0"/>
                <w:sz w:val="18"/>
                <w:szCs w:val="18"/>
                <w:rtl/>
              </w:rPr>
              <w:t>إناث</w:t>
            </w:r>
          </w:p>
        </w:tc>
        <w:tc>
          <w:tcPr>
            <w:tcW w:w="797" w:type="dxa"/>
            <w:tcBorders>
              <w:top w:val="nil"/>
            </w:tcBorders>
          </w:tcPr>
          <w:p w:rsidR="00443EC1" w:rsidRDefault="00443EC1">
            <w:pPr>
              <w:spacing w:before="0" w:after="40" w:line="320" w:lineRule="exact"/>
              <w:jc w:val="both"/>
              <w:rPr>
                <w:rStyle w:val="FootnoteReference"/>
                <w:rFonts w:hint="cs"/>
                <w:bCs w:val="0"/>
                <w:spacing w:val="0"/>
                <w:sz w:val="18"/>
                <w:szCs w:val="18"/>
                <w:vertAlign w:val="baseline"/>
              </w:rPr>
            </w:pPr>
            <w:r>
              <w:rPr>
                <w:rFonts w:hint="cs"/>
                <w:spacing w:val="0"/>
                <w:sz w:val="18"/>
                <w:szCs w:val="18"/>
                <w:rtl/>
              </w:rPr>
              <w:t>058 96</w:t>
            </w:r>
          </w:p>
        </w:tc>
        <w:tc>
          <w:tcPr>
            <w:tcW w:w="797" w:type="dxa"/>
            <w:tcBorders>
              <w:top w:val="nil"/>
            </w:tcBorders>
          </w:tcPr>
          <w:p w:rsidR="00443EC1" w:rsidRDefault="00443EC1">
            <w:pPr>
              <w:spacing w:before="0" w:after="40" w:line="320" w:lineRule="exact"/>
              <w:jc w:val="both"/>
              <w:rPr>
                <w:rStyle w:val="FootnoteReference"/>
                <w:rFonts w:hint="cs"/>
                <w:bCs w:val="0"/>
                <w:spacing w:val="0"/>
                <w:sz w:val="18"/>
                <w:szCs w:val="18"/>
                <w:vertAlign w:val="baseline"/>
              </w:rPr>
            </w:pPr>
            <w:r>
              <w:rPr>
                <w:rFonts w:hint="cs"/>
                <w:spacing w:val="0"/>
                <w:sz w:val="18"/>
                <w:szCs w:val="18"/>
                <w:rtl/>
              </w:rPr>
              <w:t>823 85</w:t>
            </w:r>
          </w:p>
        </w:tc>
        <w:tc>
          <w:tcPr>
            <w:tcW w:w="797" w:type="dxa"/>
            <w:tcBorders>
              <w:top w:val="nil"/>
            </w:tcBorders>
          </w:tcPr>
          <w:p w:rsidR="00443EC1" w:rsidRDefault="00443EC1">
            <w:pPr>
              <w:spacing w:before="0" w:after="40" w:line="320" w:lineRule="exact"/>
              <w:jc w:val="both"/>
              <w:rPr>
                <w:rStyle w:val="FootnoteReference"/>
                <w:rFonts w:hint="cs"/>
                <w:bCs w:val="0"/>
                <w:spacing w:val="0"/>
                <w:sz w:val="18"/>
                <w:szCs w:val="18"/>
                <w:vertAlign w:val="baseline"/>
              </w:rPr>
            </w:pPr>
            <w:r>
              <w:rPr>
                <w:rFonts w:hint="cs"/>
                <w:spacing w:val="0"/>
                <w:sz w:val="18"/>
                <w:szCs w:val="18"/>
                <w:rtl/>
              </w:rPr>
              <w:t>89.34</w:t>
            </w:r>
            <w:r>
              <w:rPr>
                <w:rFonts w:cs="Mudir MT" w:hint="cs"/>
                <w:spacing w:val="0"/>
                <w:sz w:val="18"/>
                <w:szCs w:val="18"/>
                <w:rtl/>
                <w:lang w:eastAsia="en-US"/>
              </w:rPr>
              <w:t>%</w:t>
            </w:r>
          </w:p>
        </w:tc>
        <w:tc>
          <w:tcPr>
            <w:tcW w:w="797" w:type="dxa"/>
            <w:tcBorders>
              <w:top w:val="nil"/>
            </w:tcBorders>
          </w:tcPr>
          <w:p w:rsidR="00443EC1" w:rsidRDefault="00443EC1">
            <w:pPr>
              <w:spacing w:before="0" w:after="40" w:line="320" w:lineRule="exact"/>
              <w:jc w:val="both"/>
              <w:rPr>
                <w:rStyle w:val="FootnoteReference"/>
                <w:rFonts w:hint="cs"/>
                <w:bCs w:val="0"/>
                <w:spacing w:val="0"/>
                <w:sz w:val="18"/>
                <w:szCs w:val="18"/>
                <w:vertAlign w:val="baseline"/>
              </w:rPr>
            </w:pPr>
            <w:r>
              <w:rPr>
                <w:rFonts w:hint="cs"/>
                <w:spacing w:val="0"/>
                <w:sz w:val="18"/>
                <w:szCs w:val="18"/>
                <w:rtl/>
              </w:rPr>
              <w:t>851 6</w:t>
            </w:r>
          </w:p>
        </w:tc>
        <w:tc>
          <w:tcPr>
            <w:tcW w:w="797" w:type="dxa"/>
            <w:tcBorders>
              <w:top w:val="nil"/>
            </w:tcBorders>
          </w:tcPr>
          <w:p w:rsidR="00443EC1" w:rsidRDefault="00443EC1">
            <w:pPr>
              <w:spacing w:before="0" w:after="40" w:line="320" w:lineRule="exact"/>
              <w:jc w:val="both"/>
              <w:rPr>
                <w:rStyle w:val="FootnoteReference"/>
                <w:rFonts w:hint="cs"/>
                <w:bCs w:val="0"/>
                <w:spacing w:val="0"/>
                <w:sz w:val="18"/>
                <w:szCs w:val="18"/>
                <w:vertAlign w:val="baseline"/>
              </w:rPr>
            </w:pPr>
            <w:r>
              <w:rPr>
                <w:rFonts w:hint="cs"/>
                <w:spacing w:val="0"/>
                <w:sz w:val="18"/>
                <w:szCs w:val="18"/>
                <w:rtl/>
              </w:rPr>
              <w:t>7.13</w:t>
            </w:r>
            <w:r>
              <w:rPr>
                <w:rFonts w:cs="Mudir MT" w:hint="cs"/>
                <w:spacing w:val="0"/>
                <w:sz w:val="18"/>
                <w:szCs w:val="18"/>
                <w:rtl/>
                <w:lang w:eastAsia="en-US"/>
              </w:rPr>
              <w:t>%</w:t>
            </w:r>
          </w:p>
        </w:tc>
        <w:tc>
          <w:tcPr>
            <w:tcW w:w="798" w:type="dxa"/>
            <w:tcBorders>
              <w:top w:val="nil"/>
            </w:tcBorders>
          </w:tcPr>
          <w:p w:rsidR="00443EC1" w:rsidRDefault="00443EC1">
            <w:pPr>
              <w:spacing w:before="0" w:after="40" w:line="320" w:lineRule="exact"/>
              <w:jc w:val="both"/>
              <w:rPr>
                <w:rStyle w:val="FootnoteReference"/>
                <w:rFonts w:hint="cs"/>
                <w:bCs w:val="0"/>
                <w:spacing w:val="0"/>
                <w:sz w:val="18"/>
                <w:szCs w:val="18"/>
                <w:vertAlign w:val="baseline"/>
              </w:rPr>
            </w:pPr>
            <w:r>
              <w:rPr>
                <w:rFonts w:hint="cs"/>
                <w:spacing w:val="0"/>
                <w:sz w:val="18"/>
                <w:szCs w:val="18"/>
                <w:rtl/>
              </w:rPr>
              <w:t>674 2</w:t>
            </w:r>
          </w:p>
        </w:tc>
        <w:tc>
          <w:tcPr>
            <w:tcW w:w="798" w:type="dxa"/>
            <w:tcBorders>
              <w:top w:val="nil"/>
            </w:tcBorders>
          </w:tcPr>
          <w:p w:rsidR="00443EC1" w:rsidRDefault="00443EC1">
            <w:pPr>
              <w:spacing w:before="0" w:after="40" w:line="320" w:lineRule="exact"/>
              <w:jc w:val="both"/>
              <w:rPr>
                <w:rStyle w:val="FootnoteReference"/>
                <w:rFonts w:hint="cs"/>
                <w:bCs w:val="0"/>
                <w:spacing w:val="0"/>
                <w:sz w:val="18"/>
                <w:szCs w:val="18"/>
                <w:vertAlign w:val="baseline"/>
              </w:rPr>
            </w:pPr>
            <w:r>
              <w:rPr>
                <w:rFonts w:hint="cs"/>
                <w:spacing w:val="0"/>
                <w:sz w:val="18"/>
                <w:szCs w:val="18"/>
                <w:rtl/>
              </w:rPr>
              <w:t>2.78</w:t>
            </w:r>
            <w:r>
              <w:rPr>
                <w:rFonts w:cs="Mudir MT" w:hint="cs"/>
                <w:spacing w:val="0"/>
                <w:sz w:val="18"/>
                <w:szCs w:val="18"/>
                <w:rtl/>
                <w:lang w:eastAsia="en-US"/>
              </w:rPr>
              <w:t>%</w:t>
            </w:r>
          </w:p>
        </w:tc>
        <w:tc>
          <w:tcPr>
            <w:tcW w:w="798" w:type="dxa"/>
            <w:tcBorders>
              <w:top w:val="nil"/>
            </w:tcBorders>
          </w:tcPr>
          <w:p w:rsidR="00443EC1" w:rsidRDefault="00443EC1">
            <w:pPr>
              <w:spacing w:before="0" w:after="40" w:line="320" w:lineRule="exact"/>
              <w:jc w:val="both"/>
              <w:rPr>
                <w:rStyle w:val="FootnoteReference"/>
                <w:rFonts w:hint="cs"/>
                <w:bCs w:val="0"/>
                <w:spacing w:val="0"/>
                <w:sz w:val="18"/>
                <w:szCs w:val="18"/>
                <w:vertAlign w:val="baseline"/>
              </w:rPr>
            </w:pPr>
            <w:r>
              <w:rPr>
                <w:rFonts w:hint="cs"/>
                <w:spacing w:val="0"/>
                <w:sz w:val="18"/>
                <w:szCs w:val="18"/>
                <w:rtl/>
              </w:rPr>
              <w:t>215</w:t>
            </w:r>
          </w:p>
        </w:tc>
        <w:tc>
          <w:tcPr>
            <w:tcW w:w="798" w:type="dxa"/>
            <w:tcBorders>
              <w:top w:val="nil"/>
            </w:tcBorders>
          </w:tcPr>
          <w:p w:rsidR="00443EC1" w:rsidRDefault="00443EC1">
            <w:pPr>
              <w:spacing w:before="0" w:after="40" w:line="320" w:lineRule="exact"/>
              <w:jc w:val="both"/>
              <w:rPr>
                <w:rStyle w:val="FootnoteReference"/>
                <w:rFonts w:hint="cs"/>
                <w:bCs w:val="0"/>
                <w:spacing w:val="0"/>
                <w:sz w:val="18"/>
                <w:szCs w:val="18"/>
                <w:vertAlign w:val="baseline"/>
              </w:rPr>
            </w:pPr>
            <w:r>
              <w:rPr>
                <w:rFonts w:hint="cs"/>
                <w:spacing w:val="0"/>
                <w:sz w:val="18"/>
                <w:szCs w:val="18"/>
                <w:rtl/>
              </w:rPr>
              <w:t>0.22</w:t>
            </w:r>
            <w:r>
              <w:rPr>
                <w:rFonts w:cs="Mudir MT" w:hint="cs"/>
                <w:spacing w:val="0"/>
                <w:sz w:val="18"/>
                <w:szCs w:val="18"/>
                <w:rtl/>
                <w:lang w:eastAsia="en-US"/>
              </w:rPr>
              <w:t>%</w:t>
            </w:r>
          </w:p>
        </w:tc>
        <w:tc>
          <w:tcPr>
            <w:tcW w:w="798" w:type="dxa"/>
            <w:tcBorders>
              <w:top w:val="nil"/>
            </w:tcBorders>
          </w:tcPr>
          <w:p w:rsidR="00443EC1" w:rsidRDefault="00443EC1">
            <w:pPr>
              <w:spacing w:before="0" w:after="40" w:line="320" w:lineRule="exact"/>
              <w:jc w:val="both"/>
              <w:rPr>
                <w:rStyle w:val="FootnoteReference"/>
                <w:rFonts w:hint="cs"/>
                <w:bCs w:val="0"/>
                <w:spacing w:val="0"/>
                <w:sz w:val="18"/>
                <w:szCs w:val="18"/>
                <w:vertAlign w:val="baseline"/>
              </w:rPr>
            </w:pPr>
            <w:r>
              <w:rPr>
                <w:rFonts w:hint="cs"/>
                <w:spacing w:val="0"/>
                <w:sz w:val="18"/>
                <w:szCs w:val="18"/>
                <w:rtl/>
              </w:rPr>
              <w:t>495</w:t>
            </w:r>
          </w:p>
        </w:tc>
        <w:tc>
          <w:tcPr>
            <w:tcW w:w="690" w:type="dxa"/>
            <w:tcBorders>
              <w:top w:val="nil"/>
            </w:tcBorders>
          </w:tcPr>
          <w:p w:rsidR="00443EC1" w:rsidRDefault="00443EC1">
            <w:pPr>
              <w:spacing w:before="0" w:after="40" w:line="320" w:lineRule="exact"/>
              <w:jc w:val="both"/>
              <w:rPr>
                <w:rStyle w:val="FootnoteReference"/>
                <w:rFonts w:hint="cs"/>
                <w:bCs w:val="0"/>
                <w:spacing w:val="0"/>
                <w:sz w:val="18"/>
                <w:szCs w:val="18"/>
                <w:vertAlign w:val="baseline"/>
              </w:rPr>
            </w:pPr>
            <w:r>
              <w:rPr>
                <w:rFonts w:hint="cs"/>
                <w:spacing w:val="0"/>
                <w:sz w:val="18"/>
                <w:szCs w:val="18"/>
                <w:rtl/>
              </w:rPr>
              <w:t>0.52</w:t>
            </w:r>
            <w:r>
              <w:rPr>
                <w:rFonts w:cs="Mudir MT" w:hint="cs"/>
                <w:spacing w:val="0"/>
                <w:sz w:val="18"/>
                <w:szCs w:val="18"/>
                <w:rtl/>
                <w:lang w:eastAsia="en-US"/>
              </w:rPr>
              <w:t>%</w:t>
            </w:r>
          </w:p>
        </w:tc>
      </w:tr>
    </w:tbl>
    <w:p w:rsidR="00000000" w:rsidRDefault="00443EC1">
      <w:pPr>
        <w:spacing w:before="180" w:after="180" w:line="380" w:lineRule="exact"/>
        <w:jc w:val="both"/>
        <w:rPr>
          <w:rFonts w:hint="cs"/>
          <w:rtl/>
        </w:rPr>
      </w:pPr>
      <w:r>
        <w:rPr>
          <w:rFonts w:hint="cs"/>
          <w:i/>
          <w:iCs/>
          <w:rtl/>
        </w:rPr>
        <w:t>المصدر</w:t>
      </w:r>
      <w:r>
        <w:rPr>
          <w:rFonts w:hint="cs"/>
          <w:rtl/>
        </w:rPr>
        <w:t>: الدراسة الاستقصائية عن العمالة لعام 2001، إدارة الإحصاء والتعداد.</w:t>
      </w:r>
    </w:p>
    <w:p w:rsidR="00000000" w:rsidRDefault="00443EC1">
      <w:pPr>
        <w:spacing w:before="180" w:after="180" w:line="380" w:lineRule="exact"/>
        <w:jc w:val="center"/>
        <w:rPr>
          <w:rFonts w:hint="cs"/>
          <w:b/>
          <w:bCs/>
          <w:rtl/>
        </w:rPr>
      </w:pPr>
      <w:r>
        <w:rPr>
          <w:rFonts w:hint="cs"/>
          <w:b/>
          <w:bCs/>
          <w:rtl/>
        </w:rPr>
        <w:t>جيم - سياسات وتدابير العمالة الر</w:t>
      </w:r>
      <w:r>
        <w:rPr>
          <w:rFonts w:hint="cs"/>
          <w:b/>
          <w:bCs/>
          <w:rtl/>
        </w:rPr>
        <w:t>ئيسية الرامية إلى كفالة الحق في العمل</w:t>
      </w:r>
    </w:p>
    <w:p w:rsidR="00000000" w:rsidRDefault="00443EC1">
      <w:pPr>
        <w:spacing w:before="180" w:after="180" w:line="380" w:lineRule="exact"/>
        <w:jc w:val="both"/>
        <w:rPr>
          <w:rFonts w:hint="cs"/>
          <w:b/>
          <w:bCs/>
          <w:rtl/>
        </w:rPr>
      </w:pPr>
      <w:r>
        <w:rPr>
          <w:rFonts w:hint="cs"/>
          <w:b/>
          <w:bCs/>
          <w:rtl/>
        </w:rPr>
        <w:t>النهوض بالعمالة</w:t>
      </w:r>
    </w:p>
    <w:p w:rsidR="00000000" w:rsidRDefault="00443EC1">
      <w:pPr>
        <w:spacing w:before="180" w:after="180" w:line="380" w:lineRule="exact"/>
        <w:jc w:val="both"/>
        <w:rPr>
          <w:rFonts w:hint="cs"/>
          <w:rtl/>
        </w:rPr>
      </w:pPr>
      <w:r>
        <w:rPr>
          <w:rFonts w:hint="cs"/>
          <w:rtl/>
        </w:rPr>
        <w:t>841-</w:t>
      </w:r>
      <w:r>
        <w:rPr>
          <w:rFonts w:hint="cs"/>
          <w:rtl/>
        </w:rPr>
        <w:tab/>
        <w:t>وإدارة العمل والعمالة هي الجهة المسؤولة عن تنفيذ سياسات وتدابير العمالة، التي تهدف إلى النهوض بتوزيع فرص العمل وتوفير مناخ سوق مستقرة/تنافسية. والهدف الأساسي للوزارة هو تناول معدلات البطالة الواسعة</w:t>
      </w:r>
      <w:r>
        <w:rPr>
          <w:rFonts w:hint="cs"/>
          <w:rtl/>
        </w:rPr>
        <w:t xml:space="preserve"> الانتشار والاستجابة للاحتياجات الحالية لسوق العمل.</w:t>
      </w:r>
    </w:p>
    <w:p w:rsidR="00000000" w:rsidRDefault="00443EC1">
      <w:pPr>
        <w:spacing w:before="180" w:after="180" w:line="380" w:lineRule="exact"/>
        <w:jc w:val="both"/>
        <w:rPr>
          <w:rFonts w:hint="cs"/>
          <w:rtl/>
        </w:rPr>
      </w:pPr>
      <w:r>
        <w:rPr>
          <w:rFonts w:hint="cs"/>
          <w:rtl/>
        </w:rPr>
        <w:t>842-</w:t>
      </w:r>
      <w:r>
        <w:rPr>
          <w:rFonts w:hint="cs"/>
          <w:rtl/>
        </w:rPr>
        <w:tab/>
        <w:t>ويجري التركيز، استجابة للشواغل الملحة، على توظيف الشباب، وتدني مستويات الأجور، والتأهيل وإعادة التأهيل في القطاعين التعليمي والتقني.</w:t>
      </w:r>
    </w:p>
    <w:p w:rsidR="00000000" w:rsidRDefault="00443EC1">
      <w:pPr>
        <w:spacing w:before="180" w:after="180" w:line="380" w:lineRule="exact"/>
        <w:jc w:val="both"/>
        <w:rPr>
          <w:rFonts w:hint="cs"/>
          <w:rtl/>
        </w:rPr>
      </w:pPr>
      <w:r>
        <w:rPr>
          <w:rFonts w:hint="cs"/>
          <w:rtl/>
        </w:rPr>
        <w:t>843-</w:t>
      </w:r>
      <w:r>
        <w:rPr>
          <w:rFonts w:hint="cs"/>
          <w:rtl/>
        </w:rPr>
        <w:tab/>
        <w:t>ولأداء هذه المهمة، توفر الإدارة فئات مختلفة من الخدمات تنحى ل</w:t>
      </w:r>
      <w:r>
        <w:rPr>
          <w:rFonts w:hint="cs"/>
          <w:rtl/>
        </w:rPr>
        <w:t>لاستجابة لاحتياجات السوق، بما يشمل خدمات التوجيه المهني وتدريب الفئات الفنية، وتنظيم حلقات عمل تتناول الصحة والسلامة الوظيفيتين، وتحسين تشريعات العمل، ومراكز العمل، ورصد علاقات العمل، وحلقات دراسية/ندوات وخدمات اجتماعية.</w:t>
      </w:r>
    </w:p>
    <w:p w:rsidR="00000000" w:rsidRDefault="00443EC1">
      <w:pPr>
        <w:spacing w:before="180" w:after="180" w:line="380" w:lineRule="exact"/>
        <w:jc w:val="both"/>
        <w:rPr>
          <w:rFonts w:hint="cs"/>
          <w:rtl/>
        </w:rPr>
      </w:pPr>
      <w:r>
        <w:rPr>
          <w:rFonts w:hint="cs"/>
          <w:rtl/>
        </w:rPr>
        <w:t>844-</w:t>
      </w:r>
      <w:r>
        <w:rPr>
          <w:rFonts w:hint="cs"/>
          <w:rtl/>
        </w:rPr>
        <w:tab/>
        <w:t>وفي حزيران/يونيه 2000، صممت شع</w:t>
      </w:r>
      <w:r>
        <w:rPr>
          <w:rFonts w:hint="cs"/>
          <w:rtl/>
        </w:rPr>
        <w:t xml:space="preserve">بة النهوض بالعمالة والعلاقات الوظيفية داخل الوزارة "الشباك الموحد" الجديد لمساعدة الباحثين عن عمل وجمع البيانات لإحالتها إلى معهد الرعاية الاجتماعية. ويتوخى هذا القسم استجابة أكثر كفاءة وأسرع للمترشحين للعمل والعاملين الذين يستفيدون من الرعاية الاجتماعية. </w:t>
      </w:r>
      <w:r>
        <w:rPr>
          <w:rFonts w:hint="cs"/>
          <w:rtl/>
        </w:rPr>
        <w:t>وفي كانون الأول/ديسمبر 2001، اعتمدت الوزارة "شهادة النوعية" التي تهدف إلى تحسين الخدمات مثل قيد الدوام.</w:t>
      </w:r>
    </w:p>
    <w:p w:rsidR="00000000" w:rsidRDefault="00443EC1">
      <w:pPr>
        <w:spacing w:before="180" w:after="180" w:line="380" w:lineRule="exact"/>
        <w:jc w:val="both"/>
        <w:rPr>
          <w:rFonts w:hint="cs"/>
          <w:rtl/>
        </w:rPr>
      </w:pPr>
      <w:r>
        <w:rPr>
          <w:rFonts w:hint="cs"/>
          <w:rtl/>
        </w:rPr>
        <w:t>845-</w:t>
      </w:r>
      <w:r>
        <w:rPr>
          <w:rFonts w:hint="cs"/>
          <w:rtl/>
        </w:rPr>
        <w:tab/>
        <w:t>كما أنشأت الوزارة مركز فرص عمل يقدم خدمات مجانية لمساعدة الباحثين عن عمل وأصحاب العمل.</w:t>
      </w:r>
    </w:p>
    <w:p w:rsidR="00000000" w:rsidRDefault="00443EC1">
      <w:pPr>
        <w:spacing w:before="180" w:after="180" w:line="380" w:lineRule="exact"/>
        <w:jc w:val="both"/>
        <w:rPr>
          <w:rFonts w:hint="cs"/>
          <w:rtl/>
        </w:rPr>
      </w:pPr>
      <w:r>
        <w:rPr>
          <w:rFonts w:hint="cs"/>
          <w:rtl/>
        </w:rPr>
        <w:t>846-</w:t>
      </w:r>
      <w:r>
        <w:rPr>
          <w:rFonts w:hint="cs"/>
          <w:rtl/>
        </w:rPr>
        <w:tab/>
        <w:t xml:space="preserve">ومن أهداف المركز المذكور مساعدة العاملين على إيجاد فرص </w:t>
      </w:r>
      <w:r>
        <w:rPr>
          <w:rFonts w:hint="cs"/>
          <w:rtl/>
        </w:rPr>
        <w:t>عمل أفضل، وتعزيز الاتصالات (المقابلات) بين الشركات والباحثين عن عمل وتقديم معلومات وفقاً لاحتياجات سوق العمل. وفي عام 2001، سُجل في المركز ما مجموعه 491 25 عرض عمل، و140 37 مقابلة لغرض التوظيف و289 1 حالة توظيف.</w:t>
      </w:r>
    </w:p>
    <w:p w:rsidR="00000000" w:rsidRDefault="00443EC1">
      <w:pPr>
        <w:spacing w:before="180" w:after="180" w:line="380" w:lineRule="exact"/>
        <w:jc w:val="both"/>
        <w:rPr>
          <w:rFonts w:hint="cs"/>
          <w:b/>
          <w:bCs/>
          <w:rtl/>
        </w:rPr>
      </w:pPr>
      <w:r>
        <w:rPr>
          <w:rFonts w:hint="cs"/>
          <w:b/>
          <w:bCs/>
          <w:rtl/>
        </w:rPr>
        <w:t>دعم عمالة الفئات الضعيفة</w:t>
      </w:r>
    </w:p>
    <w:p w:rsidR="00000000" w:rsidRDefault="00443EC1">
      <w:pPr>
        <w:spacing w:before="180" w:after="180" w:line="380" w:lineRule="exact"/>
        <w:jc w:val="both"/>
        <w:rPr>
          <w:rFonts w:hint="cs"/>
          <w:rtl/>
        </w:rPr>
      </w:pPr>
      <w:r>
        <w:rPr>
          <w:rFonts w:hint="cs"/>
          <w:rtl/>
        </w:rPr>
        <w:t>847-</w:t>
      </w:r>
      <w:r>
        <w:rPr>
          <w:rFonts w:hint="cs"/>
          <w:rtl/>
        </w:rPr>
        <w:tab/>
        <w:t>تشمل سياسات ال</w:t>
      </w:r>
      <w:r>
        <w:rPr>
          <w:rFonts w:hint="cs"/>
          <w:rtl/>
        </w:rPr>
        <w:t>عمالة تدابير وحوافز تقنية ومالية للنهوض بالاندماج المهني للمعاقين في سوق العمالة إضافة إلى خلق فرص عمل بديلة، وبالخصوص، العمالة الذاتية، والتدريب السابق للممارسة المهنية، وإعادة التكيف مع العمل والعمالة المحمية (المادة 21 (2) من المرسوم بقانون 33/99/م المؤ</w:t>
      </w:r>
      <w:r>
        <w:rPr>
          <w:rFonts w:hint="cs"/>
          <w:rtl/>
        </w:rPr>
        <w:t>رخ 1 تموز/يوليه).</w:t>
      </w:r>
    </w:p>
    <w:p w:rsidR="00000000" w:rsidRDefault="00443EC1">
      <w:pPr>
        <w:spacing w:line="380" w:lineRule="exact"/>
        <w:jc w:val="both"/>
        <w:rPr>
          <w:rFonts w:hint="cs"/>
          <w:rtl/>
        </w:rPr>
      </w:pPr>
      <w:r>
        <w:rPr>
          <w:rFonts w:hint="cs"/>
          <w:rtl/>
        </w:rPr>
        <w:t>848-</w:t>
      </w:r>
      <w:r>
        <w:rPr>
          <w:rFonts w:hint="cs"/>
          <w:rtl/>
        </w:rPr>
        <w:tab/>
        <w:t>ومن أجل إعادة إدماج العاطلين عن العمل، من ذوي العاهات الجسدية والسلوكية، في المجتمع وفي قطاع العمل، يوفر صندوق الضمان الاجتماعي الدعم التقني والمالي للمؤسسات الخاصة.</w:t>
      </w:r>
    </w:p>
    <w:p w:rsidR="00000000" w:rsidRDefault="00443EC1">
      <w:pPr>
        <w:spacing w:line="380" w:lineRule="exact"/>
        <w:jc w:val="both"/>
        <w:rPr>
          <w:rFonts w:hint="cs"/>
          <w:rtl/>
        </w:rPr>
      </w:pPr>
      <w:r>
        <w:rPr>
          <w:rFonts w:hint="cs"/>
          <w:rtl/>
        </w:rPr>
        <w:t>849-</w:t>
      </w:r>
      <w:r>
        <w:rPr>
          <w:rFonts w:hint="cs"/>
          <w:rtl/>
        </w:rPr>
        <w:tab/>
        <w:t>وفي هذا الإطار، يجب الإشارة إلى أن مؤسستين خاصتين تتعهّدان بتل</w:t>
      </w:r>
      <w:r>
        <w:rPr>
          <w:rFonts w:hint="cs"/>
          <w:rtl/>
        </w:rPr>
        <w:t>ك الأنشطة وهما: مركز الرعاية الاجتماعية وحلقة العمل المحمية للمعاقين ومركز التدريب على الألعاب الأوليمبية الخاصة في ماكاو. ويقدم الأول التدريب المهني للمتخلفين عقلياً بدرجة معتدلة وللمعوقين جسدياً من كلا الجنسين الذين تتجاوز أعمارهم 16 عاما، في حين ينهض ال</w:t>
      </w:r>
      <w:r>
        <w:rPr>
          <w:rFonts w:hint="cs"/>
          <w:rtl/>
        </w:rPr>
        <w:t>ثاني بالتدريب المحترف للمتخلفين عقلياً ذاتيي الدعم من الدرجتين الخفيفة والمتوسطة الذين تتجاوز أعمارهم 16 عاماً.</w:t>
      </w:r>
    </w:p>
    <w:p w:rsidR="00000000" w:rsidRDefault="00443EC1">
      <w:pPr>
        <w:spacing w:line="380" w:lineRule="exact"/>
        <w:jc w:val="both"/>
        <w:rPr>
          <w:rFonts w:hint="cs"/>
          <w:rtl/>
        </w:rPr>
      </w:pPr>
      <w:r>
        <w:rPr>
          <w:rFonts w:hint="cs"/>
          <w:rtl/>
        </w:rPr>
        <w:t>850-</w:t>
      </w:r>
      <w:r>
        <w:rPr>
          <w:rFonts w:hint="cs"/>
          <w:rtl/>
        </w:rPr>
        <w:tab/>
        <w:t>وفي عام 2000، نظمت إدارة العمل والعمالة دورتها التدريبية الأولى لفائدة 10 عمال معاقين، أدمجوا في وقت لاحق في سوق العمل. وفي عام 2001، نُظمت</w:t>
      </w:r>
      <w:r>
        <w:rPr>
          <w:rFonts w:hint="cs"/>
          <w:rtl/>
        </w:rPr>
        <w:t xml:space="preserve"> دورة أخرى لعشرة متدربين، لا يزالوا ينتظرون توظيفهم. وفي عام 2002، نظمت إدارة العمل والعمالة أربع دورات تدريبية استفاد منها 40 متدرباً معاقاً. ولا تزال الدورات متواصلة.</w:t>
      </w:r>
    </w:p>
    <w:p w:rsidR="00000000" w:rsidRDefault="00443EC1">
      <w:pPr>
        <w:spacing w:line="380" w:lineRule="exact"/>
        <w:jc w:val="both"/>
        <w:rPr>
          <w:rFonts w:hint="cs"/>
          <w:rtl/>
        </w:rPr>
      </w:pPr>
      <w:r>
        <w:rPr>
          <w:rFonts w:hint="cs"/>
          <w:rtl/>
        </w:rPr>
        <w:t>851-</w:t>
      </w:r>
      <w:r>
        <w:rPr>
          <w:rFonts w:hint="cs"/>
          <w:rtl/>
        </w:rPr>
        <w:tab/>
        <w:t>كما يوفر للسجناء العمل والتدريب المهني، إلى جانب التعليم وإعادة التأهيل.</w:t>
      </w:r>
    </w:p>
    <w:p w:rsidR="00000000" w:rsidRDefault="00443EC1">
      <w:pPr>
        <w:spacing w:line="380" w:lineRule="exact"/>
        <w:jc w:val="both"/>
        <w:rPr>
          <w:rFonts w:hint="cs"/>
          <w:rtl/>
        </w:rPr>
      </w:pPr>
      <w:r>
        <w:rPr>
          <w:rFonts w:hint="cs"/>
          <w:rtl/>
        </w:rPr>
        <w:t>852-</w:t>
      </w:r>
      <w:r>
        <w:rPr>
          <w:rFonts w:hint="cs"/>
          <w:rtl/>
        </w:rPr>
        <w:tab/>
        <w:t>وتنه</w:t>
      </w:r>
      <w:r>
        <w:rPr>
          <w:rFonts w:hint="cs"/>
          <w:rtl/>
        </w:rPr>
        <w:t>ض مؤسسات السجون بالتدريب الملائم والارتقاء بالسجناء مهنياً، في إطار سعيها لخلق وصيانة وتطوير قدرات السجين على القيام بنشاط يمكن أن ييسر إعادة إدماجه اجتماعياً (المادتان 51 و56(1) من المرسوم بقانون 40/94/م المؤرخ 25 تموز/يوليه).</w:t>
      </w:r>
    </w:p>
    <w:p w:rsidR="00000000" w:rsidRDefault="00443EC1">
      <w:pPr>
        <w:spacing w:line="380" w:lineRule="exact"/>
        <w:jc w:val="both"/>
        <w:rPr>
          <w:rFonts w:hint="cs"/>
          <w:rtl/>
        </w:rPr>
      </w:pPr>
      <w:r>
        <w:rPr>
          <w:rFonts w:hint="cs"/>
          <w:rtl/>
        </w:rPr>
        <w:t>853-</w:t>
      </w:r>
      <w:r>
        <w:rPr>
          <w:rFonts w:hint="cs"/>
          <w:rtl/>
        </w:rPr>
        <w:tab/>
        <w:t>ويتلقى جميع السجناء أجو</w:t>
      </w:r>
      <w:r>
        <w:rPr>
          <w:rFonts w:hint="cs"/>
          <w:rtl/>
        </w:rPr>
        <w:t>را مقابل عملهم ودرجة تأهيلهم وفئة أدائهم.</w:t>
      </w:r>
    </w:p>
    <w:p w:rsidR="00000000" w:rsidRDefault="00443EC1">
      <w:pPr>
        <w:spacing w:line="380" w:lineRule="exact"/>
        <w:jc w:val="center"/>
        <w:rPr>
          <w:rFonts w:hint="cs"/>
          <w:b/>
          <w:bCs/>
          <w:rtl/>
        </w:rPr>
      </w:pPr>
      <w:r>
        <w:rPr>
          <w:rFonts w:hint="cs"/>
          <w:b/>
          <w:bCs/>
          <w:rtl/>
        </w:rPr>
        <w:t>دال - برامج التدريب والتدريب المهني</w:t>
      </w:r>
    </w:p>
    <w:p w:rsidR="00000000" w:rsidRDefault="00443EC1">
      <w:pPr>
        <w:spacing w:line="380" w:lineRule="exact"/>
        <w:jc w:val="both"/>
        <w:rPr>
          <w:rFonts w:hint="cs"/>
          <w:rtl/>
        </w:rPr>
      </w:pPr>
      <w:r>
        <w:rPr>
          <w:rFonts w:hint="cs"/>
          <w:rtl/>
        </w:rPr>
        <w:t>854-</w:t>
      </w:r>
      <w:r>
        <w:rPr>
          <w:rFonts w:hint="cs"/>
          <w:rtl/>
        </w:rPr>
        <w:tab/>
        <w:t>أنشئ النظام الأساسي للتدريب المهني بموجب القانون بمرسوم 51/96/م المؤرخ 16 أيلول/سبتمبر، باستحداث مجالات عمالة وتدريب جديدة بغية خلق فرص عمل أفضل والارتقاء بكفاءات العاملين ا</w:t>
      </w:r>
      <w:r>
        <w:rPr>
          <w:rFonts w:hint="cs"/>
          <w:rtl/>
        </w:rPr>
        <w:t>لماهرين. وتتألف الفئات المستهدفة أساساً من المتدربين الشبان، والعاطلين والباحثين عن عمل.</w:t>
      </w:r>
    </w:p>
    <w:p w:rsidR="00000000" w:rsidRDefault="00443EC1">
      <w:pPr>
        <w:spacing w:line="380" w:lineRule="exact"/>
        <w:jc w:val="both"/>
        <w:rPr>
          <w:rFonts w:hint="cs"/>
          <w:rtl/>
        </w:rPr>
      </w:pPr>
      <w:r>
        <w:rPr>
          <w:rFonts w:hint="cs"/>
          <w:rtl/>
        </w:rPr>
        <w:t>855-</w:t>
      </w:r>
      <w:r>
        <w:rPr>
          <w:rFonts w:hint="cs"/>
          <w:rtl/>
        </w:rPr>
        <w:tab/>
        <w:t>ويقدَّم التوجيه والتدريب المهنيان للجميع دون تمييز.</w:t>
      </w:r>
    </w:p>
    <w:p w:rsidR="00000000" w:rsidRDefault="00443EC1">
      <w:pPr>
        <w:spacing w:line="380" w:lineRule="exact"/>
        <w:jc w:val="both"/>
        <w:rPr>
          <w:rFonts w:hint="cs"/>
          <w:b/>
          <w:bCs/>
          <w:rtl/>
        </w:rPr>
      </w:pPr>
      <w:r>
        <w:rPr>
          <w:rFonts w:hint="cs"/>
          <w:b/>
          <w:bCs/>
          <w:rtl/>
        </w:rPr>
        <w:t>القطاع الخاص</w:t>
      </w:r>
    </w:p>
    <w:p w:rsidR="00000000" w:rsidRDefault="00443EC1">
      <w:pPr>
        <w:spacing w:line="380" w:lineRule="exact"/>
        <w:jc w:val="both"/>
        <w:rPr>
          <w:rFonts w:hint="cs"/>
          <w:rtl/>
        </w:rPr>
      </w:pPr>
      <w:r>
        <w:rPr>
          <w:rFonts w:hint="cs"/>
          <w:rtl/>
        </w:rPr>
        <w:t>856-</w:t>
      </w:r>
      <w:r>
        <w:rPr>
          <w:rFonts w:hint="cs"/>
          <w:rtl/>
        </w:rPr>
        <w:tab/>
        <w:t>في عام 2001، نظم مركز التدريب المهني التابع لإدارة العمل والعمالة (مباشرة أو بالتعاون مع مؤس</w:t>
      </w:r>
      <w:r>
        <w:rPr>
          <w:rFonts w:hint="cs"/>
          <w:rtl/>
        </w:rPr>
        <w:t>سات أخرى) 134 دورة تدريبية، سجل فيها 224 3 متدرباً مما يمثل زيادة بنسبة‍ 100 في المائة مقارنة بالسنة السابقة. وارتفاع عدد المتدربين يبرّره تنظيم دروس في الثقافة الصينية، تستهدف العاطلين.</w:t>
      </w:r>
    </w:p>
    <w:p w:rsidR="00000000" w:rsidRDefault="00443EC1">
      <w:pPr>
        <w:spacing w:line="380" w:lineRule="exact"/>
        <w:jc w:val="both"/>
        <w:rPr>
          <w:rFonts w:hint="cs"/>
          <w:spacing w:val="2"/>
          <w:rtl/>
        </w:rPr>
      </w:pPr>
      <w:r>
        <w:rPr>
          <w:rFonts w:hint="cs"/>
          <w:spacing w:val="2"/>
          <w:rtl/>
        </w:rPr>
        <w:t>857-</w:t>
      </w:r>
      <w:r>
        <w:rPr>
          <w:rFonts w:hint="cs"/>
          <w:spacing w:val="2"/>
          <w:rtl/>
        </w:rPr>
        <w:tab/>
        <w:t>ونظمت إدارة العمل والعمالة 20 دورة تدريبية داخل عدد من الشركات ب</w:t>
      </w:r>
      <w:r>
        <w:rPr>
          <w:rFonts w:hint="cs"/>
          <w:spacing w:val="2"/>
          <w:rtl/>
        </w:rPr>
        <w:t>هدف خلق مزيد من فرص العمل. وارتفع في إطار هذا البرنامج عدد المدرَّبين من 458 متدرباً في عام 2000 إلى 693 1 متدرباً في عام 2001.</w:t>
      </w:r>
    </w:p>
    <w:p w:rsidR="00000000" w:rsidRDefault="00443EC1">
      <w:pPr>
        <w:spacing w:line="380" w:lineRule="exact"/>
        <w:jc w:val="center"/>
        <w:rPr>
          <w:rFonts w:hint="cs"/>
          <w:b/>
          <w:bCs/>
          <w:rtl/>
        </w:rPr>
      </w:pPr>
      <w:r>
        <w:rPr>
          <w:rFonts w:hint="cs"/>
          <w:b/>
          <w:bCs/>
          <w:rtl/>
        </w:rPr>
        <w:t>الحضور في مركز التدريب المهني في عامي 2000 و2001</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42"/>
        <w:gridCol w:w="3780"/>
        <w:gridCol w:w="1260"/>
        <w:gridCol w:w="1188"/>
      </w:tblGrid>
      <w:tr w:rsidR="00443EC1" w:rsidTr="00443EC1">
        <w:tblPrEx>
          <w:tblCellMar>
            <w:top w:w="0" w:type="dxa"/>
            <w:bottom w:w="0" w:type="dxa"/>
          </w:tblCellMar>
        </w:tblPrEx>
        <w:trPr>
          <w:cantSplit/>
          <w:jc w:val="center"/>
        </w:trPr>
        <w:tc>
          <w:tcPr>
            <w:tcW w:w="3342" w:type="dxa"/>
            <w:vMerge w:val="restart"/>
            <w:tcBorders>
              <w:top w:val="single" w:sz="4" w:space="0" w:color="auto"/>
            </w:tcBorders>
          </w:tcPr>
          <w:p w:rsidR="00443EC1" w:rsidRDefault="00443EC1">
            <w:pPr>
              <w:spacing w:before="0" w:after="0" w:line="320" w:lineRule="exact"/>
              <w:jc w:val="both"/>
              <w:rPr>
                <w:rFonts w:hint="cs"/>
              </w:rPr>
            </w:pPr>
            <w:r>
              <w:rPr>
                <w:rtl/>
              </w:rPr>
              <w:br/>
            </w:r>
            <w:r>
              <w:rPr>
                <w:rFonts w:hint="eastAsia"/>
                <w:rtl/>
              </w:rPr>
              <w:t>مجموع</w:t>
            </w:r>
            <w:r>
              <w:t xml:space="preserve"> </w:t>
            </w:r>
            <w:r>
              <w:rPr>
                <w:rtl/>
              </w:rPr>
              <w:t>عدد المتدربين</w:t>
            </w:r>
          </w:p>
        </w:tc>
        <w:tc>
          <w:tcPr>
            <w:tcW w:w="3780" w:type="dxa"/>
            <w:vMerge w:val="restart"/>
            <w:tcBorders>
              <w:top w:val="single" w:sz="4" w:space="0" w:color="auto"/>
            </w:tcBorders>
          </w:tcPr>
          <w:p w:rsidR="00443EC1" w:rsidRDefault="00443EC1">
            <w:pPr>
              <w:spacing w:before="0" w:after="0" w:line="320" w:lineRule="exact"/>
              <w:jc w:val="center"/>
              <w:rPr>
                <w:rFonts w:hint="cs"/>
              </w:rPr>
            </w:pPr>
            <w:r>
              <w:rPr>
                <w:rtl/>
              </w:rPr>
              <w:br/>
            </w:r>
            <w:r>
              <w:rPr>
                <w:rFonts w:hint="cs"/>
                <w:rtl/>
              </w:rPr>
              <w:t>صيغ الدروس</w:t>
            </w:r>
          </w:p>
        </w:tc>
        <w:tc>
          <w:tcPr>
            <w:tcW w:w="2448" w:type="dxa"/>
            <w:gridSpan w:val="2"/>
          </w:tcPr>
          <w:p w:rsidR="00443EC1" w:rsidRDefault="00443EC1">
            <w:pPr>
              <w:spacing w:before="0" w:after="0" w:line="320" w:lineRule="exact"/>
              <w:jc w:val="center"/>
            </w:pPr>
            <w:r>
              <w:rPr>
                <w:rFonts w:hint="cs"/>
                <w:rtl/>
              </w:rPr>
              <w:t>مجموع عدد المتدربين</w:t>
            </w:r>
          </w:p>
        </w:tc>
      </w:tr>
      <w:tr w:rsidR="00443EC1" w:rsidTr="00443EC1">
        <w:tblPrEx>
          <w:tblCellMar>
            <w:top w:w="0" w:type="dxa"/>
            <w:bottom w:w="0" w:type="dxa"/>
          </w:tblCellMar>
        </w:tblPrEx>
        <w:trPr>
          <w:cantSplit/>
          <w:jc w:val="center"/>
        </w:trPr>
        <w:tc>
          <w:tcPr>
            <w:tcW w:w="3342" w:type="dxa"/>
            <w:vMerge/>
            <w:tcBorders>
              <w:bottom w:val="single" w:sz="4" w:space="0" w:color="auto"/>
            </w:tcBorders>
          </w:tcPr>
          <w:p w:rsidR="00443EC1" w:rsidRDefault="00443EC1">
            <w:pPr>
              <w:spacing w:before="0" w:after="0" w:line="320" w:lineRule="exact"/>
              <w:jc w:val="both"/>
              <w:rPr>
                <w:rFonts w:hint="cs"/>
                <w:rtl/>
              </w:rPr>
            </w:pPr>
          </w:p>
        </w:tc>
        <w:tc>
          <w:tcPr>
            <w:tcW w:w="3780" w:type="dxa"/>
            <w:vMerge/>
            <w:tcBorders>
              <w:bottom w:val="single" w:sz="4" w:space="0" w:color="auto"/>
            </w:tcBorders>
          </w:tcPr>
          <w:p w:rsidR="00443EC1" w:rsidRDefault="00443EC1">
            <w:pPr>
              <w:spacing w:before="0" w:after="0" w:line="320" w:lineRule="exact"/>
              <w:jc w:val="both"/>
              <w:rPr>
                <w:rFonts w:hint="cs"/>
                <w:rtl/>
              </w:rPr>
            </w:pPr>
          </w:p>
        </w:tc>
        <w:tc>
          <w:tcPr>
            <w:tcW w:w="1260" w:type="dxa"/>
            <w:tcBorders>
              <w:bottom w:val="single" w:sz="4" w:space="0" w:color="auto"/>
            </w:tcBorders>
          </w:tcPr>
          <w:p w:rsidR="00443EC1" w:rsidRDefault="00443EC1">
            <w:pPr>
              <w:spacing w:before="0" w:after="0" w:line="320" w:lineRule="exact"/>
              <w:jc w:val="both"/>
              <w:rPr>
                <w:rFonts w:hint="cs"/>
              </w:rPr>
            </w:pPr>
            <w:r>
              <w:rPr>
                <w:rFonts w:hint="cs"/>
                <w:rtl/>
              </w:rPr>
              <w:t>2000</w:t>
            </w:r>
          </w:p>
        </w:tc>
        <w:tc>
          <w:tcPr>
            <w:tcW w:w="1188" w:type="dxa"/>
            <w:tcBorders>
              <w:bottom w:val="single" w:sz="4" w:space="0" w:color="auto"/>
            </w:tcBorders>
          </w:tcPr>
          <w:p w:rsidR="00443EC1" w:rsidRDefault="00443EC1">
            <w:pPr>
              <w:spacing w:before="0" w:after="0" w:line="320" w:lineRule="exact"/>
              <w:jc w:val="both"/>
              <w:rPr>
                <w:rFonts w:hint="cs"/>
              </w:rPr>
            </w:pPr>
            <w:r>
              <w:rPr>
                <w:rFonts w:hint="cs"/>
                <w:rtl/>
              </w:rPr>
              <w:t>2001</w:t>
            </w:r>
          </w:p>
        </w:tc>
      </w:tr>
      <w:tr w:rsidR="00443EC1" w:rsidTr="00443EC1">
        <w:tblPrEx>
          <w:tblCellMar>
            <w:top w:w="0" w:type="dxa"/>
            <w:bottom w:w="0" w:type="dxa"/>
          </w:tblCellMar>
        </w:tblPrEx>
        <w:trPr>
          <w:jc w:val="center"/>
        </w:trPr>
        <w:tc>
          <w:tcPr>
            <w:tcW w:w="3342" w:type="dxa"/>
            <w:tcBorders>
              <w:top w:val="nil"/>
              <w:bottom w:val="nil"/>
            </w:tcBorders>
          </w:tcPr>
          <w:p w:rsidR="00443EC1" w:rsidRDefault="00443EC1">
            <w:pPr>
              <w:spacing w:before="0" w:after="0" w:line="320" w:lineRule="exact"/>
              <w:jc w:val="both"/>
              <w:rPr>
                <w:rFonts w:hint="cs"/>
              </w:rPr>
            </w:pPr>
            <w:r>
              <w:rPr>
                <w:rFonts w:hint="cs"/>
                <w:rtl/>
              </w:rPr>
              <w:t>التدريب الأولي</w:t>
            </w:r>
          </w:p>
        </w:tc>
        <w:tc>
          <w:tcPr>
            <w:tcW w:w="3780" w:type="dxa"/>
            <w:tcBorders>
              <w:top w:val="nil"/>
              <w:bottom w:val="nil"/>
            </w:tcBorders>
          </w:tcPr>
          <w:p w:rsidR="00443EC1" w:rsidRDefault="00443EC1">
            <w:pPr>
              <w:spacing w:before="0" w:after="0" w:line="320" w:lineRule="exact"/>
              <w:jc w:val="both"/>
              <w:rPr>
                <w:rFonts w:hint="cs"/>
              </w:rPr>
            </w:pPr>
            <w:r>
              <w:rPr>
                <w:rFonts w:hint="cs"/>
                <w:rtl/>
              </w:rPr>
              <w:t>تعلم (14-24 عاماً)</w:t>
            </w:r>
          </w:p>
        </w:tc>
        <w:tc>
          <w:tcPr>
            <w:tcW w:w="1260" w:type="dxa"/>
            <w:tcBorders>
              <w:top w:val="nil"/>
              <w:bottom w:val="nil"/>
            </w:tcBorders>
          </w:tcPr>
          <w:p w:rsidR="00443EC1" w:rsidRDefault="00443EC1">
            <w:pPr>
              <w:spacing w:before="0" w:after="0" w:line="320" w:lineRule="exact"/>
              <w:jc w:val="both"/>
              <w:rPr>
                <w:rFonts w:hint="cs"/>
              </w:rPr>
            </w:pPr>
            <w:r>
              <w:rPr>
                <w:rFonts w:hint="cs"/>
                <w:rtl/>
              </w:rPr>
              <w:t>113</w:t>
            </w:r>
          </w:p>
        </w:tc>
        <w:tc>
          <w:tcPr>
            <w:tcW w:w="1188" w:type="dxa"/>
            <w:tcBorders>
              <w:top w:val="nil"/>
              <w:bottom w:val="nil"/>
            </w:tcBorders>
          </w:tcPr>
          <w:p w:rsidR="00443EC1" w:rsidRDefault="00443EC1">
            <w:pPr>
              <w:spacing w:before="0" w:after="0" w:line="320" w:lineRule="exact"/>
              <w:jc w:val="both"/>
              <w:rPr>
                <w:rFonts w:hint="cs"/>
              </w:rPr>
            </w:pPr>
            <w:r>
              <w:rPr>
                <w:rFonts w:hint="cs"/>
                <w:rtl/>
              </w:rPr>
              <w:t>110</w:t>
            </w:r>
          </w:p>
        </w:tc>
      </w:tr>
      <w:tr w:rsidR="00443EC1" w:rsidTr="00443EC1">
        <w:tblPrEx>
          <w:tblCellMar>
            <w:top w:w="0" w:type="dxa"/>
            <w:bottom w:w="0" w:type="dxa"/>
          </w:tblCellMar>
        </w:tblPrEx>
        <w:trPr>
          <w:jc w:val="center"/>
        </w:trPr>
        <w:tc>
          <w:tcPr>
            <w:tcW w:w="3342" w:type="dxa"/>
            <w:tcBorders>
              <w:top w:val="nil"/>
              <w:bottom w:val="nil"/>
            </w:tcBorders>
          </w:tcPr>
          <w:p w:rsidR="00443EC1" w:rsidRDefault="00443EC1">
            <w:pPr>
              <w:spacing w:before="0" w:after="0" w:line="320" w:lineRule="exact"/>
              <w:jc w:val="both"/>
              <w:rPr>
                <w:rFonts w:hint="cs"/>
                <w:rtl/>
              </w:rPr>
            </w:pPr>
            <w:r>
              <w:rPr>
                <w:rFonts w:hint="cs"/>
                <w:rtl/>
              </w:rPr>
              <w:t>الشبان والباحثون عن عمل لأول مرة</w:t>
            </w:r>
          </w:p>
        </w:tc>
        <w:tc>
          <w:tcPr>
            <w:tcW w:w="3780" w:type="dxa"/>
            <w:tcBorders>
              <w:top w:val="nil"/>
              <w:bottom w:val="nil"/>
            </w:tcBorders>
          </w:tcPr>
          <w:p w:rsidR="00443EC1" w:rsidRDefault="00443EC1">
            <w:pPr>
              <w:spacing w:before="0" w:after="0" w:line="320" w:lineRule="exact"/>
              <w:jc w:val="both"/>
              <w:rPr>
                <w:rFonts w:hint="cs"/>
                <w:rtl/>
              </w:rPr>
            </w:pPr>
            <w:r>
              <w:rPr>
                <w:rFonts w:hint="cs"/>
                <w:rtl/>
              </w:rPr>
              <w:t>تأهيل</w:t>
            </w:r>
          </w:p>
        </w:tc>
        <w:tc>
          <w:tcPr>
            <w:tcW w:w="1260" w:type="dxa"/>
            <w:tcBorders>
              <w:top w:val="nil"/>
              <w:bottom w:val="nil"/>
            </w:tcBorders>
          </w:tcPr>
          <w:p w:rsidR="00443EC1" w:rsidRDefault="00443EC1">
            <w:pPr>
              <w:spacing w:before="0" w:after="0" w:line="320" w:lineRule="exact"/>
              <w:jc w:val="both"/>
              <w:rPr>
                <w:rFonts w:hint="cs"/>
              </w:rPr>
            </w:pPr>
            <w:r>
              <w:rPr>
                <w:rFonts w:hint="cs"/>
                <w:rtl/>
              </w:rPr>
              <w:t>20</w:t>
            </w:r>
          </w:p>
        </w:tc>
        <w:tc>
          <w:tcPr>
            <w:tcW w:w="1188" w:type="dxa"/>
            <w:tcBorders>
              <w:top w:val="nil"/>
              <w:bottom w:val="nil"/>
            </w:tcBorders>
          </w:tcPr>
          <w:p w:rsidR="00443EC1" w:rsidRDefault="00443EC1">
            <w:pPr>
              <w:spacing w:before="0" w:after="0" w:line="320" w:lineRule="exact"/>
              <w:jc w:val="both"/>
              <w:rPr>
                <w:rFonts w:hint="cs"/>
              </w:rPr>
            </w:pPr>
            <w:r>
              <w:rPr>
                <w:rFonts w:hint="cs"/>
                <w:rtl/>
              </w:rPr>
              <w:t>10</w:t>
            </w:r>
          </w:p>
        </w:tc>
      </w:tr>
      <w:tr w:rsidR="00443EC1" w:rsidTr="00443EC1">
        <w:tblPrEx>
          <w:tblCellMar>
            <w:top w:w="0" w:type="dxa"/>
            <w:bottom w:w="0" w:type="dxa"/>
          </w:tblCellMar>
        </w:tblPrEx>
        <w:trPr>
          <w:jc w:val="center"/>
        </w:trPr>
        <w:tc>
          <w:tcPr>
            <w:tcW w:w="3342" w:type="dxa"/>
            <w:tcBorders>
              <w:top w:val="nil"/>
              <w:bottom w:val="single" w:sz="4" w:space="0" w:color="auto"/>
            </w:tcBorders>
          </w:tcPr>
          <w:p w:rsidR="00443EC1" w:rsidRDefault="00443EC1">
            <w:pPr>
              <w:spacing w:before="0" w:after="0" w:line="320" w:lineRule="exact"/>
              <w:jc w:val="both"/>
              <w:rPr>
                <w:rFonts w:hint="cs"/>
                <w:rtl/>
              </w:rPr>
            </w:pPr>
            <w:r>
              <w:rPr>
                <w:rFonts w:hint="cs"/>
                <w:rtl/>
              </w:rPr>
              <w:t>التدريب المستديم</w:t>
            </w:r>
          </w:p>
          <w:p w:rsidR="00443EC1" w:rsidRDefault="00443EC1">
            <w:pPr>
              <w:spacing w:before="0" w:after="0" w:line="320" w:lineRule="exact"/>
              <w:jc w:val="both"/>
              <w:rPr>
                <w:rFonts w:hint="cs"/>
                <w:rtl/>
              </w:rPr>
            </w:pPr>
            <w:r>
              <w:rPr>
                <w:rFonts w:hint="cs"/>
                <w:rtl/>
              </w:rPr>
              <w:t>(الشبان النشطون أو الكبار)</w:t>
            </w:r>
          </w:p>
        </w:tc>
        <w:tc>
          <w:tcPr>
            <w:tcW w:w="3780" w:type="dxa"/>
            <w:tcBorders>
              <w:top w:val="nil"/>
              <w:bottom w:val="single" w:sz="4" w:space="0" w:color="auto"/>
            </w:tcBorders>
          </w:tcPr>
          <w:p w:rsidR="00443EC1" w:rsidRDefault="00443EC1">
            <w:pPr>
              <w:spacing w:before="0" w:after="0" w:line="320" w:lineRule="exact"/>
              <w:jc w:val="both"/>
              <w:rPr>
                <w:rFonts w:hint="cs"/>
                <w:rtl/>
              </w:rPr>
            </w:pPr>
            <w:r>
              <w:rPr>
                <w:rFonts w:hint="cs"/>
                <w:rtl/>
              </w:rPr>
              <w:t>تحسين</w:t>
            </w:r>
          </w:p>
          <w:p w:rsidR="00443EC1" w:rsidRDefault="00443EC1">
            <w:pPr>
              <w:spacing w:before="0" w:after="0" w:line="320" w:lineRule="exact"/>
              <w:jc w:val="both"/>
              <w:rPr>
                <w:rFonts w:hint="cs"/>
                <w:rtl/>
              </w:rPr>
            </w:pPr>
            <w:r>
              <w:rPr>
                <w:rFonts w:hint="cs"/>
                <w:rtl/>
              </w:rPr>
              <w:t>تحويل</w:t>
            </w:r>
          </w:p>
          <w:p w:rsidR="00443EC1" w:rsidRDefault="00443EC1">
            <w:pPr>
              <w:spacing w:before="0" w:after="0" w:line="320" w:lineRule="exact"/>
              <w:jc w:val="both"/>
              <w:rPr>
                <w:rFonts w:hint="cs"/>
                <w:rtl/>
              </w:rPr>
            </w:pPr>
            <w:r>
              <w:rPr>
                <w:rFonts w:hint="cs"/>
                <w:rtl/>
              </w:rPr>
              <w:t>إجراءات تحويل في موقع العمل</w:t>
            </w:r>
          </w:p>
          <w:p w:rsidR="00443EC1" w:rsidRDefault="00443EC1">
            <w:pPr>
              <w:spacing w:before="0" w:after="0" w:line="320" w:lineRule="exact"/>
              <w:jc w:val="both"/>
              <w:rPr>
                <w:rFonts w:hint="cs"/>
                <w:rtl/>
              </w:rPr>
            </w:pPr>
            <w:r>
              <w:rPr>
                <w:rFonts w:hint="cs"/>
                <w:rtl/>
              </w:rPr>
              <w:t>دروس في الثقافة الصينية</w:t>
            </w:r>
          </w:p>
          <w:p w:rsidR="00443EC1" w:rsidRDefault="00443EC1">
            <w:pPr>
              <w:spacing w:before="0" w:after="0" w:line="320" w:lineRule="exact"/>
              <w:jc w:val="both"/>
              <w:rPr>
                <w:rFonts w:hint="cs"/>
                <w:rtl/>
              </w:rPr>
            </w:pPr>
            <w:r>
              <w:rPr>
                <w:rFonts w:hint="cs"/>
                <w:rtl/>
              </w:rPr>
              <w:t>(عاطلون عمرهم 40 عاماً فما فوق)</w:t>
            </w:r>
          </w:p>
        </w:tc>
        <w:tc>
          <w:tcPr>
            <w:tcW w:w="1260" w:type="dxa"/>
            <w:tcBorders>
              <w:top w:val="nil"/>
              <w:bottom w:val="single" w:sz="4" w:space="0" w:color="auto"/>
            </w:tcBorders>
          </w:tcPr>
          <w:p w:rsidR="00443EC1" w:rsidRDefault="00443EC1">
            <w:pPr>
              <w:spacing w:before="0" w:after="0" w:line="320" w:lineRule="exact"/>
              <w:jc w:val="both"/>
              <w:rPr>
                <w:rFonts w:hint="cs"/>
                <w:rtl/>
              </w:rPr>
            </w:pPr>
            <w:r>
              <w:rPr>
                <w:rFonts w:hint="cs"/>
                <w:rtl/>
              </w:rPr>
              <w:t>117</w:t>
            </w:r>
          </w:p>
          <w:p w:rsidR="00443EC1" w:rsidRDefault="00443EC1">
            <w:pPr>
              <w:spacing w:before="0" w:after="0" w:line="320" w:lineRule="exact"/>
              <w:jc w:val="both"/>
              <w:rPr>
                <w:rFonts w:hint="cs"/>
                <w:rtl/>
              </w:rPr>
            </w:pPr>
            <w:r>
              <w:rPr>
                <w:rFonts w:hint="cs"/>
                <w:rtl/>
              </w:rPr>
              <w:t>201 1</w:t>
            </w:r>
          </w:p>
          <w:p w:rsidR="00443EC1" w:rsidRDefault="00443EC1">
            <w:pPr>
              <w:spacing w:before="0" w:after="0" w:line="320" w:lineRule="exact"/>
              <w:jc w:val="both"/>
              <w:rPr>
                <w:rFonts w:hint="cs"/>
                <w:rtl/>
              </w:rPr>
            </w:pPr>
            <w:r>
              <w:rPr>
                <w:rFonts w:hint="cs"/>
                <w:rtl/>
              </w:rPr>
              <w:t>113</w:t>
            </w:r>
          </w:p>
          <w:p w:rsidR="00443EC1" w:rsidRDefault="00443EC1">
            <w:pPr>
              <w:spacing w:before="0" w:after="0" w:line="320" w:lineRule="exact"/>
              <w:jc w:val="both"/>
              <w:rPr>
                <w:rFonts w:hint="cs"/>
                <w:rtl/>
              </w:rPr>
            </w:pPr>
            <w:r>
              <w:rPr>
                <w:rFonts w:hint="cs"/>
                <w:rtl/>
              </w:rPr>
              <w:t>-</w:t>
            </w:r>
          </w:p>
          <w:p w:rsidR="00443EC1" w:rsidRDefault="00443EC1">
            <w:pPr>
              <w:spacing w:before="0" w:after="0" w:line="320" w:lineRule="exact"/>
              <w:jc w:val="both"/>
              <w:rPr>
                <w:rFonts w:hint="cs"/>
              </w:rPr>
            </w:pPr>
            <w:r>
              <w:rPr>
                <w:rFonts w:hint="cs"/>
                <w:rtl/>
              </w:rPr>
              <w:t>-</w:t>
            </w:r>
          </w:p>
        </w:tc>
        <w:tc>
          <w:tcPr>
            <w:tcW w:w="1188" w:type="dxa"/>
            <w:tcBorders>
              <w:top w:val="nil"/>
              <w:bottom w:val="single" w:sz="4" w:space="0" w:color="auto"/>
            </w:tcBorders>
          </w:tcPr>
          <w:p w:rsidR="00443EC1" w:rsidRDefault="00443EC1">
            <w:pPr>
              <w:spacing w:before="0" w:after="0" w:line="320" w:lineRule="exact"/>
              <w:jc w:val="both"/>
              <w:rPr>
                <w:rFonts w:hint="cs"/>
                <w:rtl/>
              </w:rPr>
            </w:pPr>
            <w:r>
              <w:rPr>
                <w:rFonts w:hint="cs"/>
                <w:rtl/>
              </w:rPr>
              <w:t>311</w:t>
            </w:r>
          </w:p>
          <w:p w:rsidR="00443EC1" w:rsidRDefault="00443EC1">
            <w:pPr>
              <w:spacing w:before="0" w:after="0" w:line="320" w:lineRule="exact"/>
              <w:jc w:val="both"/>
              <w:rPr>
                <w:rFonts w:hint="cs"/>
                <w:rtl/>
              </w:rPr>
            </w:pPr>
            <w:r>
              <w:rPr>
                <w:rFonts w:hint="cs"/>
                <w:rtl/>
              </w:rPr>
              <w:t>633</w:t>
            </w:r>
          </w:p>
          <w:p w:rsidR="00443EC1" w:rsidRDefault="00443EC1">
            <w:pPr>
              <w:spacing w:before="0" w:after="0" w:line="320" w:lineRule="exact"/>
              <w:jc w:val="both"/>
              <w:rPr>
                <w:rFonts w:hint="cs"/>
                <w:rtl/>
              </w:rPr>
            </w:pPr>
            <w:r>
              <w:rPr>
                <w:rFonts w:hint="cs"/>
                <w:rtl/>
              </w:rPr>
              <w:t>234</w:t>
            </w:r>
          </w:p>
          <w:p w:rsidR="00443EC1" w:rsidRDefault="00443EC1">
            <w:pPr>
              <w:spacing w:before="0" w:after="0" w:line="320" w:lineRule="exact"/>
              <w:jc w:val="both"/>
              <w:rPr>
                <w:rFonts w:hint="cs"/>
                <w:rtl/>
              </w:rPr>
            </w:pPr>
            <w:r>
              <w:rPr>
                <w:rFonts w:hint="cs"/>
                <w:rtl/>
              </w:rPr>
              <w:t>321 1</w:t>
            </w:r>
          </w:p>
          <w:p w:rsidR="00443EC1" w:rsidRDefault="00443EC1">
            <w:pPr>
              <w:spacing w:before="0" w:after="0" w:line="320" w:lineRule="exact"/>
              <w:jc w:val="both"/>
              <w:rPr>
                <w:rFonts w:hint="cs"/>
              </w:rPr>
            </w:pPr>
            <w:r>
              <w:rPr>
                <w:rFonts w:hint="cs"/>
                <w:rtl/>
              </w:rPr>
              <w:t>515</w:t>
            </w:r>
          </w:p>
        </w:tc>
      </w:tr>
      <w:tr w:rsidR="00443EC1" w:rsidTr="00443EC1">
        <w:tblPrEx>
          <w:tblCellMar>
            <w:top w:w="0" w:type="dxa"/>
            <w:bottom w:w="0" w:type="dxa"/>
          </w:tblCellMar>
        </w:tblPrEx>
        <w:trPr>
          <w:cantSplit/>
          <w:jc w:val="center"/>
        </w:trPr>
        <w:tc>
          <w:tcPr>
            <w:tcW w:w="7122" w:type="dxa"/>
            <w:gridSpan w:val="2"/>
            <w:tcBorders>
              <w:bottom w:val="nil"/>
            </w:tcBorders>
          </w:tcPr>
          <w:p w:rsidR="00443EC1" w:rsidRDefault="00443EC1">
            <w:pPr>
              <w:spacing w:before="0" w:after="0" w:line="320" w:lineRule="exact"/>
              <w:jc w:val="both"/>
            </w:pPr>
            <w:r>
              <w:rPr>
                <w:rFonts w:hint="cs"/>
                <w:rtl/>
              </w:rPr>
              <w:t>دورات نظمتها وزارة العمل والعمالة بالتعاون مع مؤسسات أخرى (المجموع)</w:t>
            </w:r>
          </w:p>
        </w:tc>
        <w:tc>
          <w:tcPr>
            <w:tcW w:w="1260" w:type="dxa"/>
            <w:tcBorders>
              <w:bottom w:val="nil"/>
            </w:tcBorders>
          </w:tcPr>
          <w:p w:rsidR="00443EC1" w:rsidRDefault="00443EC1">
            <w:pPr>
              <w:spacing w:before="0" w:after="0" w:line="320" w:lineRule="exact"/>
              <w:jc w:val="both"/>
              <w:rPr>
                <w:rFonts w:hint="cs"/>
              </w:rPr>
            </w:pPr>
            <w:r>
              <w:rPr>
                <w:rFonts w:hint="cs"/>
                <w:rtl/>
              </w:rPr>
              <w:t>564 1</w:t>
            </w:r>
          </w:p>
        </w:tc>
        <w:tc>
          <w:tcPr>
            <w:tcW w:w="1188" w:type="dxa"/>
            <w:tcBorders>
              <w:bottom w:val="nil"/>
            </w:tcBorders>
          </w:tcPr>
          <w:p w:rsidR="00443EC1" w:rsidRDefault="00443EC1">
            <w:pPr>
              <w:spacing w:before="0" w:after="0" w:line="320" w:lineRule="exact"/>
              <w:jc w:val="both"/>
              <w:rPr>
                <w:rFonts w:hint="cs"/>
              </w:rPr>
            </w:pPr>
            <w:r>
              <w:rPr>
                <w:rFonts w:hint="cs"/>
                <w:rtl/>
              </w:rPr>
              <w:t>224 3</w:t>
            </w:r>
          </w:p>
        </w:tc>
      </w:tr>
      <w:tr w:rsidR="00443EC1" w:rsidTr="00443EC1">
        <w:tblPrEx>
          <w:tblCellMar>
            <w:top w:w="0" w:type="dxa"/>
            <w:bottom w:w="0" w:type="dxa"/>
          </w:tblCellMar>
        </w:tblPrEx>
        <w:trPr>
          <w:cantSplit/>
          <w:jc w:val="center"/>
        </w:trPr>
        <w:tc>
          <w:tcPr>
            <w:tcW w:w="7122" w:type="dxa"/>
            <w:gridSpan w:val="2"/>
            <w:tcBorders>
              <w:top w:val="nil"/>
            </w:tcBorders>
          </w:tcPr>
          <w:p w:rsidR="00443EC1" w:rsidRDefault="00443EC1">
            <w:pPr>
              <w:spacing w:before="0" w:after="0" w:line="320" w:lineRule="exact"/>
              <w:jc w:val="both"/>
              <w:rPr>
                <w:rFonts w:hint="cs"/>
                <w:rtl/>
              </w:rPr>
            </w:pPr>
            <w:r>
              <w:rPr>
                <w:rFonts w:hint="cs"/>
                <w:rtl/>
              </w:rPr>
              <w:t>دورات تدريبية داخل الشركات تنظم في مرافق مركز التدريب المهني.</w:t>
            </w:r>
          </w:p>
        </w:tc>
        <w:tc>
          <w:tcPr>
            <w:tcW w:w="1260" w:type="dxa"/>
            <w:tcBorders>
              <w:top w:val="nil"/>
            </w:tcBorders>
          </w:tcPr>
          <w:p w:rsidR="00443EC1" w:rsidRDefault="00443EC1">
            <w:pPr>
              <w:spacing w:before="0" w:after="0" w:line="320" w:lineRule="exact"/>
              <w:jc w:val="both"/>
              <w:rPr>
                <w:rFonts w:hint="cs"/>
              </w:rPr>
            </w:pPr>
            <w:r>
              <w:rPr>
                <w:rFonts w:hint="cs"/>
                <w:rtl/>
              </w:rPr>
              <w:t>458</w:t>
            </w:r>
          </w:p>
        </w:tc>
        <w:tc>
          <w:tcPr>
            <w:tcW w:w="1188" w:type="dxa"/>
            <w:tcBorders>
              <w:top w:val="nil"/>
            </w:tcBorders>
          </w:tcPr>
          <w:p w:rsidR="00443EC1" w:rsidRDefault="00443EC1">
            <w:pPr>
              <w:spacing w:before="0" w:after="0" w:line="320" w:lineRule="exact"/>
              <w:jc w:val="both"/>
              <w:rPr>
                <w:rFonts w:hint="cs"/>
              </w:rPr>
            </w:pPr>
            <w:r>
              <w:rPr>
                <w:rFonts w:hint="cs"/>
                <w:rtl/>
              </w:rPr>
              <w:t>693 1</w:t>
            </w:r>
          </w:p>
        </w:tc>
      </w:tr>
      <w:tr w:rsidR="00443EC1" w:rsidTr="00443EC1">
        <w:tblPrEx>
          <w:tblCellMar>
            <w:top w:w="0" w:type="dxa"/>
            <w:bottom w:w="0" w:type="dxa"/>
          </w:tblCellMar>
        </w:tblPrEx>
        <w:trPr>
          <w:cantSplit/>
          <w:jc w:val="center"/>
        </w:trPr>
        <w:tc>
          <w:tcPr>
            <w:tcW w:w="7122" w:type="dxa"/>
            <w:gridSpan w:val="2"/>
          </w:tcPr>
          <w:p w:rsidR="00443EC1" w:rsidRDefault="00443EC1">
            <w:pPr>
              <w:spacing w:before="0" w:after="0" w:line="320" w:lineRule="exact"/>
              <w:jc w:val="both"/>
              <w:rPr>
                <w:rFonts w:hint="cs"/>
                <w:rtl/>
              </w:rPr>
            </w:pPr>
            <w:r>
              <w:rPr>
                <w:rtl/>
              </w:rPr>
              <w:tab/>
            </w:r>
            <w:r>
              <w:rPr>
                <w:rFonts w:hint="cs"/>
                <w:rtl/>
              </w:rPr>
              <w:tab/>
              <w:t>المجموع</w:t>
            </w:r>
          </w:p>
        </w:tc>
        <w:tc>
          <w:tcPr>
            <w:tcW w:w="1260" w:type="dxa"/>
          </w:tcPr>
          <w:p w:rsidR="00443EC1" w:rsidRDefault="00443EC1">
            <w:pPr>
              <w:spacing w:before="0" w:after="0" w:line="320" w:lineRule="exact"/>
              <w:jc w:val="both"/>
              <w:rPr>
                <w:rFonts w:hint="cs"/>
              </w:rPr>
            </w:pPr>
            <w:r>
              <w:rPr>
                <w:rFonts w:hint="cs"/>
                <w:rtl/>
              </w:rPr>
              <w:t>022 2</w:t>
            </w:r>
          </w:p>
        </w:tc>
        <w:tc>
          <w:tcPr>
            <w:tcW w:w="1188" w:type="dxa"/>
          </w:tcPr>
          <w:p w:rsidR="00443EC1" w:rsidRDefault="00443EC1">
            <w:pPr>
              <w:spacing w:before="0" w:after="0" w:line="320" w:lineRule="exact"/>
              <w:jc w:val="both"/>
              <w:rPr>
                <w:rFonts w:hint="cs"/>
              </w:rPr>
            </w:pPr>
            <w:r>
              <w:rPr>
                <w:rFonts w:hint="cs"/>
                <w:rtl/>
              </w:rPr>
              <w:t>917 4</w:t>
            </w:r>
          </w:p>
        </w:tc>
      </w:tr>
    </w:tbl>
    <w:p w:rsidR="00000000" w:rsidRDefault="00443EC1">
      <w:pPr>
        <w:spacing w:before="120" w:after="120" w:line="380" w:lineRule="exact"/>
        <w:jc w:val="both"/>
        <w:rPr>
          <w:rFonts w:hint="cs"/>
          <w:rtl/>
        </w:rPr>
      </w:pPr>
      <w:r>
        <w:rPr>
          <w:rFonts w:hint="cs"/>
          <w:i/>
          <w:iCs/>
          <w:rtl/>
        </w:rPr>
        <w:tab/>
        <w:t>المصدر</w:t>
      </w:r>
      <w:r>
        <w:rPr>
          <w:rFonts w:hint="cs"/>
          <w:rtl/>
        </w:rPr>
        <w:t>:</w:t>
      </w:r>
      <w:r>
        <w:rPr>
          <w:rFonts w:hint="cs"/>
          <w:rtl/>
        </w:rPr>
        <w:tab/>
        <w:t>تقرير أنشطة 2001، إدارة العمل والعمالة.</w:t>
      </w:r>
    </w:p>
    <w:p w:rsidR="00000000" w:rsidRDefault="00443EC1">
      <w:pPr>
        <w:spacing w:before="180" w:after="180" w:line="380" w:lineRule="exact"/>
        <w:jc w:val="both"/>
        <w:rPr>
          <w:rFonts w:hint="cs"/>
          <w:b/>
          <w:bCs/>
          <w:rtl/>
        </w:rPr>
      </w:pPr>
      <w:r>
        <w:rPr>
          <w:rFonts w:hint="cs"/>
          <w:b/>
          <w:bCs/>
          <w:rtl/>
        </w:rPr>
        <w:t>القطاع العام</w:t>
      </w:r>
    </w:p>
    <w:p w:rsidR="00000000" w:rsidRDefault="00443EC1">
      <w:pPr>
        <w:spacing w:before="180" w:after="180" w:line="380" w:lineRule="exact"/>
        <w:jc w:val="both"/>
        <w:rPr>
          <w:rFonts w:hint="cs"/>
          <w:rtl/>
        </w:rPr>
      </w:pPr>
      <w:r>
        <w:rPr>
          <w:rFonts w:hint="cs"/>
          <w:rtl/>
        </w:rPr>
        <w:t>858-</w:t>
      </w:r>
      <w:r>
        <w:rPr>
          <w:rFonts w:hint="cs"/>
          <w:rtl/>
        </w:rPr>
        <w:tab/>
        <w:t xml:space="preserve">يحق لعمال </w:t>
      </w:r>
      <w:r>
        <w:rPr>
          <w:rFonts w:hint="cs"/>
          <w:rtl/>
        </w:rPr>
        <w:t>القطاع العام أيضاً تلقّي التعليم والتدريب المستديميْن لتحسين كفاءاتهم وفعالياتهم لدى معالجة مطالب الجمهور المتزايدة.</w:t>
      </w:r>
    </w:p>
    <w:p w:rsidR="00000000" w:rsidRDefault="00443EC1">
      <w:pPr>
        <w:spacing w:line="380" w:lineRule="exact"/>
        <w:jc w:val="both"/>
        <w:rPr>
          <w:rFonts w:hint="cs"/>
          <w:rtl/>
        </w:rPr>
      </w:pPr>
      <w:r>
        <w:rPr>
          <w:rFonts w:hint="cs"/>
          <w:rtl/>
        </w:rPr>
        <w:t>859-</w:t>
      </w:r>
      <w:r>
        <w:rPr>
          <w:rFonts w:hint="cs"/>
          <w:rtl/>
        </w:rPr>
        <w:tab/>
        <w:t>وتوفّر دائرة الإدارة العامة والخدمات العديد من البرامج التدريبية للعاملين في القطاع العام، تُقسم إلى التدريب الخاص، والتدريب اللغوي، و</w:t>
      </w:r>
      <w:r>
        <w:rPr>
          <w:rFonts w:hint="cs"/>
          <w:rtl/>
        </w:rPr>
        <w:t>التدريب التقني والمهني. ويجري التدريب اللغوي أساساً في لغات الماندرين، والكانتونية والبرتغالية. ويُقسم التدريب التقني والمهني إلى المجالات التالية: نظم المعلومات والتنظيم وإدارة الموارد البشرية والإدارة والعلاقات العامة والاتصالات.</w:t>
      </w:r>
    </w:p>
    <w:p w:rsidR="00000000" w:rsidRDefault="00443EC1">
      <w:pPr>
        <w:spacing w:line="380" w:lineRule="exact"/>
        <w:jc w:val="both"/>
        <w:rPr>
          <w:rFonts w:hint="cs"/>
          <w:spacing w:val="-2"/>
          <w:rtl/>
        </w:rPr>
      </w:pPr>
      <w:r>
        <w:rPr>
          <w:rFonts w:hint="cs"/>
          <w:spacing w:val="-2"/>
          <w:rtl/>
        </w:rPr>
        <w:t>860-</w:t>
      </w:r>
      <w:r>
        <w:rPr>
          <w:rFonts w:hint="cs"/>
          <w:spacing w:val="-2"/>
          <w:rtl/>
        </w:rPr>
        <w:tab/>
        <w:t>كما توفّر وزارة الس</w:t>
      </w:r>
      <w:r>
        <w:rPr>
          <w:rFonts w:hint="cs"/>
          <w:spacing w:val="-2"/>
          <w:rtl/>
        </w:rPr>
        <w:t xml:space="preserve">ياحة بعض البرامج التدريبية المهنية التي تستهدف الطلاب والعاملين في القطاع السياحي بهدف تحسين نوعية الخدمات. ويمكن الحصول على المعلومات ذات الصلة على العنوان التالي: </w:t>
      </w:r>
      <w:r>
        <w:rPr>
          <w:spacing w:val="-2"/>
          <w:u w:val="single"/>
        </w:rPr>
        <w:t>www.macautourism.gov.mo</w:t>
      </w:r>
      <w:r>
        <w:rPr>
          <w:rFonts w:hint="cs"/>
          <w:spacing w:val="-2"/>
          <w:rtl/>
        </w:rPr>
        <w:t>.</w:t>
      </w:r>
    </w:p>
    <w:p w:rsidR="00000000" w:rsidRDefault="00443EC1">
      <w:pPr>
        <w:spacing w:line="380" w:lineRule="exact"/>
        <w:jc w:val="both"/>
        <w:rPr>
          <w:rFonts w:hint="cs"/>
          <w:rtl/>
        </w:rPr>
      </w:pPr>
      <w:r>
        <w:rPr>
          <w:rFonts w:hint="cs"/>
          <w:rtl/>
        </w:rPr>
        <w:t>861-</w:t>
      </w:r>
      <w:r>
        <w:rPr>
          <w:rFonts w:hint="cs"/>
          <w:rtl/>
        </w:rPr>
        <w:tab/>
        <w:t>ويقدم معهد الدراسات السياحية لعامة الجمهور دورات تشمل برامج ا</w:t>
      </w:r>
      <w:r>
        <w:rPr>
          <w:rFonts w:hint="cs"/>
          <w:rtl/>
        </w:rPr>
        <w:t xml:space="preserve">لتدريب المهني بجميع فئاته. ويختص معهد التربية المهنية المستديمة بمواصلة ربط الصلة بالصناعات والمجتمعات المحلية. ويبلغ عدد المشاركين المحليين عادة، في هذه الفئة من الدورات، 99 في المائة ويبلغ عدد المشاركين الوافدين من الخارج 1 في المائة، في حين تمثل مشاركة </w:t>
      </w:r>
      <w:r>
        <w:rPr>
          <w:rFonts w:hint="cs"/>
          <w:rtl/>
        </w:rPr>
        <w:t xml:space="preserve">الذكور 54 في المائة ومشاركة الإناث 46 في المائة. ويمكن الحصول على المزيد من المعلومات على العنوان التالي: </w:t>
      </w:r>
      <w:r>
        <w:rPr>
          <w:u w:val="single"/>
        </w:rPr>
        <w:t>www.ift.edu.mo/mecats/index.htm</w:t>
      </w:r>
      <w:r>
        <w:rPr>
          <w:rFonts w:hint="cs"/>
          <w:rtl/>
        </w:rPr>
        <w:t>.</w:t>
      </w:r>
    </w:p>
    <w:p w:rsidR="00000000" w:rsidRDefault="00443EC1">
      <w:pPr>
        <w:spacing w:line="380" w:lineRule="exact"/>
        <w:jc w:val="both"/>
        <w:rPr>
          <w:rFonts w:hint="cs"/>
          <w:spacing w:val="0"/>
          <w:rtl/>
        </w:rPr>
      </w:pPr>
      <w:r>
        <w:rPr>
          <w:rFonts w:hint="cs"/>
          <w:spacing w:val="0"/>
          <w:rtl/>
        </w:rPr>
        <w:t>862-</w:t>
      </w:r>
      <w:r>
        <w:rPr>
          <w:rFonts w:hint="cs"/>
          <w:spacing w:val="0"/>
          <w:rtl/>
        </w:rPr>
        <w:tab/>
        <w:t>ولمعهد بوليتكنيك في مقاطعة ماكاو مركز للتعليم المستمر والمشاريع الخاصة، ينظم عددا من الدورات التدريبية. كما تُنظ</w:t>
      </w:r>
      <w:r>
        <w:rPr>
          <w:rFonts w:hint="cs"/>
          <w:spacing w:val="0"/>
          <w:rtl/>
        </w:rPr>
        <w:t xml:space="preserve">م العديد من الدورات كل من مدرسة الإدارة العامة، ومركز التدريب التابع لمدرسة الترجمة، ومدرسة العلوم الصحية ومدرسة التربية البدنية. ويمكن الحصول على مزيد من المعلومات على العنوان التالي: </w:t>
      </w:r>
      <w:r>
        <w:rPr>
          <w:spacing w:val="0"/>
          <w:u w:val="single"/>
        </w:rPr>
        <w:t>www.imp.edu.mo</w:t>
      </w:r>
      <w:r>
        <w:rPr>
          <w:rFonts w:hint="cs"/>
          <w:spacing w:val="0"/>
          <w:rtl/>
        </w:rPr>
        <w:t>.</w:t>
      </w:r>
    </w:p>
    <w:p w:rsidR="00000000" w:rsidRDefault="00443EC1">
      <w:pPr>
        <w:spacing w:before="120" w:after="120" w:line="380" w:lineRule="exact"/>
        <w:jc w:val="center"/>
        <w:rPr>
          <w:rFonts w:hint="cs"/>
          <w:b/>
          <w:bCs/>
          <w:rtl/>
        </w:rPr>
      </w:pPr>
      <w:r>
        <w:rPr>
          <w:rFonts w:hint="cs"/>
          <w:b/>
          <w:bCs/>
          <w:rtl/>
        </w:rPr>
        <w:t>هاء - القيود المفروضة على الحق في العمل</w:t>
      </w:r>
    </w:p>
    <w:p w:rsidR="00000000" w:rsidRDefault="00443EC1">
      <w:pPr>
        <w:spacing w:before="120" w:after="120" w:line="380" w:lineRule="exact"/>
        <w:jc w:val="both"/>
        <w:rPr>
          <w:rFonts w:hint="cs"/>
          <w:b/>
          <w:bCs/>
          <w:rtl/>
        </w:rPr>
      </w:pPr>
      <w:r>
        <w:rPr>
          <w:rFonts w:hint="cs"/>
          <w:b/>
          <w:bCs/>
          <w:rtl/>
        </w:rPr>
        <w:t>المساواة بين ال</w:t>
      </w:r>
      <w:r>
        <w:rPr>
          <w:rFonts w:hint="cs"/>
          <w:b/>
          <w:bCs/>
          <w:rtl/>
        </w:rPr>
        <w:t>جنسين</w:t>
      </w:r>
    </w:p>
    <w:p w:rsidR="00000000" w:rsidRDefault="00443EC1">
      <w:pPr>
        <w:spacing w:line="380" w:lineRule="exact"/>
        <w:jc w:val="both"/>
        <w:rPr>
          <w:rFonts w:hint="cs"/>
          <w:rtl/>
        </w:rPr>
      </w:pPr>
      <w:r>
        <w:rPr>
          <w:rFonts w:hint="cs"/>
          <w:rtl/>
        </w:rPr>
        <w:t>863-</w:t>
      </w:r>
      <w:r>
        <w:rPr>
          <w:rFonts w:hint="cs"/>
          <w:rtl/>
        </w:rPr>
        <w:tab/>
        <w:t>مثلما أسلفنا، لا توجد في القوانين الجارية في مقاطعة ماكاو قيود، على الحقّ في العمل والعمالة والتدريب المهني. وقد أُدخلت تحسينات تشريعية خلال السنوات القليلة الماضية.</w:t>
      </w:r>
    </w:p>
    <w:p w:rsidR="00000000" w:rsidRDefault="00443EC1">
      <w:pPr>
        <w:spacing w:line="380" w:lineRule="exact"/>
        <w:jc w:val="both"/>
        <w:rPr>
          <w:rFonts w:hint="cs"/>
          <w:rtl/>
        </w:rPr>
      </w:pPr>
      <w:r>
        <w:rPr>
          <w:rFonts w:hint="cs"/>
          <w:rtl/>
        </w:rPr>
        <w:t>864-</w:t>
      </w:r>
      <w:r>
        <w:rPr>
          <w:rFonts w:hint="cs"/>
          <w:rtl/>
        </w:rPr>
        <w:tab/>
        <w:t>ويقر قانون العمل، في القطاعين العام والخاص، صراحة بالمساواة في معاملة جميع</w:t>
      </w:r>
      <w:r>
        <w:rPr>
          <w:rFonts w:hint="cs"/>
          <w:rtl/>
        </w:rPr>
        <w:t xml:space="preserve"> العمال دون تمييز قائم على أساس نوع الجنس أو الوضع العائلي أو الحالة الأسرية أو الحصول على فرص العمل والمعاملة في موقع العمل، وإقرار عدم وجود تمييز مباشر أو غير مباشر ضد النساء، ومبدأ المساواة في الأجر عن عمل ذي قيمة متساوية.</w:t>
      </w:r>
    </w:p>
    <w:p w:rsidR="00000000" w:rsidRDefault="00443EC1">
      <w:pPr>
        <w:spacing w:line="380" w:lineRule="exact"/>
        <w:jc w:val="both"/>
        <w:rPr>
          <w:rFonts w:hint="cs"/>
          <w:spacing w:val="2"/>
          <w:rtl/>
        </w:rPr>
      </w:pPr>
      <w:r>
        <w:rPr>
          <w:rFonts w:hint="cs"/>
          <w:spacing w:val="2"/>
          <w:rtl/>
        </w:rPr>
        <w:t>865-</w:t>
      </w:r>
      <w:r>
        <w:rPr>
          <w:rFonts w:hint="cs"/>
          <w:spacing w:val="2"/>
          <w:rtl/>
        </w:rPr>
        <w:tab/>
        <w:t>وعُزِّزت هذه المبادئ في و</w:t>
      </w:r>
      <w:r>
        <w:rPr>
          <w:rFonts w:hint="cs"/>
          <w:spacing w:val="2"/>
          <w:rtl/>
        </w:rPr>
        <w:t>قت لاحق باعتماد قانون التساوي في الفـرص و</w:t>
      </w:r>
      <w:r>
        <w:rPr>
          <w:rFonts w:hint="eastAsia"/>
          <w:spacing w:val="2"/>
          <w:rtl/>
        </w:rPr>
        <w:t>التساوي</w:t>
      </w:r>
      <w:r>
        <w:rPr>
          <w:rFonts w:hint="cs"/>
          <w:spacing w:val="2"/>
          <w:rtl/>
        </w:rPr>
        <w:t xml:space="preserve"> في المعاملة، وهو المرسوم بقانون 52/95/م المؤرخ 9 تشرين الأول/أكتوبر. وينص هذا القانون صراحة على الحق في عدم التعرض للتمييز على أساس نوع الجنس (المادة 4)، و</w:t>
      </w:r>
      <w:r>
        <w:rPr>
          <w:rFonts w:hint="eastAsia"/>
          <w:spacing w:val="2"/>
          <w:rtl/>
        </w:rPr>
        <w:t>التساوي</w:t>
      </w:r>
      <w:r>
        <w:rPr>
          <w:rFonts w:hint="cs"/>
          <w:spacing w:val="2"/>
          <w:rtl/>
        </w:rPr>
        <w:t xml:space="preserve"> في الحق العمل (المادة 5)، </w:t>
      </w:r>
      <w:r>
        <w:rPr>
          <w:rFonts w:hint="eastAsia"/>
          <w:spacing w:val="2"/>
          <w:rtl/>
        </w:rPr>
        <w:t>والتساوي</w:t>
      </w:r>
      <w:r>
        <w:rPr>
          <w:rFonts w:hint="cs"/>
          <w:spacing w:val="2"/>
          <w:rtl/>
        </w:rPr>
        <w:t xml:space="preserve"> في الفرص </w:t>
      </w:r>
      <w:r>
        <w:rPr>
          <w:rFonts w:hint="cs"/>
          <w:spacing w:val="2"/>
          <w:rtl/>
        </w:rPr>
        <w:t xml:space="preserve">وفي تلقي التدريب المهني </w:t>
      </w:r>
      <w:r>
        <w:rPr>
          <w:rFonts w:hint="eastAsia"/>
          <w:spacing w:val="2"/>
          <w:rtl/>
        </w:rPr>
        <w:t>والتساوي</w:t>
      </w:r>
      <w:r>
        <w:rPr>
          <w:rFonts w:hint="cs"/>
          <w:spacing w:val="2"/>
          <w:rtl/>
        </w:rPr>
        <w:t xml:space="preserve"> في المعاملة في مكان العمل (المادة 6)، </w:t>
      </w:r>
      <w:r>
        <w:rPr>
          <w:rFonts w:hint="eastAsia"/>
          <w:spacing w:val="2"/>
          <w:rtl/>
        </w:rPr>
        <w:t>والتساوي</w:t>
      </w:r>
      <w:r>
        <w:rPr>
          <w:rFonts w:hint="cs"/>
          <w:spacing w:val="2"/>
          <w:rtl/>
        </w:rPr>
        <w:t xml:space="preserve"> في الأجور عن عمل ذي قيمة متساوية (المادة 9)، </w:t>
      </w:r>
      <w:r>
        <w:rPr>
          <w:rFonts w:hint="eastAsia"/>
          <w:spacing w:val="2"/>
          <w:rtl/>
        </w:rPr>
        <w:t>والتساوي</w:t>
      </w:r>
      <w:r>
        <w:rPr>
          <w:rFonts w:hint="cs"/>
          <w:spacing w:val="2"/>
          <w:rtl/>
        </w:rPr>
        <w:t xml:space="preserve"> في فرص العمل (المادة 10).</w:t>
      </w:r>
    </w:p>
    <w:p w:rsidR="00000000" w:rsidRDefault="00443EC1">
      <w:pPr>
        <w:spacing w:line="380" w:lineRule="exact"/>
        <w:jc w:val="both"/>
        <w:rPr>
          <w:rFonts w:hint="cs"/>
          <w:rtl/>
        </w:rPr>
      </w:pPr>
      <w:r>
        <w:rPr>
          <w:rFonts w:hint="cs"/>
          <w:rtl/>
        </w:rPr>
        <w:t>866-</w:t>
      </w:r>
      <w:r>
        <w:rPr>
          <w:rFonts w:hint="cs"/>
          <w:rtl/>
        </w:rPr>
        <w:tab/>
        <w:t>كما ينص الإطار القانوني للعمالة وحقوق العمل على الحاجة إلى الالتزام بمبادئ عدم التمييز وتسا</w:t>
      </w:r>
      <w:r>
        <w:rPr>
          <w:rFonts w:hint="cs"/>
          <w:rtl/>
        </w:rPr>
        <w:t>وي الأجور وتساوي المعاملة في مكان العمل.</w:t>
      </w:r>
    </w:p>
    <w:p w:rsidR="00000000" w:rsidRDefault="00443EC1">
      <w:pPr>
        <w:spacing w:line="380" w:lineRule="exact"/>
        <w:jc w:val="both"/>
        <w:rPr>
          <w:rFonts w:hint="cs"/>
          <w:b/>
          <w:bCs/>
          <w:rtl/>
        </w:rPr>
      </w:pPr>
      <w:r>
        <w:rPr>
          <w:rFonts w:hint="cs"/>
          <w:b/>
          <w:bCs/>
          <w:rtl/>
        </w:rPr>
        <w:t>السكان العاملون حسب نوع الجنس والسن</w:t>
      </w:r>
    </w:p>
    <w:tbl>
      <w:tblPr>
        <w:bidiVisual/>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22"/>
        <w:gridCol w:w="1304"/>
        <w:gridCol w:w="1063"/>
        <w:gridCol w:w="1063"/>
        <w:gridCol w:w="1063"/>
        <w:gridCol w:w="1063"/>
        <w:gridCol w:w="1064"/>
        <w:gridCol w:w="940"/>
        <w:gridCol w:w="1188"/>
      </w:tblGrid>
      <w:tr w:rsidR="00443EC1" w:rsidTr="00443EC1">
        <w:trPr>
          <w:cantSplit/>
          <w:jc w:val="center"/>
        </w:trPr>
        <w:tc>
          <w:tcPr>
            <w:tcW w:w="822" w:type="dxa"/>
            <w:vMerge w:val="restart"/>
            <w:tcBorders>
              <w:top w:val="single" w:sz="4" w:space="0" w:color="auto"/>
              <w:left w:val="single" w:sz="4" w:space="0" w:color="auto"/>
              <w:bottom w:val="single" w:sz="4" w:space="0" w:color="auto"/>
              <w:right w:val="single" w:sz="4" w:space="0" w:color="auto"/>
            </w:tcBorders>
          </w:tcPr>
          <w:p w:rsidR="00443EC1" w:rsidRDefault="00443EC1">
            <w:pPr>
              <w:spacing w:before="0" w:after="0" w:line="320" w:lineRule="exact"/>
              <w:jc w:val="center"/>
              <w:rPr>
                <w:sz w:val="28"/>
                <w:szCs w:val="28"/>
              </w:rPr>
            </w:pPr>
            <w:r>
              <w:rPr>
                <w:sz w:val="28"/>
                <w:szCs w:val="28"/>
                <w:rtl/>
              </w:rPr>
              <w:br/>
            </w:r>
            <w:r>
              <w:rPr>
                <w:sz w:val="28"/>
                <w:szCs w:val="28"/>
                <w:rtl/>
              </w:rPr>
              <w:br/>
            </w:r>
            <w:r>
              <w:rPr>
                <w:rFonts w:hint="eastAsia"/>
                <w:sz w:val="28"/>
                <w:szCs w:val="28"/>
                <w:rtl/>
              </w:rPr>
              <w:t>الأعوام</w:t>
            </w:r>
          </w:p>
        </w:tc>
        <w:tc>
          <w:tcPr>
            <w:tcW w:w="1304" w:type="dxa"/>
            <w:vMerge w:val="restart"/>
            <w:tcBorders>
              <w:top w:val="single" w:sz="4" w:space="0" w:color="auto"/>
              <w:left w:val="single" w:sz="4" w:space="0" w:color="auto"/>
              <w:bottom w:val="single" w:sz="4" w:space="0" w:color="auto"/>
              <w:right w:val="single" w:sz="4" w:space="0" w:color="auto"/>
            </w:tcBorders>
          </w:tcPr>
          <w:p w:rsidR="00443EC1" w:rsidRDefault="00443EC1">
            <w:pPr>
              <w:spacing w:before="0" w:after="0" w:line="320" w:lineRule="exact"/>
              <w:jc w:val="center"/>
              <w:rPr>
                <w:sz w:val="28"/>
                <w:szCs w:val="28"/>
              </w:rPr>
            </w:pPr>
            <w:r>
              <w:rPr>
                <w:sz w:val="28"/>
                <w:szCs w:val="28"/>
                <w:rtl/>
              </w:rPr>
              <w:br/>
            </w:r>
            <w:r>
              <w:rPr>
                <w:sz w:val="28"/>
                <w:szCs w:val="28"/>
                <w:rtl/>
              </w:rPr>
              <w:br/>
            </w:r>
            <w:r>
              <w:rPr>
                <w:rFonts w:hint="eastAsia"/>
                <w:sz w:val="28"/>
                <w:szCs w:val="28"/>
                <w:rtl/>
              </w:rPr>
              <w:t>نوع</w:t>
            </w:r>
            <w:r>
              <w:rPr>
                <w:sz w:val="28"/>
                <w:szCs w:val="28"/>
                <w:rtl/>
              </w:rPr>
              <w:t xml:space="preserve"> الجنس</w:t>
            </w:r>
          </w:p>
        </w:tc>
        <w:tc>
          <w:tcPr>
            <w:tcW w:w="7444" w:type="dxa"/>
            <w:gridSpan w:val="7"/>
            <w:tcBorders>
              <w:top w:val="single" w:sz="4" w:space="0" w:color="auto"/>
              <w:left w:val="single" w:sz="4" w:space="0" w:color="auto"/>
              <w:bottom w:val="single" w:sz="4" w:space="0" w:color="auto"/>
              <w:right w:val="single" w:sz="4" w:space="0" w:color="auto"/>
            </w:tcBorders>
          </w:tcPr>
          <w:p w:rsidR="00443EC1" w:rsidRDefault="00443EC1">
            <w:pPr>
              <w:spacing w:before="0" w:after="0" w:line="320" w:lineRule="exact"/>
              <w:jc w:val="center"/>
              <w:rPr>
                <w:sz w:val="28"/>
                <w:szCs w:val="28"/>
              </w:rPr>
            </w:pPr>
            <w:r>
              <w:rPr>
                <w:rFonts w:hint="eastAsia"/>
                <w:sz w:val="28"/>
                <w:szCs w:val="28"/>
                <w:rtl/>
              </w:rPr>
              <w:t>السكان</w:t>
            </w:r>
            <w:r>
              <w:rPr>
                <w:sz w:val="28"/>
                <w:szCs w:val="28"/>
                <w:rtl/>
              </w:rPr>
              <w:t xml:space="preserve"> العاملون (بالآلاف)</w:t>
            </w:r>
          </w:p>
        </w:tc>
      </w:tr>
      <w:tr w:rsidR="00443EC1" w:rsidTr="00443EC1">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443EC1" w:rsidRDefault="00443EC1">
            <w:pPr>
              <w:bidi w:val="0"/>
              <w:spacing w:before="0" w:after="0" w:line="320" w:lineRule="exact"/>
              <w:jc w:val="left"/>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443EC1" w:rsidRDefault="00443EC1">
            <w:pPr>
              <w:bidi w:val="0"/>
              <w:spacing w:before="0" w:after="0" w:line="320" w:lineRule="exact"/>
              <w:jc w:val="left"/>
              <w:rPr>
                <w:sz w:val="28"/>
                <w:szCs w:val="28"/>
              </w:rPr>
            </w:pPr>
          </w:p>
        </w:tc>
        <w:tc>
          <w:tcPr>
            <w:tcW w:w="7444" w:type="dxa"/>
            <w:gridSpan w:val="7"/>
            <w:tcBorders>
              <w:top w:val="single" w:sz="4" w:space="0" w:color="auto"/>
              <w:left w:val="single" w:sz="4" w:space="0" w:color="auto"/>
              <w:bottom w:val="single" w:sz="4" w:space="0" w:color="auto"/>
              <w:right w:val="single" w:sz="4" w:space="0" w:color="auto"/>
            </w:tcBorders>
          </w:tcPr>
          <w:p w:rsidR="00443EC1" w:rsidRDefault="00443EC1">
            <w:pPr>
              <w:spacing w:before="0" w:after="0" w:line="320" w:lineRule="exact"/>
              <w:jc w:val="center"/>
              <w:rPr>
                <w:sz w:val="28"/>
                <w:szCs w:val="28"/>
              </w:rPr>
            </w:pPr>
            <w:r>
              <w:rPr>
                <w:rFonts w:hint="eastAsia"/>
                <w:sz w:val="28"/>
                <w:szCs w:val="28"/>
                <w:rtl/>
              </w:rPr>
              <w:t>السنّ</w:t>
            </w:r>
          </w:p>
        </w:tc>
      </w:tr>
      <w:tr w:rsidR="00443EC1" w:rsidTr="00443EC1">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443EC1" w:rsidRDefault="00443EC1">
            <w:pPr>
              <w:bidi w:val="0"/>
              <w:spacing w:before="0" w:after="0" w:line="320" w:lineRule="exact"/>
              <w:jc w:val="left"/>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443EC1" w:rsidRDefault="00443EC1">
            <w:pPr>
              <w:bidi w:val="0"/>
              <w:spacing w:before="0" w:after="0" w:line="320" w:lineRule="exact"/>
              <w:jc w:val="left"/>
              <w:rPr>
                <w:sz w:val="28"/>
                <w:szCs w:val="28"/>
              </w:rPr>
            </w:pPr>
          </w:p>
        </w:tc>
        <w:tc>
          <w:tcPr>
            <w:tcW w:w="1063" w:type="dxa"/>
            <w:tcBorders>
              <w:top w:val="single" w:sz="4" w:space="0" w:color="auto"/>
              <w:left w:val="single" w:sz="4" w:space="0" w:color="auto"/>
              <w:bottom w:val="single" w:sz="4" w:space="0" w:color="auto"/>
              <w:right w:val="single" w:sz="4" w:space="0" w:color="auto"/>
            </w:tcBorders>
          </w:tcPr>
          <w:p w:rsidR="00443EC1" w:rsidRDefault="00443EC1">
            <w:pPr>
              <w:spacing w:before="0" w:after="0" w:line="320" w:lineRule="exact"/>
              <w:jc w:val="center"/>
              <w:rPr>
                <w:sz w:val="28"/>
                <w:szCs w:val="28"/>
              </w:rPr>
            </w:pPr>
            <w:r>
              <w:rPr>
                <w:rFonts w:hint="eastAsia"/>
                <w:sz w:val="28"/>
                <w:szCs w:val="28"/>
                <w:rtl/>
              </w:rPr>
              <w:t>المجموع</w:t>
            </w:r>
          </w:p>
        </w:tc>
        <w:tc>
          <w:tcPr>
            <w:tcW w:w="1063" w:type="dxa"/>
            <w:tcBorders>
              <w:top w:val="single" w:sz="4" w:space="0" w:color="auto"/>
              <w:left w:val="single" w:sz="4" w:space="0" w:color="auto"/>
              <w:bottom w:val="single" w:sz="4" w:space="0" w:color="auto"/>
              <w:right w:val="single" w:sz="4" w:space="0" w:color="auto"/>
            </w:tcBorders>
          </w:tcPr>
          <w:p w:rsidR="00443EC1" w:rsidRDefault="00443EC1">
            <w:pPr>
              <w:spacing w:before="0" w:after="0" w:line="320" w:lineRule="exact"/>
              <w:jc w:val="center"/>
              <w:rPr>
                <w:sz w:val="28"/>
                <w:szCs w:val="28"/>
              </w:rPr>
            </w:pPr>
            <w:r>
              <w:rPr>
                <w:sz w:val="28"/>
                <w:szCs w:val="28"/>
                <w:rtl/>
              </w:rPr>
              <w:t>14-24</w:t>
            </w:r>
          </w:p>
        </w:tc>
        <w:tc>
          <w:tcPr>
            <w:tcW w:w="1063" w:type="dxa"/>
            <w:tcBorders>
              <w:top w:val="single" w:sz="4" w:space="0" w:color="auto"/>
              <w:left w:val="single" w:sz="4" w:space="0" w:color="auto"/>
              <w:bottom w:val="single" w:sz="4" w:space="0" w:color="auto"/>
              <w:right w:val="single" w:sz="4" w:space="0" w:color="auto"/>
            </w:tcBorders>
          </w:tcPr>
          <w:p w:rsidR="00443EC1" w:rsidRDefault="00443EC1">
            <w:pPr>
              <w:spacing w:before="0" w:after="0" w:line="320" w:lineRule="exact"/>
              <w:jc w:val="center"/>
              <w:rPr>
                <w:sz w:val="28"/>
                <w:szCs w:val="28"/>
              </w:rPr>
            </w:pPr>
            <w:r>
              <w:rPr>
                <w:sz w:val="28"/>
                <w:szCs w:val="28"/>
                <w:rtl/>
              </w:rPr>
              <w:t>25-34</w:t>
            </w:r>
          </w:p>
        </w:tc>
        <w:tc>
          <w:tcPr>
            <w:tcW w:w="1063" w:type="dxa"/>
            <w:tcBorders>
              <w:top w:val="single" w:sz="4" w:space="0" w:color="auto"/>
              <w:left w:val="single" w:sz="4" w:space="0" w:color="auto"/>
              <w:bottom w:val="single" w:sz="4" w:space="0" w:color="auto"/>
              <w:right w:val="single" w:sz="4" w:space="0" w:color="auto"/>
            </w:tcBorders>
          </w:tcPr>
          <w:p w:rsidR="00443EC1" w:rsidRDefault="00443EC1">
            <w:pPr>
              <w:spacing w:before="0" w:after="0" w:line="320" w:lineRule="exact"/>
              <w:jc w:val="center"/>
              <w:rPr>
                <w:sz w:val="28"/>
                <w:szCs w:val="28"/>
              </w:rPr>
            </w:pPr>
            <w:r>
              <w:rPr>
                <w:sz w:val="28"/>
                <w:szCs w:val="28"/>
                <w:rtl/>
              </w:rPr>
              <w:t>35-44</w:t>
            </w:r>
          </w:p>
        </w:tc>
        <w:tc>
          <w:tcPr>
            <w:tcW w:w="1064" w:type="dxa"/>
            <w:tcBorders>
              <w:top w:val="single" w:sz="4" w:space="0" w:color="auto"/>
              <w:left w:val="single" w:sz="4" w:space="0" w:color="auto"/>
              <w:bottom w:val="single" w:sz="4" w:space="0" w:color="auto"/>
              <w:right w:val="single" w:sz="4" w:space="0" w:color="auto"/>
            </w:tcBorders>
          </w:tcPr>
          <w:p w:rsidR="00443EC1" w:rsidRDefault="00443EC1">
            <w:pPr>
              <w:spacing w:before="0" w:after="0" w:line="320" w:lineRule="exact"/>
              <w:jc w:val="center"/>
              <w:rPr>
                <w:sz w:val="28"/>
                <w:szCs w:val="28"/>
              </w:rPr>
            </w:pPr>
            <w:r>
              <w:rPr>
                <w:sz w:val="28"/>
                <w:szCs w:val="28"/>
                <w:rtl/>
              </w:rPr>
              <w:t>45-54</w:t>
            </w:r>
          </w:p>
        </w:tc>
        <w:tc>
          <w:tcPr>
            <w:tcW w:w="940" w:type="dxa"/>
            <w:tcBorders>
              <w:top w:val="single" w:sz="4" w:space="0" w:color="auto"/>
              <w:left w:val="single" w:sz="4" w:space="0" w:color="auto"/>
              <w:bottom w:val="single" w:sz="4" w:space="0" w:color="auto"/>
              <w:right w:val="single" w:sz="4" w:space="0" w:color="auto"/>
            </w:tcBorders>
          </w:tcPr>
          <w:p w:rsidR="00443EC1" w:rsidRDefault="00443EC1">
            <w:pPr>
              <w:spacing w:before="0" w:after="0" w:line="320" w:lineRule="exact"/>
              <w:jc w:val="center"/>
              <w:rPr>
                <w:sz w:val="28"/>
                <w:szCs w:val="28"/>
              </w:rPr>
            </w:pPr>
            <w:r>
              <w:rPr>
                <w:sz w:val="28"/>
                <w:szCs w:val="28"/>
                <w:rtl/>
              </w:rPr>
              <w:t>55-64</w:t>
            </w:r>
          </w:p>
        </w:tc>
        <w:tc>
          <w:tcPr>
            <w:tcW w:w="1188" w:type="dxa"/>
            <w:tcBorders>
              <w:top w:val="single" w:sz="4" w:space="0" w:color="auto"/>
              <w:left w:val="single" w:sz="4" w:space="0" w:color="auto"/>
              <w:bottom w:val="single" w:sz="4" w:space="0" w:color="auto"/>
              <w:right w:val="single" w:sz="4" w:space="0" w:color="auto"/>
            </w:tcBorders>
          </w:tcPr>
          <w:p w:rsidR="00443EC1" w:rsidRDefault="00443EC1">
            <w:pPr>
              <w:spacing w:before="0" w:after="0" w:line="320" w:lineRule="exact"/>
              <w:jc w:val="center"/>
              <w:rPr>
                <w:spacing w:val="0"/>
                <w:sz w:val="28"/>
                <w:szCs w:val="28"/>
              </w:rPr>
            </w:pPr>
            <w:r>
              <w:rPr>
                <w:spacing w:val="0"/>
                <w:sz w:val="28"/>
                <w:szCs w:val="28"/>
                <w:rtl/>
              </w:rPr>
              <w:t>65 فما فوق</w:t>
            </w:r>
          </w:p>
        </w:tc>
      </w:tr>
      <w:tr w:rsidR="00443EC1" w:rsidTr="00443EC1">
        <w:trPr>
          <w:cantSplit/>
          <w:jc w:val="center"/>
        </w:trPr>
        <w:tc>
          <w:tcPr>
            <w:tcW w:w="822" w:type="dxa"/>
            <w:vMerge w:val="restart"/>
            <w:tcBorders>
              <w:top w:val="single" w:sz="4" w:space="0" w:color="auto"/>
              <w:left w:val="single" w:sz="4" w:space="0" w:color="auto"/>
              <w:bottom w:val="nil"/>
              <w:right w:val="single" w:sz="4" w:space="0" w:color="auto"/>
            </w:tcBorders>
          </w:tcPr>
          <w:p w:rsidR="00443EC1" w:rsidRDefault="00443EC1">
            <w:pPr>
              <w:spacing w:before="0" w:after="0" w:line="320" w:lineRule="exact"/>
              <w:jc w:val="both"/>
              <w:rPr>
                <w:sz w:val="28"/>
                <w:szCs w:val="28"/>
              </w:rPr>
            </w:pPr>
            <w:r>
              <w:rPr>
                <w:sz w:val="28"/>
                <w:szCs w:val="28"/>
                <w:rtl/>
              </w:rPr>
              <w:t>1999</w:t>
            </w:r>
          </w:p>
        </w:tc>
        <w:tc>
          <w:tcPr>
            <w:tcW w:w="1304" w:type="dxa"/>
            <w:tcBorders>
              <w:top w:val="single" w:sz="4" w:space="0" w:color="auto"/>
              <w:left w:val="single" w:sz="4" w:space="0" w:color="auto"/>
              <w:bottom w:val="nil"/>
              <w:right w:val="single" w:sz="4" w:space="0" w:color="auto"/>
            </w:tcBorders>
          </w:tcPr>
          <w:p w:rsidR="00443EC1" w:rsidRDefault="00443EC1">
            <w:pPr>
              <w:spacing w:before="0" w:after="0" w:line="320" w:lineRule="exact"/>
              <w:jc w:val="both"/>
              <w:rPr>
                <w:sz w:val="28"/>
                <w:szCs w:val="28"/>
              </w:rPr>
            </w:pPr>
            <w:r>
              <w:rPr>
                <w:rFonts w:hint="eastAsia"/>
                <w:sz w:val="28"/>
                <w:szCs w:val="28"/>
                <w:rtl/>
              </w:rPr>
              <w:t>ذكور</w:t>
            </w:r>
            <w:r>
              <w:rPr>
                <w:sz w:val="28"/>
                <w:szCs w:val="28"/>
                <w:rtl/>
              </w:rPr>
              <w:t xml:space="preserve"> وإناث</w:t>
            </w:r>
          </w:p>
        </w:tc>
        <w:tc>
          <w:tcPr>
            <w:tcW w:w="1063" w:type="dxa"/>
            <w:tcBorders>
              <w:top w:val="single" w:sz="4" w:space="0" w:color="auto"/>
              <w:left w:val="single" w:sz="4" w:space="0" w:color="auto"/>
              <w:bottom w:val="nil"/>
              <w:right w:val="single" w:sz="4" w:space="0" w:color="auto"/>
            </w:tcBorders>
          </w:tcPr>
          <w:p w:rsidR="00443EC1" w:rsidRDefault="00443EC1">
            <w:pPr>
              <w:spacing w:before="0" w:after="0" w:line="320" w:lineRule="exact"/>
              <w:jc w:val="both"/>
              <w:rPr>
                <w:sz w:val="28"/>
                <w:szCs w:val="28"/>
              </w:rPr>
            </w:pPr>
            <w:r>
              <w:rPr>
                <w:sz w:val="28"/>
                <w:szCs w:val="28"/>
                <w:rtl/>
              </w:rPr>
              <w:t>196.1</w:t>
            </w:r>
          </w:p>
        </w:tc>
        <w:tc>
          <w:tcPr>
            <w:tcW w:w="1063" w:type="dxa"/>
            <w:tcBorders>
              <w:top w:val="single" w:sz="4" w:space="0" w:color="auto"/>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24.7</w:t>
            </w:r>
          </w:p>
        </w:tc>
        <w:tc>
          <w:tcPr>
            <w:tcW w:w="1063" w:type="dxa"/>
            <w:tcBorders>
              <w:top w:val="single" w:sz="4" w:space="0" w:color="auto"/>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55.8</w:t>
            </w:r>
          </w:p>
        </w:tc>
        <w:tc>
          <w:tcPr>
            <w:tcW w:w="1063" w:type="dxa"/>
            <w:tcBorders>
              <w:top w:val="single" w:sz="4" w:space="0" w:color="auto"/>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68.2</w:t>
            </w:r>
          </w:p>
        </w:tc>
        <w:tc>
          <w:tcPr>
            <w:tcW w:w="1064" w:type="dxa"/>
            <w:tcBorders>
              <w:top w:val="single" w:sz="4" w:space="0" w:color="auto"/>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35.7</w:t>
            </w:r>
          </w:p>
        </w:tc>
        <w:tc>
          <w:tcPr>
            <w:tcW w:w="940" w:type="dxa"/>
            <w:tcBorders>
              <w:top w:val="single" w:sz="4" w:space="0" w:color="auto"/>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8.9</w:t>
            </w:r>
          </w:p>
        </w:tc>
        <w:tc>
          <w:tcPr>
            <w:tcW w:w="1188" w:type="dxa"/>
            <w:tcBorders>
              <w:top w:val="single" w:sz="4" w:space="0" w:color="auto"/>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2.7</w:t>
            </w:r>
          </w:p>
        </w:tc>
      </w:tr>
      <w:tr w:rsidR="00443EC1" w:rsidTr="00443EC1">
        <w:trPr>
          <w:cantSplit/>
          <w:jc w:val="center"/>
        </w:trPr>
        <w:tc>
          <w:tcPr>
            <w:tcW w:w="0" w:type="auto"/>
            <w:vMerge/>
            <w:tcBorders>
              <w:top w:val="single" w:sz="4" w:space="0" w:color="auto"/>
              <w:left w:val="single" w:sz="4" w:space="0" w:color="auto"/>
              <w:bottom w:val="nil"/>
              <w:right w:val="single" w:sz="4" w:space="0" w:color="auto"/>
            </w:tcBorders>
            <w:vAlign w:val="center"/>
          </w:tcPr>
          <w:p w:rsidR="00443EC1" w:rsidRDefault="00443EC1">
            <w:pPr>
              <w:bidi w:val="0"/>
              <w:spacing w:before="0" w:after="0" w:line="320" w:lineRule="exact"/>
              <w:jc w:val="left"/>
              <w:rPr>
                <w:sz w:val="28"/>
                <w:szCs w:val="28"/>
              </w:rPr>
            </w:pPr>
          </w:p>
        </w:tc>
        <w:tc>
          <w:tcPr>
            <w:tcW w:w="1304" w:type="dxa"/>
            <w:tcBorders>
              <w:top w:val="nil"/>
              <w:left w:val="single" w:sz="4" w:space="0" w:color="auto"/>
              <w:bottom w:val="nil"/>
              <w:right w:val="single" w:sz="4" w:space="0" w:color="auto"/>
            </w:tcBorders>
          </w:tcPr>
          <w:p w:rsidR="00443EC1" w:rsidRDefault="00443EC1">
            <w:pPr>
              <w:spacing w:before="0" w:after="0" w:line="320" w:lineRule="exact"/>
              <w:jc w:val="both"/>
              <w:rPr>
                <w:sz w:val="28"/>
                <w:szCs w:val="28"/>
              </w:rPr>
            </w:pPr>
            <w:r>
              <w:rPr>
                <w:rFonts w:hint="eastAsia"/>
                <w:sz w:val="28"/>
                <w:szCs w:val="28"/>
                <w:rtl/>
              </w:rPr>
              <w:t>ذكور</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sz w:val="28"/>
                <w:szCs w:val="28"/>
              </w:rPr>
            </w:pPr>
            <w:r>
              <w:rPr>
                <w:sz w:val="28"/>
                <w:szCs w:val="28"/>
                <w:rtl/>
              </w:rPr>
              <w:t>104.2</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9.3</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25.7</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38.8</w:t>
            </w:r>
          </w:p>
        </w:tc>
        <w:tc>
          <w:tcPr>
            <w:tcW w:w="1064"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22.0</w:t>
            </w:r>
          </w:p>
        </w:tc>
        <w:tc>
          <w:tcPr>
            <w:tcW w:w="940"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6.4</w:t>
            </w:r>
          </w:p>
        </w:tc>
        <w:tc>
          <w:tcPr>
            <w:tcW w:w="1188"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2.0</w:t>
            </w:r>
          </w:p>
        </w:tc>
      </w:tr>
      <w:tr w:rsidR="00443EC1" w:rsidTr="00443EC1">
        <w:trPr>
          <w:cantSplit/>
          <w:jc w:val="center"/>
        </w:trPr>
        <w:tc>
          <w:tcPr>
            <w:tcW w:w="0" w:type="auto"/>
            <w:vMerge/>
            <w:tcBorders>
              <w:top w:val="single" w:sz="4" w:space="0" w:color="auto"/>
              <w:left w:val="single" w:sz="4" w:space="0" w:color="auto"/>
              <w:bottom w:val="nil"/>
              <w:right w:val="single" w:sz="4" w:space="0" w:color="auto"/>
            </w:tcBorders>
            <w:vAlign w:val="center"/>
          </w:tcPr>
          <w:p w:rsidR="00443EC1" w:rsidRDefault="00443EC1">
            <w:pPr>
              <w:bidi w:val="0"/>
              <w:spacing w:before="0" w:after="0" w:line="320" w:lineRule="exact"/>
              <w:jc w:val="left"/>
              <w:rPr>
                <w:sz w:val="28"/>
                <w:szCs w:val="28"/>
              </w:rPr>
            </w:pPr>
          </w:p>
        </w:tc>
        <w:tc>
          <w:tcPr>
            <w:tcW w:w="1304" w:type="dxa"/>
            <w:tcBorders>
              <w:top w:val="nil"/>
              <w:left w:val="single" w:sz="4" w:space="0" w:color="auto"/>
              <w:bottom w:val="nil"/>
              <w:right w:val="single" w:sz="4" w:space="0" w:color="auto"/>
            </w:tcBorders>
          </w:tcPr>
          <w:p w:rsidR="00443EC1" w:rsidRDefault="00443EC1">
            <w:pPr>
              <w:spacing w:before="0" w:after="0" w:line="320" w:lineRule="exact"/>
              <w:jc w:val="both"/>
              <w:rPr>
                <w:sz w:val="28"/>
                <w:szCs w:val="28"/>
              </w:rPr>
            </w:pPr>
            <w:r>
              <w:rPr>
                <w:rFonts w:hint="eastAsia"/>
                <w:sz w:val="28"/>
                <w:szCs w:val="28"/>
                <w:rtl/>
              </w:rPr>
              <w:t>إناث</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sz w:val="28"/>
                <w:szCs w:val="28"/>
              </w:rPr>
            </w:pPr>
            <w:r>
              <w:rPr>
                <w:sz w:val="28"/>
                <w:szCs w:val="28"/>
                <w:rtl/>
              </w:rPr>
              <w:t>29.0</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15.5</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30.1</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29.4</w:t>
            </w:r>
          </w:p>
        </w:tc>
        <w:tc>
          <w:tcPr>
            <w:tcW w:w="1064"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13.8</w:t>
            </w:r>
          </w:p>
        </w:tc>
        <w:tc>
          <w:tcPr>
            <w:tcW w:w="940"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2.4</w:t>
            </w:r>
          </w:p>
        </w:tc>
        <w:tc>
          <w:tcPr>
            <w:tcW w:w="1188"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0.8</w:t>
            </w:r>
          </w:p>
        </w:tc>
      </w:tr>
      <w:tr w:rsidR="00443EC1" w:rsidTr="00443EC1">
        <w:trPr>
          <w:cantSplit/>
          <w:jc w:val="center"/>
        </w:trPr>
        <w:tc>
          <w:tcPr>
            <w:tcW w:w="822" w:type="dxa"/>
            <w:vMerge w:val="restart"/>
            <w:tcBorders>
              <w:top w:val="nil"/>
              <w:left w:val="single" w:sz="4" w:space="0" w:color="auto"/>
              <w:bottom w:val="nil"/>
              <w:right w:val="single" w:sz="4" w:space="0" w:color="auto"/>
            </w:tcBorders>
          </w:tcPr>
          <w:p w:rsidR="00443EC1" w:rsidRDefault="00443EC1">
            <w:pPr>
              <w:spacing w:before="0" w:after="0" w:line="320" w:lineRule="exact"/>
              <w:jc w:val="both"/>
              <w:rPr>
                <w:sz w:val="28"/>
                <w:szCs w:val="28"/>
              </w:rPr>
            </w:pPr>
            <w:r>
              <w:rPr>
                <w:sz w:val="28"/>
                <w:szCs w:val="28"/>
                <w:rtl/>
              </w:rPr>
              <w:t>2000</w:t>
            </w:r>
          </w:p>
        </w:tc>
        <w:tc>
          <w:tcPr>
            <w:tcW w:w="1304" w:type="dxa"/>
            <w:tcBorders>
              <w:top w:val="nil"/>
              <w:left w:val="single" w:sz="4" w:space="0" w:color="auto"/>
              <w:bottom w:val="nil"/>
              <w:right w:val="single" w:sz="4" w:space="0" w:color="auto"/>
            </w:tcBorders>
          </w:tcPr>
          <w:p w:rsidR="00443EC1" w:rsidRDefault="00443EC1">
            <w:pPr>
              <w:spacing w:before="0" w:after="0" w:line="320" w:lineRule="exact"/>
              <w:jc w:val="both"/>
              <w:rPr>
                <w:sz w:val="28"/>
                <w:szCs w:val="28"/>
              </w:rPr>
            </w:pPr>
            <w:r>
              <w:rPr>
                <w:rFonts w:hint="eastAsia"/>
                <w:sz w:val="28"/>
                <w:szCs w:val="28"/>
                <w:rtl/>
              </w:rPr>
              <w:t>ذكور</w:t>
            </w:r>
            <w:r>
              <w:rPr>
                <w:sz w:val="28"/>
                <w:szCs w:val="28"/>
                <w:rtl/>
              </w:rPr>
              <w:t xml:space="preserve"> وإناث</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sz w:val="28"/>
                <w:szCs w:val="28"/>
              </w:rPr>
            </w:pPr>
            <w:r>
              <w:rPr>
                <w:sz w:val="28"/>
                <w:szCs w:val="28"/>
                <w:rtl/>
              </w:rPr>
              <w:t>195.3</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23.0</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54.4</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68.3</w:t>
            </w:r>
          </w:p>
        </w:tc>
        <w:tc>
          <w:tcPr>
            <w:tcW w:w="1064"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38.2</w:t>
            </w:r>
          </w:p>
        </w:tc>
        <w:tc>
          <w:tcPr>
            <w:tcW w:w="940"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9.0</w:t>
            </w:r>
          </w:p>
        </w:tc>
        <w:tc>
          <w:tcPr>
            <w:tcW w:w="1188"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2.4</w:t>
            </w:r>
          </w:p>
        </w:tc>
      </w:tr>
      <w:tr w:rsidR="00443EC1" w:rsidTr="00443EC1">
        <w:trPr>
          <w:cantSplit/>
          <w:jc w:val="center"/>
        </w:trPr>
        <w:tc>
          <w:tcPr>
            <w:tcW w:w="0" w:type="auto"/>
            <w:vMerge/>
            <w:tcBorders>
              <w:top w:val="nil"/>
              <w:left w:val="single" w:sz="4" w:space="0" w:color="auto"/>
              <w:bottom w:val="nil"/>
              <w:right w:val="single" w:sz="4" w:space="0" w:color="auto"/>
            </w:tcBorders>
            <w:vAlign w:val="center"/>
          </w:tcPr>
          <w:p w:rsidR="00443EC1" w:rsidRDefault="00443EC1">
            <w:pPr>
              <w:bidi w:val="0"/>
              <w:spacing w:before="0" w:after="0" w:line="320" w:lineRule="exact"/>
              <w:jc w:val="left"/>
              <w:rPr>
                <w:sz w:val="28"/>
                <w:szCs w:val="28"/>
              </w:rPr>
            </w:pPr>
          </w:p>
        </w:tc>
        <w:tc>
          <w:tcPr>
            <w:tcW w:w="1304" w:type="dxa"/>
            <w:tcBorders>
              <w:top w:val="nil"/>
              <w:left w:val="single" w:sz="4" w:space="0" w:color="auto"/>
              <w:bottom w:val="nil"/>
              <w:right w:val="single" w:sz="4" w:space="0" w:color="auto"/>
            </w:tcBorders>
          </w:tcPr>
          <w:p w:rsidR="00443EC1" w:rsidRDefault="00443EC1">
            <w:pPr>
              <w:spacing w:before="0" w:after="0" w:line="320" w:lineRule="exact"/>
              <w:jc w:val="both"/>
              <w:rPr>
                <w:sz w:val="28"/>
                <w:szCs w:val="28"/>
              </w:rPr>
            </w:pPr>
            <w:r>
              <w:rPr>
                <w:rFonts w:hint="eastAsia"/>
                <w:sz w:val="28"/>
                <w:szCs w:val="28"/>
                <w:rtl/>
              </w:rPr>
              <w:t>ذكور</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sz w:val="28"/>
                <w:szCs w:val="28"/>
              </w:rPr>
            </w:pPr>
            <w:r>
              <w:rPr>
                <w:sz w:val="28"/>
                <w:szCs w:val="28"/>
                <w:rtl/>
              </w:rPr>
              <w:t>103.2</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9.1</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25.2</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37.4</w:t>
            </w:r>
          </w:p>
        </w:tc>
        <w:tc>
          <w:tcPr>
            <w:tcW w:w="1064"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23.5</w:t>
            </w:r>
          </w:p>
        </w:tc>
        <w:tc>
          <w:tcPr>
            <w:tcW w:w="940"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6.3</w:t>
            </w:r>
          </w:p>
        </w:tc>
        <w:tc>
          <w:tcPr>
            <w:tcW w:w="1188"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1.7</w:t>
            </w:r>
          </w:p>
        </w:tc>
      </w:tr>
      <w:tr w:rsidR="00443EC1" w:rsidTr="00443EC1">
        <w:trPr>
          <w:cantSplit/>
          <w:jc w:val="center"/>
        </w:trPr>
        <w:tc>
          <w:tcPr>
            <w:tcW w:w="0" w:type="auto"/>
            <w:vMerge/>
            <w:tcBorders>
              <w:top w:val="nil"/>
              <w:left w:val="single" w:sz="4" w:space="0" w:color="auto"/>
              <w:bottom w:val="nil"/>
              <w:right w:val="single" w:sz="4" w:space="0" w:color="auto"/>
            </w:tcBorders>
            <w:vAlign w:val="center"/>
          </w:tcPr>
          <w:p w:rsidR="00443EC1" w:rsidRDefault="00443EC1">
            <w:pPr>
              <w:bidi w:val="0"/>
              <w:spacing w:before="0" w:after="0" w:line="320" w:lineRule="exact"/>
              <w:jc w:val="left"/>
              <w:rPr>
                <w:sz w:val="28"/>
                <w:szCs w:val="28"/>
              </w:rPr>
            </w:pPr>
          </w:p>
        </w:tc>
        <w:tc>
          <w:tcPr>
            <w:tcW w:w="1304" w:type="dxa"/>
            <w:tcBorders>
              <w:top w:val="nil"/>
              <w:left w:val="single" w:sz="4" w:space="0" w:color="auto"/>
              <w:bottom w:val="nil"/>
              <w:right w:val="single" w:sz="4" w:space="0" w:color="auto"/>
            </w:tcBorders>
          </w:tcPr>
          <w:p w:rsidR="00443EC1" w:rsidRDefault="00443EC1">
            <w:pPr>
              <w:spacing w:before="0" w:after="0" w:line="320" w:lineRule="exact"/>
              <w:jc w:val="both"/>
              <w:rPr>
                <w:sz w:val="28"/>
                <w:szCs w:val="28"/>
              </w:rPr>
            </w:pPr>
            <w:r>
              <w:rPr>
                <w:rFonts w:hint="eastAsia"/>
                <w:sz w:val="28"/>
                <w:szCs w:val="28"/>
                <w:rtl/>
              </w:rPr>
              <w:t>إناث</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sz w:val="28"/>
                <w:szCs w:val="28"/>
              </w:rPr>
            </w:pPr>
            <w:r>
              <w:rPr>
                <w:sz w:val="28"/>
                <w:szCs w:val="28"/>
                <w:rtl/>
              </w:rPr>
              <w:t>92.1</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13.9</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29.2</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30.9</w:t>
            </w:r>
          </w:p>
        </w:tc>
        <w:tc>
          <w:tcPr>
            <w:tcW w:w="1064"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14.7</w:t>
            </w:r>
          </w:p>
        </w:tc>
        <w:tc>
          <w:tcPr>
            <w:tcW w:w="940"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2.7</w:t>
            </w:r>
          </w:p>
        </w:tc>
        <w:tc>
          <w:tcPr>
            <w:tcW w:w="1188"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0.7</w:t>
            </w:r>
          </w:p>
        </w:tc>
      </w:tr>
      <w:tr w:rsidR="00443EC1" w:rsidTr="00443EC1">
        <w:trPr>
          <w:cantSplit/>
          <w:jc w:val="center"/>
        </w:trPr>
        <w:tc>
          <w:tcPr>
            <w:tcW w:w="822" w:type="dxa"/>
            <w:vMerge w:val="restart"/>
            <w:tcBorders>
              <w:top w:val="nil"/>
              <w:left w:val="single" w:sz="4" w:space="0" w:color="auto"/>
              <w:bottom w:val="nil"/>
              <w:right w:val="single" w:sz="4" w:space="0" w:color="auto"/>
            </w:tcBorders>
          </w:tcPr>
          <w:p w:rsidR="00443EC1" w:rsidRDefault="00443EC1">
            <w:pPr>
              <w:spacing w:before="0" w:after="0" w:line="320" w:lineRule="exact"/>
              <w:jc w:val="both"/>
              <w:rPr>
                <w:sz w:val="28"/>
                <w:szCs w:val="28"/>
              </w:rPr>
            </w:pPr>
            <w:r>
              <w:rPr>
                <w:sz w:val="28"/>
                <w:szCs w:val="28"/>
                <w:rtl/>
              </w:rPr>
              <w:t>2001</w:t>
            </w:r>
          </w:p>
        </w:tc>
        <w:tc>
          <w:tcPr>
            <w:tcW w:w="1304" w:type="dxa"/>
            <w:tcBorders>
              <w:top w:val="nil"/>
              <w:left w:val="single" w:sz="4" w:space="0" w:color="auto"/>
              <w:bottom w:val="nil"/>
              <w:right w:val="single" w:sz="4" w:space="0" w:color="auto"/>
            </w:tcBorders>
          </w:tcPr>
          <w:p w:rsidR="00443EC1" w:rsidRDefault="00443EC1">
            <w:pPr>
              <w:spacing w:before="0" w:after="0" w:line="320" w:lineRule="exact"/>
              <w:jc w:val="both"/>
              <w:rPr>
                <w:sz w:val="28"/>
                <w:szCs w:val="28"/>
              </w:rPr>
            </w:pPr>
            <w:r>
              <w:rPr>
                <w:rFonts w:hint="eastAsia"/>
                <w:sz w:val="28"/>
                <w:szCs w:val="28"/>
                <w:rtl/>
              </w:rPr>
              <w:t>ذكور</w:t>
            </w:r>
            <w:r>
              <w:rPr>
                <w:sz w:val="28"/>
                <w:szCs w:val="28"/>
                <w:rtl/>
              </w:rPr>
              <w:t xml:space="preserve"> وإناث</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sz w:val="28"/>
                <w:szCs w:val="28"/>
              </w:rPr>
            </w:pPr>
            <w:r>
              <w:rPr>
                <w:sz w:val="28"/>
                <w:szCs w:val="28"/>
                <w:rtl/>
              </w:rPr>
              <w:t>202.8</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24.3</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53.6</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76.1</w:t>
            </w:r>
          </w:p>
        </w:tc>
        <w:tc>
          <w:tcPr>
            <w:tcW w:w="1064"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43.5</w:t>
            </w:r>
          </w:p>
        </w:tc>
        <w:tc>
          <w:tcPr>
            <w:tcW w:w="940"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10.6</w:t>
            </w:r>
          </w:p>
        </w:tc>
        <w:tc>
          <w:tcPr>
            <w:tcW w:w="1188"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3.8</w:t>
            </w:r>
          </w:p>
        </w:tc>
      </w:tr>
      <w:tr w:rsidR="00443EC1" w:rsidTr="00443EC1">
        <w:trPr>
          <w:cantSplit/>
          <w:jc w:val="center"/>
        </w:trPr>
        <w:tc>
          <w:tcPr>
            <w:tcW w:w="0" w:type="auto"/>
            <w:vMerge/>
            <w:tcBorders>
              <w:top w:val="nil"/>
              <w:left w:val="single" w:sz="4" w:space="0" w:color="auto"/>
              <w:bottom w:val="nil"/>
              <w:right w:val="single" w:sz="4" w:space="0" w:color="auto"/>
            </w:tcBorders>
            <w:vAlign w:val="center"/>
          </w:tcPr>
          <w:p w:rsidR="00443EC1" w:rsidRDefault="00443EC1">
            <w:pPr>
              <w:bidi w:val="0"/>
              <w:spacing w:before="0" w:after="0" w:line="320" w:lineRule="exact"/>
              <w:jc w:val="left"/>
              <w:rPr>
                <w:sz w:val="28"/>
                <w:szCs w:val="28"/>
              </w:rPr>
            </w:pPr>
          </w:p>
        </w:tc>
        <w:tc>
          <w:tcPr>
            <w:tcW w:w="1304" w:type="dxa"/>
            <w:tcBorders>
              <w:top w:val="nil"/>
              <w:left w:val="single" w:sz="4" w:space="0" w:color="auto"/>
              <w:bottom w:val="nil"/>
              <w:right w:val="single" w:sz="4" w:space="0" w:color="auto"/>
            </w:tcBorders>
          </w:tcPr>
          <w:p w:rsidR="00443EC1" w:rsidRDefault="00443EC1">
            <w:pPr>
              <w:spacing w:before="0" w:after="0" w:line="320" w:lineRule="exact"/>
              <w:jc w:val="both"/>
              <w:rPr>
                <w:sz w:val="28"/>
                <w:szCs w:val="28"/>
              </w:rPr>
            </w:pPr>
            <w:r>
              <w:rPr>
                <w:rFonts w:hint="eastAsia"/>
                <w:sz w:val="28"/>
                <w:szCs w:val="28"/>
                <w:rtl/>
              </w:rPr>
              <w:t>ذكور</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sz w:val="28"/>
                <w:szCs w:val="28"/>
              </w:rPr>
            </w:pPr>
            <w:r>
              <w:rPr>
                <w:sz w:val="28"/>
                <w:szCs w:val="28"/>
                <w:rtl/>
              </w:rPr>
              <w:t>106.7</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9.7</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24.3</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36.4</w:t>
            </w:r>
          </w:p>
        </w:tc>
        <w:tc>
          <w:tcPr>
            <w:tcW w:w="1064"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26.0</w:t>
            </w:r>
          </w:p>
        </w:tc>
        <w:tc>
          <w:tcPr>
            <w:tcW w:w="940"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7.4</w:t>
            </w:r>
          </w:p>
        </w:tc>
        <w:tc>
          <w:tcPr>
            <w:tcW w:w="1188"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2.8</w:t>
            </w:r>
          </w:p>
        </w:tc>
      </w:tr>
      <w:tr w:rsidR="00443EC1" w:rsidTr="00443EC1">
        <w:trPr>
          <w:cantSplit/>
          <w:jc w:val="center"/>
        </w:trPr>
        <w:tc>
          <w:tcPr>
            <w:tcW w:w="0" w:type="auto"/>
            <w:vMerge/>
            <w:tcBorders>
              <w:top w:val="nil"/>
              <w:left w:val="single" w:sz="4" w:space="0" w:color="auto"/>
              <w:bottom w:val="nil"/>
              <w:right w:val="single" w:sz="4" w:space="0" w:color="auto"/>
            </w:tcBorders>
            <w:vAlign w:val="center"/>
          </w:tcPr>
          <w:p w:rsidR="00443EC1" w:rsidRDefault="00443EC1">
            <w:pPr>
              <w:bidi w:val="0"/>
              <w:spacing w:before="0" w:after="0" w:line="320" w:lineRule="exact"/>
              <w:jc w:val="left"/>
              <w:rPr>
                <w:sz w:val="28"/>
                <w:szCs w:val="28"/>
              </w:rPr>
            </w:pPr>
          </w:p>
        </w:tc>
        <w:tc>
          <w:tcPr>
            <w:tcW w:w="1304" w:type="dxa"/>
            <w:tcBorders>
              <w:top w:val="nil"/>
              <w:left w:val="single" w:sz="4" w:space="0" w:color="auto"/>
              <w:bottom w:val="nil"/>
              <w:right w:val="single" w:sz="4" w:space="0" w:color="auto"/>
            </w:tcBorders>
          </w:tcPr>
          <w:p w:rsidR="00443EC1" w:rsidRDefault="00443EC1">
            <w:pPr>
              <w:spacing w:before="0" w:after="0" w:line="320" w:lineRule="exact"/>
              <w:jc w:val="both"/>
              <w:rPr>
                <w:sz w:val="28"/>
                <w:szCs w:val="28"/>
              </w:rPr>
            </w:pPr>
            <w:r>
              <w:rPr>
                <w:rFonts w:hint="eastAsia"/>
                <w:sz w:val="28"/>
                <w:szCs w:val="28"/>
                <w:rtl/>
              </w:rPr>
              <w:t>إناث</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sz w:val="28"/>
                <w:szCs w:val="28"/>
              </w:rPr>
            </w:pPr>
            <w:r>
              <w:rPr>
                <w:sz w:val="28"/>
                <w:szCs w:val="28"/>
                <w:rtl/>
              </w:rPr>
              <w:t>96.1</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14.5</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29.3</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30.7</w:t>
            </w:r>
          </w:p>
        </w:tc>
        <w:tc>
          <w:tcPr>
            <w:tcW w:w="1064"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17.5</w:t>
            </w:r>
          </w:p>
        </w:tc>
        <w:tc>
          <w:tcPr>
            <w:tcW w:w="940"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3.2</w:t>
            </w:r>
          </w:p>
        </w:tc>
        <w:tc>
          <w:tcPr>
            <w:tcW w:w="1188"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0.9</w:t>
            </w:r>
          </w:p>
        </w:tc>
      </w:tr>
      <w:tr w:rsidR="00443EC1" w:rsidTr="00443EC1">
        <w:trPr>
          <w:cantSplit/>
          <w:jc w:val="center"/>
        </w:trPr>
        <w:tc>
          <w:tcPr>
            <w:tcW w:w="822" w:type="dxa"/>
            <w:vMerge w:val="restart"/>
            <w:tcBorders>
              <w:top w:val="nil"/>
              <w:left w:val="single" w:sz="4" w:space="0" w:color="auto"/>
              <w:bottom w:val="single" w:sz="4" w:space="0" w:color="auto"/>
              <w:right w:val="single" w:sz="4" w:space="0" w:color="auto"/>
            </w:tcBorders>
          </w:tcPr>
          <w:p w:rsidR="00443EC1" w:rsidRDefault="00443EC1">
            <w:pPr>
              <w:spacing w:before="0" w:after="0" w:line="320" w:lineRule="exact"/>
              <w:jc w:val="both"/>
              <w:rPr>
                <w:sz w:val="28"/>
                <w:szCs w:val="28"/>
              </w:rPr>
            </w:pPr>
            <w:r>
              <w:rPr>
                <w:sz w:val="28"/>
                <w:szCs w:val="28"/>
                <w:rtl/>
              </w:rPr>
              <w:t>2002</w:t>
            </w:r>
          </w:p>
        </w:tc>
        <w:tc>
          <w:tcPr>
            <w:tcW w:w="1304" w:type="dxa"/>
            <w:tcBorders>
              <w:top w:val="nil"/>
              <w:left w:val="single" w:sz="4" w:space="0" w:color="auto"/>
              <w:bottom w:val="nil"/>
              <w:right w:val="single" w:sz="4" w:space="0" w:color="auto"/>
            </w:tcBorders>
          </w:tcPr>
          <w:p w:rsidR="00443EC1" w:rsidRDefault="00443EC1">
            <w:pPr>
              <w:spacing w:before="0" w:after="0" w:line="320" w:lineRule="exact"/>
              <w:jc w:val="both"/>
              <w:rPr>
                <w:sz w:val="28"/>
                <w:szCs w:val="28"/>
              </w:rPr>
            </w:pPr>
            <w:r>
              <w:rPr>
                <w:rFonts w:hint="eastAsia"/>
                <w:sz w:val="28"/>
                <w:szCs w:val="28"/>
                <w:rtl/>
              </w:rPr>
              <w:t>ذكور</w:t>
            </w:r>
            <w:r>
              <w:rPr>
                <w:sz w:val="28"/>
                <w:szCs w:val="28"/>
                <w:rtl/>
              </w:rPr>
              <w:t xml:space="preserve"> وإناث</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sz w:val="28"/>
                <w:szCs w:val="28"/>
              </w:rPr>
            </w:pPr>
            <w:r>
              <w:rPr>
                <w:sz w:val="28"/>
                <w:szCs w:val="28"/>
                <w:rtl/>
              </w:rPr>
              <w:t>200.6</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21.7</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51.2</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65.7</w:t>
            </w:r>
          </w:p>
        </w:tc>
        <w:tc>
          <w:tcPr>
            <w:tcW w:w="1064"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46.4</w:t>
            </w:r>
          </w:p>
        </w:tc>
        <w:tc>
          <w:tcPr>
            <w:tcW w:w="940"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12.4</w:t>
            </w:r>
          </w:p>
        </w:tc>
        <w:tc>
          <w:tcPr>
            <w:tcW w:w="1188"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3.2</w:t>
            </w:r>
          </w:p>
        </w:tc>
      </w:tr>
      <w:tr w:rsidR="00443EC1" w:rsidTr="00443EC1">
        <w:trPr>
          <w:cantSplit/>
          <w:jc w:val="center"/>
        </w:trPr>
        <w:tc>
          <w:tcPr>
            <w:tcW w:w="0" w:type="auto"/>
            <w:vMerge/>
            <w:tcBorders>
              <w:top w:val="nil"/>
              <w:left w:val="single" w:sz="4" w:space="0" w:color="auto"/>
              <w:bottom w:val="single" w:sz="4" w:space="0" w:color="auto"/>
              <w:right w:val="single" w:sz="4" w:space="0" w:color="auto"/>
            </w:tcBorders>
            <w:vAlign w:val="center"/>
          </w:tcPr>
          <w:p w:rsidR="00443EC1" w:rsidRDefault="00443EC1">
            <w:pPr>
              <w:bidi w:val="0"/>
              <w:spacing w:before="0" w:after="0" w:line="320" w:lineRule="exact"/>
              <w:jc w:val="left"/>
              <w:rPr>
                <w:sz w:val="28"/>
                <w:szCs w:val="28"/>
              </w:rPr>
            </w:pPr>
          </w:p>
        </w:tc>
        <w:tc>
          <w:tcPr>
            <w:tcW w:w="1304" w:type="dxa"/>
            <w:tcBorders>
              <w:top w:val="nil"/>
              <w:left w:val="single" w:sz="4" w:space="0" w:color="auto"/>
              <w:bottom w:val="nil"/>
              <w:right w:val="single" w:sz="4" w:space="0" w:color="auto"/>
            </w:tcBorders>
          </w:tcPr>
          <w:p w:rsidR="00443EC1" w:rsidRDefault="00443EC1">
            <w:pPr>
              <w:spacing w:before="0" w:after="0" w:line="320" w:lineRule="exact"/>
              <w:jc w:val="both"/>
              <w:rPr>
                <w:sz w:val="28"/>
                <w:szCs w:val="28"/>
              </w:rPr>
            </w:pPr>
            <w:r>
              <w:rPr>
                <w:rFonts w:hint="eastAsia"/>
                <w:sz w:val="28"/>
                <w:szCs w:val="28"/>
                <w:rtl/>
              </w:rPr>
              <w:t>ذكور</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sz w:val="28"/>
                <w:szCs w:val="28"/>
              </w:rPr>
            </w:pPr>
            <w:r>
              <w:rPr>
                <w:sz w:val="28"/>
                <w:szCs w:val="28"/>
                <w:rtl/>
              </w:rPr>
              <w:t>104.1</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8.8</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23.2</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34.3</w:t>
            </w:r>
          </w:p>
        </w:tc>
        <w:tc>
          <w:tcPr>
            <w:tcW w:w="1064"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27.1</w:t>
            </w:r>
          </w:p>
        </w:tc>
        <w:tc>
          <w:tcPr>
            <w:tcW w:w="940"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8.4</w:t>
            </w:r>
          </w:p>
        </w:tc>
        <w:tc>
          <w:tcPr>
            <w:tcW w:w="1188"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2.3</w:t>
            </w:r>
          </w:p>
        </w:tc>
      </w:tr>
      <w:tr w:rsidR="00443EC1" w:rsidTr="00443EC1">
        <w:trPr>
          <w:cantSplit/>
          <w:jc w:val="center"/>
        </w:trPr>
        <w:tc>
          <w:tcPr>
            <w:tcW w:w="0" w:type="auto"/>
            <w:vMerge/>
            <w:tcBorders>
              <w:top w:val="nil"/>
              <w:left w:val="single" w:sz="4" w:space="0" w:color="auto"/>
              <w:bottom w:val="single" w:sz="4" w:space="0" w:color="auto"/>
              <w:right w:val="single" w:sz="4" w:space="0" w:color="auto"/>
            </w:tcBorders>
            <w:vAlign w:val="center"/>
          </w:tcPr>
          <w:p w:rsidR="00443EC1" w:rsidRDefault="00443EC1">
            <w:pPr>
              <w:bidi w:val="0"/>
              <w:spacing w:before="0" w:after="0" w:line="320" w:lineRule="exact"/>
              <w:jc w:val="left"/>
              <w:rPr>
                <w:sz w:val="28"/>
                <w:szCs w:val="28"/>
              </w:rPr>
            </w:pPr>
          </w:p>
        </w:tc>
        <w:tc>
          <w:tcPr>
            <w:tcW w:w="1304" w:type="dxa"/>
            <w:tcBorders>
              <w:top w:val="nil"/>
              <w:left w:val="single" w:sz="4" w:space="0" w:color="auto"/>
              <w:bottom w:val="single" w:sz="4" w:space="0" w:color="auto"/>
              <w:right w:val="single" w:sz="4" w:space="0" w:color="auto"/>
            </w:tcBorders>
          </w:tcPr>
          <w:p w:rsidR="00443EC1" w:rsidRDefault="00443EC1">
            <w:pPr>
              <w:spacing w:before="0" w:after="0" w:line="320" w:lineRule="exact"/>
              <w:jc w:val="both"/>
              <w:rPr>
                <w:sz w:val="28"/>
                <w:szCs w:val="28"/>
              </w:rPr>
            </w:pPr>
            <w:r>
              <w:rPr>
                <w:rFonts w:hint="eastAsia"/>
                <w:sz w:val="28"/>
                <w:szCs w:val="28"/>
                <w:rtl/>
              </w:rPr>
              <w:t>إناث</w:t>
            </w:r>
          </w:p>
        </w:tc>
        <w:tc>
          <w:tcPr>
            <w:tcW w:w="1063" w:type="dxa"/>
            <w:tcBorders>
              <w:top w:val="nil"/>
              <w:left w:val="single" w:sz="4" w:space="0" w:color="auto"/>
              <w:bottom w:val="single" w:sz="4" w:space="0" w:color="auto"/>
              <w:right w:val="single" w:sz="4" w:space="0" w:color="auto"/>
            </w:tcBorders>
          </w:tcPr>
          <w:p w:rsidR="00443EC1" w:rsidRDefault="00443EC1">
            <w:pPr>
              <w:spacing w:before="0" w:after="0" w:line="320" w:lineRule="exact"/>
              <w:jc w:val="both"/>
              <w:rPr>
                <w:sz w:val="28"/>
                <w:szCs w:val="28"/>
              </w:rPr>
            </w:pPr>
            <w:r>
              <w:rPr>
                <w:sz w:val="28"/>
                <w:szCs w:val="28"/>
                <w:rtl/>
              </w:rPr>
              <w:t>96.5</w:t>
            </w:r>
          </w:p>
        </w:tc>
        <w:tc>
          <w:tcPr>
            <w:tcW w:w="1063" w:type="dxa"/>
            <w:tcBorders>
              <w:top w:val="nil"/>
              <w:left w:val="single" w:sz="4" w:space="0" w:color="auto"/>
              <w:bottom w:val="single" w:sz="4" w:space="0" w:color="auto"/>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12.9</w:t>
            </w:r>
          </w:p>
        </w:tc>
        <w:tc>
          <w:tcPr>
            <w:tcW w:w="1063" w:type="dxa"/>
            <w:tcBorders>
              <w:top w:val="nil"/>
              <w:left w:val="single" w:sz="4" w:space="0" w:color="auto"/>
              <w:bottom w:val="single" w:sz="4" w:space="0" w:color="auto"/>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28.1</w:t>
            </w:r>
          </w:p>
        </w:tc>
        <w:tc>
          <w:tcPr>
            <w:tcW w:w="1063" w:type="dxa"/>
            <w:tcBorders>
              <w:top w:val="nil"/>
              <w:left w:val="single" w:sz="4" w:space="0" w:color="auto"/>
              <w:bottom w:val="single" w:sz="4" w:space="0" w:color="auto"/>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31.5</w:t>
            </w:r>
          </w:p>
        </w:tc>
        <w:tc>
          <w:tcPr>
            <w:tcW w:w="1064" w:type="dxa"/>
            <w:tcBorders>
              <w:top w:val="nil"/>
              <w:left w:val="single" w:sz="4" w:space="0" w:color="auto"/>
              <w:bottom w:val="single" w:sz="4" w:space="0" w:color="auto"/>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19.3</w:t>
            </w:r>
          </w:p>
        </w:tc>
        <w:tc>
          <w:tcPr>
            <w:tcW w:w="940" w:type="dxa"/>
            <w:tcBorders>
              <w:top w:val="nil"/>
              <w:left w:val="single" w:sz="4" w:space="0" w:color="auto"/>
              <w:bottom w:val="single" w:sz="4" w:space="0" w:color="auto"/>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4.0</w:t>
            </w:r>
          </w:p>
        </w:tc>
        <w:tc>
          <w:tcPr>
            <w:tcW w:w="1188" w:type="dxa"/>
            <w:tcBorders>
              <w:top w:val="nil"/>
              <w:left w:val="single" w:sz="4" w:space="0" w:color="auto"/>
              <w:bottom w:val="single" w:sz="4" w:space="0" w:color="auto"/>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0.9</w:t>
            </w:r>
          </w:p>
        </w:tc>
      </w:tr>
    </w:tbl>
    <w:p w:rsidR="00000000" w:rsidRDefault="00443EC1">
      <w:pPr>
        <w:spacing w:before="120" w:after="120" w:line="380" w:lineRule="exact"/>
        <w:jc w:val="both"/>
        <w:rPr>
          <w:rFonts w:hint="cs"/>
          <w:rtl/>
        </w:rPr>
      </w:pPr>
      <w:r>
        <w:rPr>
          <w:rFonts w:hint="cs"/>
          <w:i/>
          <w:iCs/>
          <w:rtl/>
        </w:rPr>
        <w:tab/>
        <w:t>المصدر</w:t>
      </w:r>
      <w:r>
        <w:rPr>
          <w:rFonts w:hint="cs"/>
          <w:rtl/>
        </w:rPr>
        <w:t>:</w:t>
      </w:r>
      <w:r>
        <w:rPr>
          <w:rFonts w:hint="cs"/>
          <w:rtl/>
        </w:rPr>
        <w:tab/>
        <w:t xml:space="preserve">الدراسة الاستقصائية عن العمالة، إدارة الإحصاء </w:t>
      </w:r>
      <w:r>
        <w:rPr>
          <w:rFonts w:hint="cs"/>
          <w:rtl/>
        </w:rPr>
        <w:t>والتعداد.</w:t>
      </w:r>
    </w:p>
    <w:p w:rsidR="00000000" w:rsidRDefault="00443EC1">
      <w:pPr>
        <w:spacing w:before="120" w:line="380" w:lineRule="exact"/>
        <w:jc w:val="both"/>
        <w:rPr>
          <w:rFonts w:hint="cs"/>
          <w:b/>
          <w:bCs/>
          <w:rtl/>
        </w:rPr>
      </w:pPr>
    </w:p>
    <w:p w:rsidR="00000000" w:rsidRDefault="00443EC1">
      <w:pPr>
        <w:spacing w:before="120" w:line="380" w:lineRule="exact"/>
        <w:jc w:val="both"/>
        <w:rPr>
          <w:b/>
          <w:bCs/>
          <w:rtl/>
        </w:rPr>
      </w:pPr>
      <w:r>
        <w:rPr>
          <w:rFonts w:hint="eastAsia"/>
          <w:b/>
          <w:bCs/>
          <w:rtl/>
        </w:rPr>
        <w:t>العاطلون</w:t>
      </w:r>
      <w:r>
        <w:rPr>
          <w:b/>
          <w:bCs/>
          <w:rtl/>
        </w:rPr>
        <w:t xml:space="preserve"> عن العمل حسب نوع الجنس والعمر</w:t>
      </w:r>
    </w:p>
    <w:tbl>
      <w:tblPr>
        <w:bidiVisual/>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22"/>
        <w:gridCol w:w="1304"/>
        <w:gridCol w:w="1063"/>
        <w:gridCol w:w="1063"/>
        <w:gridCol w:w="1063"/>
        <w:gridCol w:w="1063"/>
        <w:gridCol w:w="1064"/>
        <w:gridCol w:w="940"/>
        <w:gridCol w:w="1188"/>
      </w:tblGrid>
      <w:tr w:rsidR="00443EC1" w:rsidTr="00443EC1">
        <w:trPr>
          <w:cantSplit/>
        </w:trPr>
        <w:tc>
          <w:tcPr>
            <w:tcW w:w="822" w:type="dxa"/>
            <w:vMerge w:val="restart"/>
            <w:tcBorders>
              <w:top w:val="single" w:sz="4" w:space="0" w:color="auto"/>
              <w:left w:val="single" w:sz="4" w:space="0" w:color="auto"/>
              <w:bottom w:val="single" w:sz="4" w:space="0" w:color="auto"/>
              <w:right w:val="single" w:sz="4" w:space="0" w:color="auto"/>
            </w:tcBorders>
          </w:tcPr>
          <w:p w:rsidR="00443EC1" w:rsidRDefault="00443EC1">
            <w:pPr>
              <w:spacing w:before="0" w:after="0" w:line="320" w:lineRule="exact"/>
              <w:jc w:val="center"/>
              <w:rPr>
                <w:sz w:val="28"/>
                <w:szCs w:val="28"/>
              </w:rPr>
            </w:pPr>
            <w:r>
              <w:rPr>
                <w:sz w:val="28"/>
                <w:szCs w:val="28"/>
                <w:rtl/>
              </w:rPr>
              <w:br/>
            </w:r>
            <w:r>
              <w:rPr>
                <w:sz w:val="28"/>
                <w:szCs w:val="28"/>
                <w:rtl/>
              </w:rPr>
              <w:br/>
            </w:r>
            <w:r>
              <w:rPr>
                <w:rFonts w:hint="eastAsia"/>
                <w:sz w:val="28"/>
                <w:szCs w:val="28"/>
                <w:rtl/>
              </w:rPr>
              <w:t>الأعوام</w:t>
            </w:r>
          </w:p>
        </w:tc>
        <w:tc>
          <w:tcPr>
            <w:tcW w:w="1304" w:type="dxa"/>
            <w:vMerge w:val="restart"/>
            <w:tcBorders>
              <w:top w:val="single" w:sz="4" w:space="0" w:color="auto"/>
              <w:left w:val="single" w:sz="4" w:space="0" w:color="auto"/>
              <w:bottom w:val="single" w:sz="4" w:space="0" w:color="auto"/>
              <w:right w:val="single" w:sz="4" w:space="0" w:color="auto"/>
            </w:tcBorders>
          </w:tcPr>
          <w:p w:rsidR="00443EC1" w:rsidRDefault="00443EC1">
            <w:pPr>
              <w:spacing w:before="0" w:after="0" w:line="320" w:lineRule="exact"/>
              <w:jc w:val="center"/>
              <w:rPr>
                <w:sz w:val="28"/>
                <w:szCs w:val="28"/>
              </w:rPr>
            </w:pPr>
            <w:r>
              <w:rPr>
                <w:sz w:val="28"/>
                <w:szCs w:val="28"/>
                <w:rtl/>
              </w:rPr>
              <w:br/>
            </w:r>
            <w:r>
              <w:rPr>
                <w:sz w:val="28"/>
                <w:szCs w:val="28"/>
                <w:rtl/>
              </w:rPr>
              <w:br/>
            </w:r>
            <w:r>
              <w:rPr>
                <w:rFonts w:hint="eastAsia"/>
                <w:sz w:val="28"/>
                <w:szCs w:val="28"/>
                <w:rtl/>
              </w:rPr>
              <w:t>نوع</w:t>
            </w:r>
            <w:r>
              <w:rPr>
                <w:sz w:val="28"/>
                <w:szCs w:val="28"/>
                <w:rtl/>
              </w:rPr>
              <w:t xml:space="preserve"> </w:t>
            </w:r>
            <w:r>
              <w:rPr>
                <w:rFonts w:hint="eastAsia"/>
                <w:sz w:val="28"/>
                <w:szCs w:val="28"/>
                <w:rtl/>
              </w:rPr>
              <w:t>الجنس</w:t>
            </w:r>
          </w:p>
        </w:tc>
        <w:tc>
          <w:tcPr>
            <w:tcW w:w="7444" w:type="dxa"/>
            <w:gridSpan w:val="7"/>
            <w:tcBorders>
              <w:top w:val="single" w:sz="4" w:space="0" w:color="auto"/>
              <w:left w:val="single" w:sz="4" w:space="0" w:color="auto"/>
              <w:bottom w:val="single" w:sz="4" w:space="0" w:color="auto"/>
              <w:right w:val="single" w:sz="4" w:space="0" w:color="auto"/>
            </w:tcBorders>
          </w:tcPr>
          <w:p w:rsidR="00443EC1" w:rsidRDefault="00443EC1">
            <w:pPr>
              <w:spacing w:before="0" w:after="0" w:line="320" w:lineRule="exact"/>
              <w:jc w:val="center"/>
              <w:rPr>
                <w:sz w:val="28"/>
                <w:szCs w:val="28"/>
              </w:rPr>
            </w:pPr>
            <w:r>
              <w:rPr>
                <w:rFonts w:hint="eastAsia"/>
                <w:sz w:val="28"/>
                <w:szCs w:val="28"/>
                <w:rtl/>
              </w:rPr>
              <w:t>السكان</w:t>
            </w:r>
            <w:r>
              <w:rPr>
                <w:sz w:val="28"/>
                <w:szCs w:val="28"/>
                <w:rtl/>
              </w:rPr>
              <w:t xml:space="preserve"> </w:t>
            </w:r>
            <w:r>
              <w:rPr>
                <w:rFonts w:hint="eastAsia"/>
                <w:sz w:val="28"/>
                <w:szCs w:val="28"/>
                <w:rtl/>
              </w:rPr>
              <w:t>العاملون</w:t>
            </w:r>
            <w:r>
              <w:rPr>
                <w:sz w:val="28"/>
                <w:szCs w:val="28"/>
                <w:rtl/>
              </w:rPr>
              <w:t xml:space="preserve"> (بالآلاف)</w:t>
            </w:r>
          </w:p>
        </w:tc>
      </w:tr>
      <w:tr w:rsidR="00443EC1" w:rsidTr="00443EC1">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443EC1" w:rsidRDefault="00443EC1">
            <w:pPr>
              <w:bidi w:val="0"/>
              <w:spacing w:before="0" w:after="0" w:line="320" w:lineRule="exact"/>
              <w:jc w:val="left"/>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443EC1" w:rsidRDefault="00443EC1">
            <w:pPr>
              <w:bidi w:val="0"/>
              <w:spacing w:before="0" w:after="0" w:line="320" w:lineRule="exact"/>
              <w:jc w:val="left"/>
              <w:rPr>
                <w:sz w:val="28"/>
                <w:szCs w:val="28"/>
              </w:rPr>
            </w:pPr>
          </w:p>
        </w:tc>
        <w:tc>
          <w:tcPr>
            <w:tcW w:w="7444" w:type="dxa"/>
            <w:gridSpan w:val="7"/>
            <w:tcBorders>
              <w:top w:val="single" w:sz="4" w:space="0" w:color="auto"/>
              <w:left w:val="single" w:sz="4" w:space="0" w:color="auto"/>
              <w:bottom w:val="single" w:sz="4" w:space="0" w:color="auto"/>
              <w:right w:val="single" w:sz="4" w:space="0" w:color="auto"/>
            </w:tcBorders>
          </w:tcPr>
          <w:p w:rsidR="00443EC1" w:rsidRDefault="00443EC1">
            <w:pPr>
              <w:spacing w:before="0" w:after="0" w:line="320" w:lineRule="exact"/>
              <w:jc w:val="center"/>
              <w:rPr>
                <w:sz w:val="28"/>
                <w:szCs w:val="28"/>
              </w:rPr>
            </w:pPr>
            <w:r>
              <w:rPr>
                <w:rFonts w:hint="eastAsia"/>
                <w:sz w:val="28"/>
                <w:szCs w:val="28"/>
                <w:rtl/>
              </w:rPr>
              <w:t>السنّ</w:t>
            </w:r>
          </w:p>
        </w:tc>
      </w:tr>
      <w:tr w:rsidR="00443EC1" w:rsidTr="00443EC1">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443EC1" w:rsidRDefault="00443EC1">
            <w:pPr>
              <w:bidi w:val="0"/>
              <w:spacing w:before="0" w:after="0" w:line="320" w:lineRule="exact"/>
              <w:jc w:val="left"/>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443EC1" w:rsidRDefault="00443EC1">
            <w:pPr>
              <w:bidi w:val="0"/>
              <w:spacing w:before="0" w:after="0" w:line="320" w:lineRule="exact"/>
              <w:jc w:val="left"/>
              <w:rPr>
                <w:sz w:val="28"/>
                <w:szCs w:val="28"/>
              </w:rPr>
            </w:pPr>
          </w:p>
        </w:tc>
        <w:tc>
          <w:tcPr>
            <w:tcW w:w="1063" w:type="dxa"/>
            <w:tcBorders>
              <w:top w:val="single" w:sz="4" w:space="0" w:color="auto"/>
              <w:left w:val="single" w:sz="4" w:space="0" w:color="auto"/>
              <w:bottom w:val="single" w:sz="4" w:space="0" w:color="auto"/>
              <w:right w:val="single" w:sz="4" w:space="0" w:color="auto"/>
            </w:tcBorders>
          </w:tcPr>
          <w:p w:rsidR="00443EC1" w:rsidRDefault="00443EC1">
            <w:pPr>
              <w:spacing w:before="0" w:after="0" w:line="320" w:lineRule="exact"/>
              <w:jc w:val="center"/>
              <w:rPr>
                <w:sz w:val="28"/>
                <w:szCs w:val="28"/>
              </w:rPr>
            </w:pPr>
            <w:r>
              <w:rPr>
                <w:rFonts w:hint="eastAsia"/>
                <w:sz w:val="28"/>
                <w:szCs w:val="28"/>
                <w:rtl/>
              </w:rPr>
              <w:t>المجموع</w:t>
            </w:r>
          </w:p>
        </w:tc>
        <w:tc>
          <w:tcPr>
            <w:tcW w:w="1063" w:type="dxa"/>
            <w:tcBorders>
              <w:top w:val="single" w:sz="4" w:space="0" w:color="auto"/>
              <w:left w:val="single" w:sz="4" w:space="0" w:color="auto"/>
              <w:bottom w:val="single" w:sz="4" w:space="0" w:color="auto"/>
              <w:right w:val="single" w:sz="4" w:space="0" w:color="auto"/>
            </w:tcBorders>
          </w:tcPr>
          <w:p w:rsidR="00443EC1" w:rsidRDefault="00443EC1">
            <w:pPr>
              <w:spacing w:before="0" w:after="0" w:line="320" w:lineRule="exact"/>
              <w:jc w:val="center"/>
              <w:rPr>
                <w:sz w:val="28"/>
                <w:szCs w:val="28"/>
              </w:rPr>
            </w:pPr>
            <w:r>
              <w:rPr>
                <w:sz w:val="28"/>
                <w:szCs w:val="28"/>
                <w:rtl/>
              </w:rPr>
              <w:t>14-24</w:t>
            </w:r>
          </w:p>
        </w:tc>
        <w:tc>
          <w:tcPr>
            <w:tcW w:w="1063" w:type="dxa"/>
            <w:tcBorders>
              <w:top w:val="single" w:sz="4" w:space="0" w:color="auto"/>
              <w:left w:val="single" w:sz="4" w:space="0" w:color="auto"/>
              <w:bottom w:val="single" w:sz="4" w:space="0" w:color="auto"/>
              <w:right w:val="single" w:sz="4" w:space="0" w:color="auto"/>
            </w:tcBorders>
          </w:tcPr>
          <w:p w:rsidR="00443EC1" w:rsidRDefault="00443EC1">
            <w:pPr>
              <w:spacing w:before="0" w:after="0" w:line="320" w:lineRule="exact"/>
              <w:jc w:val="center"/>
              <w:rPr>
                <w:sz w:val="28"/>
                <w:szCs w:val="28"/>
              </w:rPr>
            </w:pPr>
            <w:r>
              <w:rPr>
                <w:sz w:val="28"/>
                <w:szCs w:val="28"/>
                <w:rtl/>
              </w:rPr>
              <w:t>25-34</w:t>
            </w:r>
          </w:p>
        </w:tc>
        <w:tc>
          <w:tcPr>
            <w:tcW w:w="1063" w:type="dxa"/>
            <w:tcBorders>
              <w:top w:val="single" w:sz="4" w:space="0" w:color="auto"/>
              <w:left w:val="single" w:sz="4" w:space="0" w:color="auto"/>
              <w:bottom w:val="single" w:sz="4" w:space="0" w:color="auto"/>
              <w:right w:val="single" w:sz="4" w:space="0" w:color="auto"/>
            </w:tcBorders>
          </w:tcPr>
          <w:p w:rsidR="00443EC1" w:rsidRDefault="00443EC1">
            <w:pPr>
              <w:spacing w:before="0" w:after="0" w:line="320" w:lineRule="exact"/>
              <w:jc w:val="center"/>
              <w:rPr>
                <w:sz w:val="28"/>
                <w:szCs w:val="28"/>
              </w:rPr>
            </w:pPr>
            <w:r>
              <w:rPr>
                <w:sz w:val="28"/>
                <w:szCs w:val="28"/>
                <w:rtl/>
              </w:rPr>
              <w:t>35-44</w:t>
            </w:r>
          </w:p>
        </w:tc>
        <w:tc>
          <w:tcPr>
            <w:tcW w:w="1064" w:type="dxa"/>
            <w:tcBorders>
              <w:top w:val="single" w:sz="4" w:space="0" w:color="auto"/>
              <w:left w:val="single" w:sz="4" w:space="0" w:color="auto"/>
              <w:bottom w:val="single" w:sz="4" w:space="0" w:color="auto"/>
              <w:right w:val="single" w:sz="4" w:space="0" w:color="auto"/>
            </w:tcBorders>
          </w:tcPr>
          <w:p w:rsidR="00443EC1" w:rsidRDefault="00443EC1">
            <w:pPr>
              <w:spacing w:before="0" w:after="0" w:line="320" w:lineRule="exact"/>
              <w:jc w:val="center"/>
              <w:rPr>
                <w:sz w:val="28"/>
                <w:szCs w:val="28"/>
              </w:rPr>
            </w:pPr>
            <w:r>
              <w:rPr>
                <w:sz w:val="28"/>
                <w:szCs w:val="28"/>
                <w:rtl/>
              </w:rPr>
              <w:t>45-54</w:t>
            </w:r>
          </w:p>
        </w:tc>
        <w:tc>
          <w:tcPr>
            <w:tcW w:w="940" w:type="dxa"/>
            <w:tcBorders>
              <w:top w:val="single" w:sz="4" w:space="0" w:color="auto"/>
              <w:left w:val="single" w:sz="4" w:space="0" w:color="auto"/>
              <w:bottom w:val="single" w:sz="4" w:space="0" w:color="auto"/>
              <w:right w:val="single" w:sz="4" w:space="0" w:color="auto"/>
            </w:tcBorders>
          </w:tcPr>
          <w:p w:rsidR="00443EC1" w:rsidRDefault="00443EC1">
            <w:pPr>
              <w:spacing w:before="0" w:after="0" w:line="320" w:lineRule="exact"/>
              <w:jc w:val="center"/>
              <w:rPr>
                <w:sz w:val="28"/>
                <w:szCs w:val="28"/>
              </w:rPr>
            </w:pPr>
            <w:r>
              <w:rPr>
                <w:sz w:val="28"/>
                <w:szCs w:val="28"/>
                <w:rtl/>
              </w:rPr>
              <w:t>55-64</w:t>
            </w:r>
          </w:p>
        </w:tc>
        <w:tc>
          <w:tcPr>
            <w:tcW w:w="1188" w:type="dxa"/>
            <w:tcBorders>
              <w:top w:val="single" w:sz="4" w:space="0" w:color="auto"/>
              <w:left w:val="single" w:sz="4" w:space="0" w:color="auto"/>
              <w:bottom w:val="single" w:sz="4" w:space="0" w:color="auto"/>
              <w:right w:val="single" w:sz="4" w:space="0" w:color="auto"/>
            </w:tcBorders>
          </w:tcPr>
          <w:p w:rsidR="00443EC1" w:rsidRDefault="00443EC1">
            <w:pPr>
              <w:spacing w:before="0" w:after="0" w:line="320" w:lineRule="exact"/>
              <w:jc w:val="center"/>
              <w:rPr>
                <w:spacing w:val="0"/>
                <w:sz w:val="28"/>
                <w:szCs w:val="28"/>
              </w:rPr>
            </w:pPr>
            <w:r>
              <w:rPr>
                <w:spacing w:val="0"/>
                <w:sz w:val="28"/>
                <w:szCs w:val="28"/>
                <w:rtl/>
              </w:rPr>
              <w:t>65 فما فوق</w:t>
            </w:r>
          </w:p>
        </w:tc>
      </w:tr>
      <w:tr w:rsidR="00443EC1" w:rsidTr="00443EC1">
        <w:trPr>
          <w:cantSplit/>
        </w:trPr>
        <w:tc>
          <w:tcPr>
            <w:tcW w:w="822" w:type="dxa"/>
            <w:vMerge w:val="restart"/>
            <w:tcBorders>
              <w:top w:val="single" w:sz="4" w:space="0" w:color="auto"/>
              <w:left w:val="single" w:sz="4" w:space="0" w:color="auto"/>
              <w:bottom w:val="nil"/>
              <w:right w:val="single" w:sz="4" w:space="0" w:color="auto"/>
            </w:tcBorders>
          </w:tcPr>
          <w:p w:rsidR="00443EC1" w:rsidRDefault="00443EC1">
            <w:pPr>
              <w:spacing w:before="0" w:after="0" w:line="320" w:lineRule="exact"/>
              <w:jc w:val="both"/>
              <w:rPr>
                <w:sz w:val="28"/>
                <w:szCs w:val="28"/>
              </w:rPr>
            </w:pPr>
            <w:r>
              <w:rPr>
                <w:sz w:val="28"/>
                <w:szCs w:val="28"/>
                <w:rtl/>
              </w:rPr>
              <w:t>1999</w:t>
            </w:r>
          </w:p>
          <w:p w:rsidR="00443EC1" w:rsidRDefault="00443EC1">
            <w:pPr>
              <w:spacing w:before="0" w:after="0" w:line="320" w:lineRule="exact"/>
              <w:jc w:val="both"/>
              <w:rPr>
                <w:sz w:val="28"/>
                <w:szCs w:val="28"/>
              </w:rPr>
            </w:pPr>
          </w:p>
        </w:tc>
        <w:tc>
          <w:tcPr>
            <w:tcW w:w="1304" w:type="dxa"/>
            <w:tcBorders>
              <w:top w:val="single" w:sz="4" w:space="0" w:color="auto"/>
              <w:left w:val="single" w:sz="4" w:space="0" w:color="auto"/>
              <w:bottom w:val="nil"/>
              <w:right w:val="single" w:sz="4" w:space="0" w:color="auto"/>
            </w:tcBorders>
          </w:tcPr>
          <w:p w:rsidR="00443EC1" w:rsidRDefault="00443EC1">
            <w:pPr>
              <w:spacing w:before="0" w:after="0" w:line="320" w:lineRule="exact"/>
              <w:jc w:val="both"/>
              <w:rPr>
                <w:sz w:val="28"/>
                <w:szCs w:val="28"/>
              </w:rPr>
            </w:pPr>
            <w:r>
              <w:rPr>
                <w:rFonts w:hint="eastAsia"/>
                <w:sz w:val="28"/>
                <w:szCs w:val="28"/>
                <w:rtl/>
              </w:rPr>
              <w:t>ذكور</w:t>
            </w:r>
            <w:r>
              <w:rPr>
                <w:sz w:val="28"/>
                <w:szCs w:val="28"/>
                <w:rtl/>
              </w:rPr>
              <w:t xml:space="preserve"> وإناث</w:t>
            </w:r>
          </w:p>
        </w:tc>
        <w:tc>
          <w:tcPr>
            <w:tcW w:w="1063" w:type="dxa"/>
            <w:tcBorders>
              <w:top w:val="single" w:sz="4" w:space="0" w:color="auto"/>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13.2</w:t>
            </w:r>
          </w:p>
        </w:tc>
        <w:tc>
          <w:tcPr>
            <w:tcW w:w="1063" w:type="dxa"/>
            <w:tcBorders>
              <w:top w:val="single" w:sz="4" w:space="0" w:color="auto"/>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3.2</w:t>
            </w:r>
          </w:p>
        </w:tc>
        <w:tc>
          <w:tcPr>
            <w:tcW w:w="1063" w:type="dxa"/>
            <w:tcBorders>
              <w:top w:val="single" w:sz="4" w:space="0" w:color="auto"/>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2.9</w:t>
            </w:r>
          </w:p>
        </w:tc>
        <w:tc>
          <w:tcPr>
            <w:tcW w:w="1063" w:type="dxa"/>
            <w:tcBorders>
              <w:top w:val="single" w:sz="4" w:space="0" w:color="auto"/>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4.4</w:t>
            </w:r>
          </w:p>
        </w:tc>
        <w:tc>
          <w:tcPr>
            <w:tcW w:w="1064" w:type="dxa"/>
            <w:tcBorders>
              <w:top w:val="single" w:sz="4" w:space="0" w:color="auto"/>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2.2</w:t>
            </w:r>
          </w:p>
        </w:tc>
        <w:tc>
          <w:tcPr>
            <w:tcW w:w="940" w:type="dxa"/>
            <w:tcBorders>
              <w:top w:val="single" w:sz="4" w:space="0" w:color="auto"/>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0.5</w:t>
            </w:r>
          </w:p>
        </w:tc>
        <w:tc>
          <w:tcPr>
            <w:tcW w:w="1188" w:type="dxa"/>
            <w:tcBorders>
              <w:top w:val="single" w:sz="4" w:space="0" w:color="auto"/>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0.1</w:t>
            </w:r>
          </w:p>
        </w:tc>
      </w:tr>
      <w:tr w:rsidR="00443EC1" w:rsidTr="00443EC1">
        <w:trPr>
          <w:cantSplit/>
        </w:trPr>
        <w:tc>
          <w:tcPr>
            <w:tcW w:w="0" w:type="auto"/>
            <w:vMerge/>
            <w:tcBorders>
              <w:top w:val="single" w:sz="4" w:space="0" w:color="auto"/>
              <w:left w:val="single" w:sz="4" w:space="0" w:color="auto"/>
              <w:bottom w:val="nil"/>
              <w:right w:val="single" w:sz="4" w:space="0" w:color="auto"/>
            </w:tcBorders>
            <w:vAlign w:val="center"/>
          </w:tcPr>
          <w:p w:rsidR="00443EC1" w:rsidRDefault="00443EC1">
            <w:pPr>
              <w:bidi w:val="0"/>
              <w:spacing w:before="0" w:after="0" w:line="320" w:lineRule="exact"/>
              <w:jc w:val="left"/>
              <w:rPr>
                <w:sz w:val="28"/>
                <w:szCs w:val="28"/>
              </w:rPr>
            </w:pPr>
          </w:p>
        </w:tc>
        <w:tc>
          <w:tcPr>
            <w:tcW w:w="1304" w:type="dxa"/>
            <w:tcBorders>
              <w:top w:val="nil"/>
              <w:left w:val="single" w:sz="4" w:space="0" w:color="auto"/>
              <w:bottom w:val="nil"/>
              <w:right w:val="single" w:sz="4" w:space="0" w:color="auto"/>
            </w:tcBorders>
          </w:tcPr>
          <w:p w:rsidR="00443EC1" w:rsidRDefault="00443EC1">
            <w:pPr>
              <w:spacing w:before="0" w:after="0" w:line="320" w:lineRule="exact"/>
              <w:jc w:val="both"/>
              <w:rPr>
                <w:sz w:val="28"/>
                <w:szCs w:val="28"/>
              </w:rPr>
            </w:pPr>
            <w:r>
              <w:rPr>
                <w:rFonts w:hint="eastAsia"/>
                <w:sz w:val="28"/>
                <w:szCs w:val="28"/>
                <w:rtl/>
              </w:rPr>
              <w:t>ذكور</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9.1</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2.0</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1.8</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3.2</w:t>
            </w:r>
          </w:p>
        </w:tc>
        <w:tc>
          <w:tcPr>
            <w:tcW w:w="1064"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1.7</w:t>
            </w:r>
          </w:p>
        </w:tc>
        <w:tc>
          <w:tcPr>
            <w:tcW w:w="940"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0.3</w:t>
            </w:r>
          </w:p>
        </w:tc>
        <w:tc>
          <w:tcPr>
            <w:tcW w:w="1188"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0.1</w:t>
            </w:r>
          </w:p>
        </w:tc>
      </w:tr>
      <w:tr w:rsidR="00443EC1" w:rsidTr="00443EC1">
        <w:trPr>
          <w:cantSplit/>
        </w:trPr>
        <w:tc>
          <w:tcPr>
            <w:tcW w:w="0" w:type="auto"/>
            <w:vMerge/>
            <w:tcBorders>
              <w:top w:val="single" w:sz="4" w:space="0" w:color="auto"/>
              <w:left w:val="single" w:sz="4" w:space="0" w:color="auto"/>
              <w:bottom w:val="nil"/>
              <w:right w:val="single" w:sz="4" w:space="0" w:color="auto"/>
            </w:tcBorders>
            <w:vAlign w:val="center"/>
          </w:tcPr>
          <w:p w:rsidR="00443EC1" w:rsidRDefault="00443EC1">
            <w:pPr>
              <w:bidi w:val="0"/>
              <w:spacing w:before="0" w:after="0" w:line="320" w:lineRule="exact"/>
              <w:jc w:val="left"/>
              <w:rPr>
                <w:sz w:val="28"/>
                <w:szCs w:val="28"/>
              </w:rPr>
            </w:pPr>
          </w:p>
        </w:tc>
        <w:tc>
          <w:tcPr>
            <w:tcW w:w="1304" w:type="dxa"/>
            <w:tcBorders>
              <w:top w:val="nil"/>
              <w:left w:val="single" w:sz="4" w:space="0" w:color="auto"/>
              <w:bottom w:val="nil"/>
              <w:right w:val="single" w:sz="4" w:space="0" w:color="auto"/>
            </w:tcBorders>
          </w:tcPr>
          <w:p w:rsidR="00443EC1" w:rsidRDefault="00443EC1">
            <w:pPr>
              <w:spacing w:before="0" w:after="0" w:line="320" w:lineRule="exact"/>
              <w:jc w:val="both"/>
              <w:rPr>
                <w:sz w:val="28"/>
                <w:szCs w:val="28"/>
              </w:rPr>
            </w:pPr>
            <w:r>
              <w:rPr>
                <w:rFonts w:hint="eastAsia"/>
                <w:sz w:val="28"/>
                <w:szCs w:val="28"/>
                <w:rtl/>
              </w:rPr>
              <w:t>إناث</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4.2</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1.2</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1.1</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1.3</w:t>
            </w:r>
          </w:p>
        </w:tc>
        <w:tc>
          <w:tcPr>
            <w:tcW w:w="1064"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0.4</w:t>
            </w:r>
          </w:p>
        </w:tc>
        <w:tc>
          <w:tcPr>
            <w:tcW w:w="940"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0.2</w:t>
            </w:r>
          </w:p>
        </w:tc>
        <w:tc>
          <w:tcPr>
            <w:tcW w:w="1188"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w:t>
            </w:r>
          </w:p>
        </w:tc>
      </w:tr>
      <w:tr w:rsidR="00443EC1" w:rsidTr="00443EC1">
        <w:trPr>
          <w:cantSplit/>
        </w:trPr>
        <w:tc>
          <w:tcPr>
            <w:tcW w:w="822" w:type="dxa"/>
            <w:vMerge w:val="restart"/>
            <w:tcBorders>
              <w:top w:val="nil"/>
              <w:left w:val="single" w:sz="4" w:space="0" w:color="auto"/>
              <w:bottom w:val="nil"/>
              <w:right w:val="single" w:sz="4" w:space="0" w:color="auto"/>
            </w:tcBorders>
          </w:tcPr>
          <w:p w:rsidR="00443EC1" w:rsidRDefault="00443EC1">
            <w:pPr>
              <w:spacing w:before="0" w:after="0" w:line="320" w:lineRule="exact"/>
              <w:jc w:val="both"/>
              <w:rPr>
                <w:sz w:val="28"/>
                <w:szCs w:val="28"/>
              </w:rPr>
            </w:pPr>
            <w:r>
              <w:rPr>
                <w:sz w:val="28"/>
                <w:szCs w:val="28"/>
                <w:rtl/>
              </w:rPr>
              <w:t>2000</w:t>
            </w:r>
          </w:p>
        </w:tc>
        <w:tc>
          <w:tcPr>
            <w:tcW w:w="1304" w:type="dxa"/>
            <w:tcBorders>
              <w:top w:val="nil"/>
              <w:left w:val="single" w:sz="4" w:space="0" w:color="auto"/>
              <w:bottom w:val="nil"/>
              <w:right w:val="single" w:sz="4" w:space="0" w:color="auto"/>
            </w:tcBorders>
          </w:tcPr>
          <w:p w:rsidR="00443EC1" w:rsidRDefault="00443EC1">
            <w:pPr>
              <w:spacing w:before="0" w:after="0" w:line="320" w:lineRule="exact"/>
              <w:jc w:val="both"/>
              <w:rPr>
                <w:sz w:val="28"/>
                <w:szCs w:val="28"/>
              </w:rPr>
            </w:pPr>
            <w:r>
              <w:rPr>
                <w:rFonts w:hint="eastAsia"/>
                <w:sz w:val="28"/>
                <w:szCs w:val="28"/>
                <w:rtl/>
              </w:rPr>
              <w:t>ذكور</w:t>
            </w:r>
            <w:r>
              <w:rPr>
                <w:sz w:val="28"/>
                <w:szCs w:val="28"/>
                <w:rtl/>
              </w:rPr>
              <w:t xml:space="preserve"> وإناث</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14.2</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2.7</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2.8</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5.2</w:t>
            </w:r>
          </w:p>
        </w:tc>
        <w:tc>
          <w:tcPr>
            <w:tcW w:w="1064"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2.9</w:t>
            </w:r>
          </w:p>
        </w:tc>
        <w:tc>
          <w:tcPr>
            <w:tcW w:w="940"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0.5</w:t>
            </w:r>
          </w:p>
        </w:tc>
        <w:tc>
          <w:tcPr>
            <w:tcW w:w="1188"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0.1</w:t>
            </w:r>
          </w:p>
        </w:tc>
      </w:tr>
      <w:tr w:rsidR="00443EC1" w:rsidTr="00443EC1">
        <w:trPr>
          <w:cantSplit/>
        </w:trPr>
        <w:tc>
          <w:tcPr>
            <w:tcW w:w="0" w:type="auto"/>
            <w:vMerge/>
            <w:tcBorders>
              <w:top w:val="nil"/>
              <w:left w:val="single" w:sz="4" w:space="0" w:color="auto"/>
              <w:bottom w:val="nil"/>
              <w:right w:val="single" w:sz="4" w:space="0" w:color="auto"/>
            </w:tcBorders>
            <w:vAlign w:val="center"/>
          </w:tcPr>
          <w:p w:rsidR="00443EC1" w:rsidRDefault="00443EC1">
            <w:pPr>
              <w:bidi w:val="0"/>
              <w:spacing w:before="0" w:after="0" w:line="320" w:lineRule="exact"/>
              <w:jc w:val="left"/>
              <w:rPr>
                <w:sz w:val="28"/>
                <w:szCs w:val="28"/>
              </w:rPr>
            </w:pPr>
          </w:p>
        </w:tc>
        <w:tc>
          <w:tcPr>
            <w:tcW w:w="1304" w:type="dxa"/>
            <w:tcBorders>
              <w:top w:val="nil"/>
              <w:left w:val="single" w:sz="4" w:space="0" w:color="auto"/>
              <w:bottom w:val="nil"/>
              <w:right w:val="single" w:sz="4" w:space="0" w:color="auto"/>
            </w:tcBorders>
          </w:tcPr>
          <w:p w:rsidR="00443EC1" w:rsidRDefault="00443EC1">
            <w:pPr>
              <w:spacing w:before="0" w:after="0" w:line="320" w:lineRule="exact"/>
              <w:jc w:val="both"/>
              <w:rPr>
                <w:sz w:val="28"/>
                <w:szCs w:val="28"/>
              </w:rPr>
            </w:pPr>
            <w:r>
              <w:rPr>
                <w:rFonts w:hint="eastAsia"/>
                <w:sz w:val="28"/>
                <w:szCs w:val="28"/>
                <w:rtl/>
              </w:rPr>
              <w:t>ذكور</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9.8</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1.7</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1.7</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3.8</w:t>
            </w:r>
          </w:p>
        </w:tc>
        <w:tc>
          <w:tcPr>
            <w:tcW w:w="1064"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2.2</w:t>
            </w:r>
          </w:p>
        </w:tc>
        <w:tc>
          <w:tcPr>
            <w:tcW w:w="940"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0.4</w:t>
            </w:r>
          </w:p>
        </w:tc>
        <w:tc>
          <w:tcPr>
            <w:tcW w:w="1188"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0.1</w:t>
            </w:r>
          </w:p>
        </w:tc>
      </w:tr>
      <w:tr w:rsidR="00443EC1" w:rsidTr="00443EC1">
        <w:trPr>
          <w:cantSplit/>
        </w:trPr>
        <w:tc>
          <w:tcPr>
            <w:tcW w:w="0" w:type="auto"/>
            <w:vMerge/>
            <w:tcBorders>
              <w:top w:val="nil"/>
              <w:left w:val="single" w:sz="4" w:space="0" w:color="auto"/>
              <w:bottom w:val="nil"/>
              <w:right w:val="single" w:sz="4" w:space="0" w:color="auto"/>
            </w:tcBorders>
            <w:vAlign w:val="center"/>
          </w:tcPr>
          <w:p w:rsidR="00443EC1" w:rsidRDefault="00443EC1">
            <w:pPr>
              <w:bidi w:val="0"/>
              <w:spacing w:before="0" w:after="0" w:line="320" w:lineRule="exact"/>
              <w:jc w:val="left"/>
              <w:rPr>
                <w:sz w:val="28"/>
                <w:szCs w:val="28"/>
              </w:rPr>
            </w:pPr>
          </w:p>
        </w:tc>
        <w:tc>
          <w:tcPr>
            <w:tcW w:w="1304" w:type="dxa"/>
            <w:tcBorders>
              <w:top w:val="nil"/>
              <w:left w:val="single" w:sz="4" w:space="0" w:color="auto"/>
              <w:bottom w:val="nil"/>
              <w:right w:val="single" w:sz="4" w:space="0" w:color="auto"/>
            </w:tcBorders>
          </w:tcPr>
          <w:p w:rsidR="00443EC1" w:rsidRDefault="00443EC1">
            <w:pPr>
              <w:spacing w:before="0" w:after="0" w:line="320" w:lineRule="exact"/>
              <w:jc w:val="both"/>
              <w:rPr>
                <w:sz w:val="28"/>
                <w:szCs w:val="28"/>
              </w:rPr>
            </w:pPr>
            <w:r>
              <w:rPr>
                <w:rFonts w:hint="eastAsia"/>
                <w:sz w:val="28"/>
                <w:szCs w:val="28"/>
                <w:rtl/>
              </w:rPr>
              <w:t>إناث</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4.4</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1.1</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1.1</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1.5</w:t>
            </w:r>
          </w:p>
        </w:tc>
        <w:tc>
          <w:tcPr>
            <w:tcW w:w="1064"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0.7</w:t>
            </w:r>
          </w:p>
        </w:tc>
        <w:tc>
          <w:tcPr>
            <w:tcW w:w="940"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0.1</w:t>
            </w:r>
          </w:p>
        </w:tc>
        <w:tc>
          <w:tcPr>
            <w:tcW w:w="1188"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w:t>
            </w:r>
          </w:p>
        </w:tc>
      </w:tr>
      <w:tr w:rsidR="00443EC1" w:rsidTr="00443EC1">
        <w:trPr>
          <w:cantSplit/>
        </w:trPr>
        <w:tc>
          <w:tcPr>
            <w:tcW w:w="822" w:type="dxa"/>
            <w:vMerge w:val="restart"/>
            <w:tcBorders>
              <w:top w:val="nil"/>
              <w:left w:val="single" w:sz="4" w:space="0" w:color="auto"/>
              <w:bottom w:val="nil"/>
              <w:right w:val="single" w:sz="4" w:space="0" w:color="auto"/>
            </w:tcBorders>
          </w:tcPr>
          <w:p w:rsidR="00443EC1" w:rsidRDefault="00443EC1">
            <w:pPr>
              <w:spacing w:before="0" w:after="0" w:line="320" w:lineRule="exact"/>
              <w:jc w:val="both"/>
              <w:rPr>
                <w:sz w:val="28"/>
                <w:szCs w:val="28"/>
              </w:rPr>
            </w:pPr>
            <w:r>
              <w:rPr>
                <w:sz w:val="28"/>
                <w:szCs w:val="28"/>
                <w:rtl/>
              </w:rPr>
              <w:t>2001</w:t>
            </w:r>
          </w:p>
        </w:tc>
        <w:tc>
          <w:tcPr>
            <w:tcW w:w="1304" w:type="dxa"/>
            <w:tcBorders>
              <w:top w:val="nil"/>
              <w:left w:val="single" w:sz="4" w:space="0" w:color="auto"/>
              <w:bottom w:val="nil"/>
              <w:right w:val="single" w:sz="4" w:space="0" w:color="auto"/>
            </w:tcBorders>
          </w:tcPr>
          <w:p w:rsidR="00443EC1" w:rsidRDefault="00443EC1">
            <w:pPr>
              <w:spacing w:before="0" w:after="0" w:line="320" w:lineRule="exact"/>
              <w:jc w:val="both"/>
              <w:rPr>
                <w:sz w:val="28"/>
                <w:szCs w:val="28"/>
              </w:rPr>
            </w:pPr>
            <w:r>
              <w:rPr>
                <w:rFonts w:hint="eastAsia"/>
                <w:sz w:val="28"/>
                <w:szCs w:val="28"/>
                <w:rtl/>
              </w:rPr>
              <w:t>ذكور</w:t>
            </w:r>
            <w:r>
              <w:rPr>
                <w:sz w:val="28"/>
                <w:szCs w:val="28"/>
                <w:rtl/>
              </w:rPr>
              <w:t xml:space="preserve"> وإناث</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13.9</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2.7</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2.7</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4.9</w:t>
            </w:r>
          </w:p>
        </w:tc>
        <w:tc>
          <w:tcPr>
            <w:tcW w:w="1064"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3.0</w:t>
            </w:r>
          </w:p>
        </w:tc>
        <w:tc>
          <w:tcPr>
            <w:tcW w:w="940"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0.5</w:t>
            </w:r>
          </w:p>
        </w:tc>
        <w:tc>
          <w:tcPr>
            <w:tcW w:w="1188"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w:t>
            </w:r>
          </w:p>
        </w:tc>
      </w:tr>
      <w:tr w:rsidR="00443EC1" w:rsidTr="00443EC1">
        <w:trPr>
          <w:cantSplit/>
        </w:trPr>
        <w:tc>
          <w:tcPr>
            <w:tcW w:w="0" w:type="auto"/>
            <w:vMerge/>
            <w:tcBorders>
              <w:top w:val="nil"/>
              <w:left w:val="single" w:sz="4" w:space="0" w:color="auto"/>
              <w:bottom w:val="nil"/>
              <w:right w:val="single" w:sz="4" w:space="0" w:color="auto"/>
            </w:tcBorders>
            <w:vAlign w:val="center"/>
          </w:tcPr>
          <w:p w:rsidR="00443EC1" w:rsidRDefault="00443EC1">
            <w:pPr>
              <w:bidi w:val="0"/>
              <w:spacing w:before="0" w:after="0" w:line="320" w:lineRule="exact"/>
              <w:jc w:val="left"/>
              <w:rPr>
                <w:sz w:val="28"/>
                <w:szCs w:val="28"/>
              </w:rPr>
            </w:pPr>
          </w:p>
        </w:tc>
        <w:tc>
          <w:tcPr>
            <w:tcW w:w="1304" w:type="dxa"/>
            <w:tcBorders>
              <w:top w:val="nil"/>
              <w:left w:val="single" w:sz="4" w:space="0" w:color="auto"/>
              <w:bottom w:val="nil"/>
              <w:right w:val="single" w:sz="4" w:space="0" w:color="auto"/>
            </w:tcBorders>
          </w:tcPr>
          <w:p w:rsidR="00443EC1" w:rsidRDefault="00443EC1">
            <w:pPr>
              <w:spacing w:before="0" w:after="0" w:line="320" w:lineRule="exact"/>
              <w:jc w:val="both"/>
              <w:rPr>
                <w:sz w:val="28"/>
                <w:szCs w:val="28"/>
              </w:rPr>
            </w:pPr>
            <w:r>
              <w:rPr>
                <w:rFonts w:hint="eastAsia"/>
                <w:sz w:val="28"/>
                <w:szCs w:val="28"/>
                <w:rtl/>
              </w:rPr>
              <w:t>ذكور</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9.4</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1.7</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1.7</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3.1</w:t>
            </w:r>
          </w:p>
        </w:tc>
        <w:tc>
          <w:tcPr>
            <w:tcW w:w="1064"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2.5</w:t>
            </w:r>
          </w:p>
        </w:tc>
        <w:tc>
          <w:tcPr>
            <w:tcW w:w="940"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0.4</w:t>
            </w:r>
          </w:p>
        </w:tc>
        <w:tc>
          <w:tcPr>
            <w:tcW w:w="1188"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w:t>
            </w:r>
          </w:p>
        </w:tc>
      </w:tr>
      <w:tr w:rsidR="00443EC1" w:rsidTr="00443EC1">
        <w:trPr>
          <w:cantSplit/>
        </w:trPr>
        <w:tc>
          <w:tcPr>
            <w:tcW w:w="0" w:type="auto"/>
            <w:vMerge/>
            <w:tcBorders>
              <w:top w:val="nil"/>
              <w:left w:val="single" w:sz="4" w:space="0" w:color="auto"/>
              <w:bottom w:val="nil"/>
              <w:right w:val="single" w:sz="4" w:space="0" w:color="auto"/>
            </w:tcBorders>
            <w:vAlign w:val="center"/>
          </w:tcPr>
          <w:p w:rsidR="00443EC1" w:rsidRDefault="00443EC1">
            <w:pPr>
              <w:bidi w:val="0"/>
              <w:spacing w:before="0" w:after="0" w:line="320" w:lineRule="exact"/>
              <w:jc w:val="left"/>
              <w:rPr>
                <w:sz w:val="28"/>
                <w:szCs w:val="28"/>
              </w:rPr>
            </w:pPr>
          </w:p>
        </w:tc>
        <w:tc>
          <w:tcPr>
            <w:tcW w:w="1304" w:type="dxa"/>
            <w:tcBorders>
              <w:top w:val="nil"/>
              <w:left w:val="single" w:sz="4" w:space="0" w:color="auto"/>
              <w:bottom w:val="nil"/>
              <w:right w:val="single" w:sz="4" w:space="0" w:color="auto"/>
            </w:tcBorders>
          </w:tcPr>
          <w:p w:rsidR="00443EC1" w:rsidRDefault="00443EC1">
            <w:pPr>
              <w:spacing w:before="0" w:after="0" w:line="320" w:lineRule="exact"/>
              <w:jc w:val="both"/>
              <w:rPr>
                <w:sz w:val="28"/>
                <w:szCs w:val="28"/>
              </w:rPr>
            </w:pPr>
            <w:r>
              <w:rPr>
                <w:rFonts w:hint="eastAsia"/>
                <w:sz w:val="28"/>
                <w:szCs w:val="28"/>
                <w:rtl/>
              </w:rPr>
              <w:t>إناث</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4.5</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1.0</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1.0</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1.8</w:t>
            </w:r>
          </w:p>
        </w:tc>
        <w:tc>
          <w:tcPr>
            <w:tcW w:w="1064"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0.5</w:t>
            </w:r>
          </w:p>
        </w:tc>
        <w:tc>
          <w:tcPr>
            <w:tcW w:w="940"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0.1</w:t>
            </w:r>
          </w:p>
        </w:tc>
        <w:tc>
          <w:tcPr>
            <w:tcW w:w="1188"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w:t>
            </w:r>
          </w:p>
        </w:tc>
      </w:tr>
      <w:tr w:rsidR="00443EC1" w:rsidTr="00443EC1">
        <w:trPr>
          <w:cantSplit/>
        </w:trPr>
        <w:tc>
          <w:tcPr>
            <w:tcW w:w="822" w:type="dxa"/>
            <w:vMerge w:val="restart"/>
            <w:tcBorders>
              <w:top w:val="nil"/>
              <w:left w:val="single" w:sz="4" w:space="0" w:color="auto"/>
              <w:bottom w:val="single" w:sz="4" w:space="0" w:color="auto"/>
              <w:right w:val="single" w:sz="4" w:space="0" w:color="auto"/>
            </w:tcBorders>
          </w:tcPr>
          <w:p w:rsidR="00443EC1" w:rsidRDefault="00443EC1">
            <w:pPr>
              <w:spacing w:before="0" w:after="0" w:line="320" w:lineRule="exact"/>
              <w:jc w:val="both"/>
              <w:rPr>
                <w:sz w:val="28"/>
                <w:szCs w:val="28"/>
              </w:rPr>
            </w:pPr>
            <w:r>
              <w:rPr>
                <w:sz w:val="28"/>
                <w:szCs w:val="28"/>
                <w:rtl/>
              </w:rPr>
              <w:t>2002</w:t>
            </w:r>
          </w:p>
        </w:tc>
        <w:tc>
          <w:tcPr>
            <w:tcW w:w="1304" w:type="dxa"/>
            <w:tcBorders>
              <w:top w:val="nil"/>
              <w:left w:val="single" w:sz="4" w:space="0" w:color="auto"/>
              <w:bottom w:val="nil"/>
              <w:right w:val="single" w:sz="4" w:space="0" w:color="auto"/>
            </w:tcBorders>
          </w:tcPr>
          <w:p w:rsidR="00443EC1" w:rsidRDefault="00443EC1">
            <w:pPr>
              <w:spacing w:before="0" w:after="0" w:line="320" w:lineRule="exact"/>
              <w:jc w:val="both"/>
              <w:rPr>
                <w:sz w:val="28"/>
                <w:szCs w:val="28"/>
              </w:rPr>
            </w:pPr>
            <w:r>
              <w:rPr>
                <w:rFonts w:hint="eastAsia"/>
                <w:sz w:val="28"/>
                <w:szCs w:val="28"/>
                <w:rtl/>
              </w:rPr>
              <w:t>ذكور</w:t>
            </w:r>
            <w:r>
              <w:rPr>
                <w:sz w:val="28"/>
                <w:szCs w:val="28"/>
                <w:rtl/>
              </w:rPr>
              <w:t xml:space="preserve"> وإناث</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13.4</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2.7</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2.3</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4.5</w:t>
            </w:r>
          </w:p>
        </w:tc>
        <w:tc>
          <w:tcPr>
            <w:tcW w:w="1064"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3.1</w:t>
            </w:r>
          </w:p>
        </w:tc>
        <w:tc>
          <w:tcPr>
            <w:tcW w:w="940"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0.8</w:t>
            </w:r>
          </w:p>
        </w:tc>
        <w:tc>
          <w:tcPr>
            <w:tcW w:w="1188"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w:t>
            </w:r>
          </w:p>
        </w:tc>
      </w:tr>
      <w:tr w:rsidR="00443EC1" w:rsidTr="00443EC1">
        <w:trPr>
          <w:cantSplit/>
        </w:trPr>
        <w:tc>
          <w:tcPr>
            <w:tcW w:w="0" w:type="auto"/>
            <w:vMerge/>
            <w:tcBorders>
              <w:top w:val="nil"/>
              <w:left w:val="single" w:sz="4" w:space="0" w:color="auto"/>
              <w:bottom w:val="single" w:sz="4" w:space="0" w:color="auto"/>
              <w:right w:val="single" w:sz="4" w:space="0" w:color="auto"/>
            </w:tcBorders>
            <w:vAlign w:val="center"/>
          </w:tcPr>
          <w:p w:rsidR="00443EC1" w:rsidRDefault="00443EC1">
            <w:pPr>
              <w:bidi w:val="0"/>
              <w:spacing w:before="0" w:after="0" w:line="320" w:lineRule="exact"/>
              <w:jc w:val="left"/>
              <w:rPr>
                <w:sz w:val="28"/>
                <w:szCs w:val="28"/>
              </w:rPr>
            </w:pPr>
          </w:p>
        </w:tc>
        <w:tc>
          <w:tcPr>
            <w:tcW w:w="1304" w:type="dxa"/>
            <w:tcBorders>
              <w:top w:val="nil"/>
              <w:left w:val="single" w:sz="4" w:space="0" w:color="auto"/>
              <w:bottom w:val="nil"/>
              <w:right w:val="single" w:sz="4" w:space="0" w:color="auto"/>
            </w:tcBorders>
          </w:tcPr>
          <w:p w:rsidR="00443EC1" w:rsidRDefault="00443EC1">
            <w:pPr>
              <w:spacing w:before="0" w:after="0" w:line="320" w:lineRule="exact"/>
              <w:jc w:val="both"/>
              <w:rPr>
                <w:sz w:val="28"/>
                <w:szCs w:val="28"/>
              </w:rPr>
            </w:pPr>
            <w:r>
              <w:rPr>
                <w:rFonts w:hint="eastAsia"/>
                <w:sz w:val="28"/>
                <w:szCs w:val="28"/>
                <w:rtl/>
              </w:rPr>
              <w:t>ذكور</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8.9</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1.7</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1.5</w:t>
            </w:r>
          </w:p>
        </w:tc>
        <w:tc>
          <w:tcPr>
            <w:tcW w:w="1063"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2.9</w:t>
            </w:r>
          </w:p>
        </w:tc>
        <w:tc>
          <w:tcPr>
            <w:tcW w:w="1064"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2.2</w:t>
            </w:r>
          </w:p>
        </w:tc>
        <w:tc>
          <w:tcPr>
            <w:tcW w:w="940"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0.6</w:t>
            </w:r>
          </w:p>
        </w:tc>
        <w:tc>
          <w:tcPr>
            <w:tcW w:w="1188" w:type="dxa"/>
            <w:tcBorders>
              <w:top w:val="nil"/>
              <w:left w:val="single" w:sz="4" w:space="0" w:color="auto"/>
              <w:bottom w:val="nil"/>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w:t>
            </w:r>
          </w:p>
        </w:tc>
      </w:tr>
      <w:tr w:rsidR="00443EC1" w:rsidTr="00443EC1">
        <w:trPr>
          <w:cantSplit/>
        </w:trPr>
        <w:tc>
          <w:tcPr>
            <w:tcW w:w="0" w:type="auto"/>
            <w:vMerge/>
            <w:tcBorders>
              <w:top w:val="nil"/>
              <w:left w:val="single" w:sz="4" w:space="0" w:color="auto"/>
              <w:bottom w:val="single" w:sz="4" w:space="0" w:color="auto"/>
              <w:right w:val="single" w:sz="4" w:space="0" w:color="auto"/>
            </w:tcBorders>
            <w:vAlign w:val="center"/>
          </w:tcPr>
          <w:p w:rsidR="00443EC1" w:rsidRDefault="00443EC1">
            <w:pPr>
              <w:bidi w:val="0"/>
              <w:spacing w:before="0" w:after="0" w:line="320" w:lineRule="exact"/>
              <w:jc w:val="left"/>
              <w:rPr>
                <w:sz w:val="28"/>
                <w:szCs w:val="28"/>
              </w:rPr>
            </w:pPr>
          </w:p>
        </w:tc>
        <w:tc>
          <w:tcPr>
            <w:tcW w:w="1304" w:type="dxa"/>
            <w:tcBorders>
              <w:top w:val="nil"/>
              <w:left w:val="single" w:sz="4" w:space="0" w:color="auto"/>
              <w:bottom w:val="single" w:sz="4" w:space="0" w:color="auto"/>
              <w:right w:val="single" w:sz="4" w:space="0" w:color="auto"/>
            </w:tcBorders>
          </w:tcPr>
          <w:p w:rsidR="00443EC1" w:rsidRDefault="00443EC1">
            <w:pPr>
              <w:spacing w:before="0" w:after="0" w:line="320" w:lineRule="exact"/>
              <w:jc w:val="both"/>
              <w:rPr>
                <w:sz w:val="28"/>
                <w:szCs w:val="28"/>
              </w:rPr>
            </w:pPr>
            <w:r>
              <w:rPr>
                <w:rFonts w:hint="eastAsia"/>
                <w:sz w:val="28"/>
                <w:szCs w:val="28"/>
                <w:rtl/>
              </w:rPr>
              <w:t>إناث</w:t>
            </w:r>
          </w:p>
        </w:tc>
        <w:tc>
          <w:tcPr>
            <w:tcW w:w="1063" w:type="dxa"/>
            <w:tcBorders>
              <w:top w:val="nil"/>
              <w:left w:val="single" w:sz="4" w:space="0" w:color="auto"/>
              <w:bottom w:val="single" w:sz="4" w:space="0" w:color="auto"/>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4.5</w:t>
            </w:r>
          </w:p>
        </w:tc>
        <w:tc>
          <w:tcPr>
            <w:tcW w:w="1063" w:type="dxa"/>
            <w:tcBorders>
              <w:top w:val="nil"/>
              <w:left w:val="single" w:sz="4" w:space="0" w:color="auto"/>
              <w:bottom w:val="single" w:sz="4" w:space="0" w:color="auto"/>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1.0</w:t>
            </w:r>
          </w:p>
        </w:tc>
        <w:tc>
          <w:tcPr>
            <w:tcW w:w="1063" w:type="dxa"/>
            <w:tcBorders>
              <w:top w:val="nil"/>
              <w:left w:val="single" w:sz="4" w:space="0" w:color="auto"/>
              <w:bottom w:val="single" w:sz="4" w:space="0" w:color="auto"/>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0.5</w:t>
            </w:r>
          </w:p>
        </w:tc>
        <w:tc>
          <w:tcPr>
            <w:tcW w:w="1063" w:type="dxa"/>
            <w:tcBorders>
              <w:top w:val="nil"/>
              <w:left w:val="single" w:sz="4" w:space="0" w:color="auto"/>
              <w:bottom w:val="single" w:sz="4" w:space="0" w:color="auto"/>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1.6</w:t>
            </w:r>
          </w:p>
        </w:tc>
        <w:tc>
          <w:tcPr>
            <w:tcW w:w="1064" w:type="dxa"/>
            <w:tcBorders>
              <w:top w:val="nil"/>
              <w:left w:val="single" w:sz="4" w:space="0" w:color="auto"/>
              <w:bottom w:val="single" w:sz="4" w:space="0" w:color="auto"/>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0.9</w:t>
            </w:r>
          </w:p>
        </w:tc>
        <w:tc>
          <w:tcPr>
            <w:tcW w:w="940" w:type="dxa"/>
            <w:tcBorders>
              <w:top w:val="nil"/>
              <w:left w:val="single" w:sz="4" w:space="0" w:color="auto"/>
              <w:bottom w:val="single" w:sz="4" w:space="0" w:color="auto"/>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0.2</w:t>
            </w:r>
          </w:p>
        </w:tc>
        <w:tc>
          <w:tcPr>
            <w:tcW w:w="1188" w:type="dxa"/>
            <w:tcBorders>
              <w:top w:val="nil"/>
              <w:left w:val="single" w:sz="4" w:space="0" w:color="auto"/>
              <w:bottom w:val="single" w:sz="4" w:space="0" w:color="auto"/>
              <w:right w:val="single" w:sz="4" w:space="0" w:color="auto"/>
            </w:tcBorders>
          </w:tcPr>
          <w:p w:rsidR="00443EC1" w:rsidRDefault="00443EC1">
            <w:pPr>
              <w:spacing w:before="0" w:after="0" w:line="320" w:lineRule="exact"/>
              <w:jc w:val="both"/>
              <w:rPr>
                <w:rFonts w:hint="cs"/>
                <w:sz w:val="28"/>
                <w:szCs w:val="28"/>
              </w:rPr>
            </w:pPr>
            <w:r>
              <w:rPr>
                <w:rFonts w:hint="cs"/>
                <w:sz w:val="28"/>
                <w:szCs w:val="28"/>
                <w:rtl/>
              </w:rPr>
              <w:t>-</w:t>
            </w:r>
          </w:p>
        </w:tc>
      </w:tr>
    </w:tbl>
    <w:p w:rsidR="00000000" w:rsidRDefault="00443EC1">
      <w:pPr>
        <w:spacing w:before="60" w:after="60" w:line="380" w:lineRule="exact"/>
        <w:jc w:val="both"/>
      </w:pPr>
      <w:r>
        <w:rPr>
          <w:i/>
          <w:iCs/>
          <w:rtl/>
        </w:rPr>
        <w:tab/>
      </w:r>
      <w:r>
        <w:rPr>
          <w:rFonts w:hint="eastAsia"/>
          <w:i/>
          <w:iCs/>
          <w:rtl/>
        </w:rPr>
        <w:t>المصدر</w:t>
      </w:r>
      <w:r>
        <w:rPr>
          <w:rtl/>
        </w:rPr>
        <w:t>:</w:t>
      </w:r>
      <w:r>
        <w:rPr>
          <w:rtl/>
        </w:rPr>
        <w:tab/>
      </w:r>
      <w:r>
        <w:rPr>
          <w:rFonts w:hint="eastAsia"/>
          <w:rtl/>
        </w:rPr>
        <w:t>الدراسة</w:t>
      </w:r>
      <w:r>
        <w:rPr>
          <w:rtl/>
        </w:rPr>
        <w:t xml:space="preserve"> الاستقصائية عن العمالة، إدارة الإحصاء </w:t>
      </w:r>
      <w:r>
        <w:rPr>
          <w:rFonts w:hint="eastAsia"/>
          <w:rtl/>
        </w:rPr>
        <w:t>والتعداد</w:t>
      </w:r>
      <w:r>
        <w:rPr>
          <w:rtl/>
        </w:rPr>
        <w:t>.</w:t>
      </w:r>
    </w:p>
    <w:p w:rsidR="00000000" w:rsidRDefault="00443EC1">
      <w:pPr>
        <w:spacing w:line="380" w:lineRule="exact"/>
        <w:jc w:val="both"/>
        <w:rPr>
          <w:rFonts w:hint="cs"/>
          <w:rtl/>
        </w:rPr>
      </w:pPr>
      <w:r>
        <w:rPr>
          <w:rFonts w:hint="cs"/>
          <w:rtl/>
        </w:rPr>
        <w:t>867-</w:t>
      </w:r>
      <w:r>
        <w:rPr>
          <w:rFonts w:hint="cs"/>
          <w:rtl/>
        </w:rPr>
        <w:tab/>
        <w:t>وتوخيا لمكافحة حالات التمييز في مكان العمل، طورت إدارة العمل والعمالة آليات عديدة مثل حمل</w:t>
      </w:r>
      <w:r>
        <w:rPr>
          <w:rFonts w:hint="cs"/>
          <w:rtl/>
        </w:rPr>
        <w:t>ات التوعية والرصد. والإدارة مسؤولة عن تأمين تطابق علاقات العمل مع القانون وعن حماية حقوق العمال (المادة 16 من المرسوم بقانون 52/95/م).</w:t>
      </w:r>
    </w:p>
    <w:p w:rsidR="00000000" w:rsidRDefault="00443EC1">
      <w:pPr>
        <w:spacing w:line="380" w:lineRule="exact"/>
        <w:jc w:val="both"/>
        <w:rPr>
          <w:rFonts w:hint="cs"/>
          <w:rtl/>
        </w:rPr>
      </w:pPr>
      <w:r>
        <w:rPr>
          <w:rFonts w:hint="cs"/>
          <w:rtl/>
        </w:rPr>
        <w:t>868-</w:t>
      </w:r>
      <w:r>
        <w:rPr>
          <w:rFonts w:hint="cs"/>
          <w:rtl/>
        </w:rPr>
        <w:tab/>
        <w:t>ويحق لجميع العمال تقديم شكاوى لدى إدارة العمل والعمالة بموجب المادة 16 من المرسوم بقانون السابق الذكر. ولم تُقدَّم أ</w:t>
      </w:r>
      <w:r>
        <w:rPr>
          <w:rFonts w:hint="cs"/>
          <w:rtl/>
        </w:rPr>
        <w:t>ي شكوى بسبب التعرض للتمييز.</w:t>
      </w:r>
    </w:p>
    <w:p w:rsidR="00000000" w:rsidRDefault="00443EC1">
      <w:pPr>
        <w:spacing w:line="380" w:lineRule="exact"/>
        <w:jc w:val="both"/>
        <w:rPr>
          <w:rFonts w:hint="cs"/>
          <w:b/>
          <w:bCs/>
          <w:rtl/>
        </w:rPr>
      </w:pPr>
      <w:r>
        <w:rPr>
          <w:rFonts w:hint="cs"/>
          <w:b/>
          <w:bCs/>
          <w:rtl/>
        </w:rPr>
        <w:t>التمييز الإيجابي</w:t>
      </w:r>
    </w:p>
    <w:p w:rsidR="00000000" w:rsidRDefault="00443EC1">
      <w:pPr>
        <w:spacing w:line="380" w:lineRule="exact"/>
        <w:jc w:val="both"/>
        <w:rPr>
          <w:rFonts w:hint="cs"/>
          <w:rtl/>
        </w:rPr>
      </w:pPr>
      <w:r>
        <w:rPr>
          <w:rFonts w:hint="cs"/>
          <w:rtl/>
        </w:rPr>
        <w:t>869-</w:t>
      </w:r>
      <w:r>
        <w:rPr>
          <w:rFonts w:hint="cs"/>
          <w:rtl/>
        </w:rPr>
        <w:tab/>
        <w:t>تنص المادة 38(2) و(3) من القانون الأساسي بوضوح على الاعتراف بحاجة فئات معينة من السكان، مثل النساء والقاصرين والمعاقين، إلى حماية خاصة.</w:t>
      </w:r>
    </w:p>
    <w:p w:rsidR="00000000" w:rsidRDefault="00443EC1">
      <w:pPr>
        <w:spacing w:line="380" w:lineRule="exact"/>
        <w:jc w:val="both"/>
        <w:rPr>
          <w:rFonts w:hint="cs"/>
          <w:rtl/>
        </w:rPr>
      </w:pPr>
      <w:r>
        <w:rPr>
          <w:rFonts w:hint="cs"/>
          <w:rtl/>
        </w:rPr>
        <w:t>870-</w:t>
      </w:r>
      <w:r>
        <w:rPr>
          <w:rFonts w:hint="cs"/>
          <w:rtl/>
        </w:rPr>
        <w:tab/>
        <w:t>والمعاملة التفضيلية لفائدة النساء والقاصرين والمعاقين مسموح بها ت</w:t>
      </w:r>
      <w:r>
        <w:rPr>
          <w:rFonts w:hint="cs"/>
          <w:rtl/>
        </w:rPr>
        <w:t>وخيا لجبر الأضرار الناتجة عن التفاوت أو حالات التعسف المفروضة بحكم الواقع.</w:t>
      </w:r>
    </w:p>
    <w:p w:rsidR="00000000" w:rsidRDefault="00443EC1">
      <w:pPr>
        <w:spacing w:line="380" w:lineRule="exact"/>
        <w:jc w:val="both"/>
        <w:rPr>
          <w:rFonts w:hint="cs"/>
          <w:rtl/>
        </w:rPr>
      </w:pPr>
      <w:r>
        <w:rPr>
          <w:rFonts w:hint="cs"/>
          <w:rtl/>
        </w:rPr>
        <w:t>871-</w:t>
      </w:r>
      <w:r>
        <w:rPr>
          <w:rFonts w:hint="cs"/>
          <w:rtl/>
        </w:rPr>
        <w:tab/>
        <w:t xml:space="preserve">وفي هذا الإطار، تحظر تشريعات العمالة أو تحد من بعض أنشطة العمل التي يمكن أن تهدد (أو تولد خطراً </w:t>
      </w:r>
      <w:r>
        <w:rPr>
          <w:rFonts w:hint="cs"/>
          <w:spacing w:val="2"/>
          <w:rtl/>
        </w:rPr>
        <w:t>محتملاً) للنماء البدني أو الروحي أو الأخلاقي للقاصرين (المادتان 35 و40 من المرسو</w:t>
      </w:r>
      <w:r>
        <w:rPr>
          <w:rFonts w:hint="cs"/>
          <w:spacing w:val="2"/>
          <w:rtl/>
        </w:rPr>
        <w:t>م بقانون 24/89/م) أو ظروف الحمل أو الولادة لدى النساء (المادة 34(3) من المرسوم بقانون 24/89/م  والمادة 5(2) من القانون 4/</w:t>
      </w:r>
      <w:r>
        <w:rPr>
          <w:rFonts w:hint="cs"/>
          <w:rtl/>
        </w:rPr>
        <w:t>98/م).</w:t>
      </w:r>
    </w:p>
    <w:p w:rsidR="00000000" w:rsidRDefault="00443EC1">
      <w:pPr>
        <w:spacing w:line="380" w:lineRule="exact"/>
        <w:jc w:val="both"/>
        <w:rPr>
          <w:rFonts w:hint="cs"/>
          <w:rtl/>
        </w:rPr>
      </w:pPr>
      <w:r>
        <w:rPr>
          <w:rFonts w:hint="cs"/>
          <w:rtl/>
        </w:rPr>
        <w:t>872-</w:t>
      </w:r>
      <w:r>
        <w:rPr>
          <w:rFonts w:hint="cs"/>
          <w:rtl/>
        </w:rPr>
        <w:tab/>
        <w:t xml:space="preserve">كما ينص قانون </w:t>
      </w:r>
      <w:r>
        <w:rPr>
          <w:rFonts w:hint="eastAsia"/>
          <w:rtl/>
        </w:rPr>
        <w:t>المساواة</w:t>
      </w:r>
      <w:r>
        <w:t xml:space="preserve"> </w:t>
      </w:r>
      <w:r>
        <w:rPr>
          <w:rtl/>
        </w:rPr>
        <w:t xml:space="preserve">في </w:t>
      </w:r>
      <w:r>
        <w:rPr>
          <w:rFonts w:hint="cs"/>
          <w:rtl/>
        </w:rPr>
        <w:t>الفرص و</w:t>
      </w:r>
      <w:r>
        <w:rPr>
          <w:rFonts w:hint="eastAsia"/>
          <w:rtl/>
        </w:rPr>
        <w:t>المساواة</w:t>
      </w:r>
      <w:r>
        <w:t xml:space="preserve"> </w:t>
      </w:r>
      <w:r>
        <w:rPr>
          <w:rtl/>
        </w:rPr>
        <w:t xml:space="preserve">في </w:t>
      </w:r>
      <w:r>
        <w:rPr>
          <w:rFonts w:hint="cs"/>
          <w:rtl/>
        </w:rPr>
        <w:t>المعاملة على أحكام محددة لفائدة النساء تتعلق بالحمل أو الولادة للحد من بعض فئا</w:t>
      </w:r>
      <w:r>
        <w:rPr>
          <w:rFonts w:hint="cs"/>
          <w:rtl/>
        </w:rPr>
        <w:t>ت العمل أو حظرها، إذا كانت تشكل خطراً محتملاً على صحتهن (المادة 8).</w:t>
      </w:r>
    </w:p>
    <w:p w:rsidR="00000000" w:rsidRDefault="00443EC1">
      <w:pPr>
        <w:spacing w:line="380" w:lineRule="exact"/>
        <w:jc w:val="both"/>
        <w:rPr>
          <w:rFonts w:hint="cs"/>
          <w:rtl/>
        </w:rPr>
      </w:pPr>
      <w:r>
        <w:rPr>
          <w:rFonts w:hint="cs"/>
          <w:rtl/>
        </w:rPr>
        <w:t>873-</w:t>
      </w:r>
      <w:r>
        <w:rPr>
          <w:rFonts w:hint="cs"/>
          <w:rtl/>
        </w:rPr>
        <w:tab/>
        <w:t>ودون الإخلال بسُبل الانتصاف القضائية، يمكن لإدارة العمل والعمالة، في صورة ثبت انتهاك الأحكام السالفة الذكر، أن تُغرّم أصحاب العمل بمبلغ أقصاه 500 12 باتاكا ماكاوية عن كل عامل لكل مخال</w:t>
      </w:r>
      <w:r>
        <w:rPr>
          <w:rFonts w:hint="cs"/>
          <w:rtl/>
        </w:rPr>
        <w:t>فة (المادة 50 من المرسوم بقانون 24/89/م  والمادة 15 من المرسوم بقانون 52/95/م).</w:t>
      </w:r>
    </w:p>
    <w:p w:rsidR="00000000" w:rsidRDefault="00443EC1">
      <w:pPr>
        <w:spacing w:line="380" w:lineRule="exact"/>
        <w:jc w:val="center"/>
        <w:rPr>
          <w:rFonts w:hint="cs"/>
          <w:b/>
          <w:bCs/>
          <w:rtl/>
        </w:rPr>
      </w:pPr>
      <w:r>
        <w:rPr>
          <w:rFonts w:hint="cs"/>
          <w:b/>
          <w:bCs/>
          <w:rtl/>
        </w:rPr>
        <w:t>المادة 7</w:t>
      </w:r>
      <w:r>
        <w:rPr>
          <w:b/>
          <w:bCs/>
          <w:rtl/>
        </w:rPr>
        <w:br/>
        <w:t>الحق في التمتع بشروط عمل عادلة و</w:t>
      </w:r>
      <w:r>
        <w:rPr>
          <w:rFonts w:hint="cs"/>
          <w:b/>
          <w:bCs/>
          <w:rtl/>
        </w:rPr>
        <w:t>ملائمة</w:t>
      </w:r>
    </w:p>
    <w:p w:rsidR="00000000" w:rsidRDefault="00443EC1">
      <w:pPr>
        <w:spacing w:line="380" w:lineRule="exact"/>
        <w:jc w:val="center"/>
        <w:rPr>
          <w:rFonts w:hint="cs"/>
          <w:b/>
          <w:bCs/>
          <w:rtl/>
        </w:rPr>
      </w:pPr>
      <w:r>
        <w:rPr>
          <w:rFonts w:hint="cs"/>
          <w:b/>
          <w:bCs/>
          <w:rtl/>
        </w:rPr>
        <w:t>ألف - الإطار القانوني</w:t>
      </w:r>
    </w:p>
    <w:p w:rsidR="00000000" w:rsidRDefault="00443EC1">
      <w:pPr>
        <w:spacing w:line="380" w:lineRule="exact"/>
        <w:jc w:val="both"/>
        <w:rPr>
          <w:rFonts w:hint="cs"/>
          <w:rtl/>
        </w:rPr>
      </w:pPr>
      <w:r>
        <w:rPr>
          <w:rFonts w:hint="cs"/>
          <w:rtl/>
        </w:rPr>
        <w:t>874-</w:t>
      </w:r>
      <w:r>
        <w:rPr>
          <w:rFonts w:hint="cs"/>
          <w:rtl/>
        </w:rPr>
        <w:tab/>
        <w:t>تُطبَّق جميع اتفاقيات منظمة العمل الدولية التالية في مقاطعة ماكاو:</w:t>
      </w:r>
    </w:p>
    <w:p w:rsidR="00000000" w:rsidRDefault="00443EC1">
      <w:pPr>
        <w:spacing w:before="60" w:after="60" w:line="380" w:lineRule="exact"/>
        <w:ind w:left="1440" w:hanging="720"/>
        <w:jc w:val="both"/>
        <w:rPr>
          <w:rFonts w:hint="cs"/>
          <w:rtl/>
        </w:rPr>
      </w:pPr>
      <w:r>
        <w:rPr>
          <w:rFonts w:hint="cs"/>
          <w:rtl/>
        </w:rPr>
        <w:t>-</w:t>
      </w:r>
      <w:r>
        <w:rPr>
          <w:rFonts w:hint="cs"/>
          <w:rtl/>
        </w:rPr>
        <w:tab/>
        <w:t>اتفاقية تطبيق الراحة الأسبوعية ف</w:t>
      </w:r>
      <w:r>
        <w:rPr>
          <w:rFonts w:hint="cs"/>
          <w:rtl/>
        </w:rPr>
        <w:t>ي المنشآت الصناعية لعام 1921 (رقم 14)؛</w:t>
      </w:r>
    </w:p>
    <w:p w:rsidR="00000000" w:rsidRDefault="00443EC1">
      <w:pPr>
        <w:spacing w:before="60" w:after="60" w:line="380" w:lineRule="exact"/>
        <w:ind w:left="1440" w:hanging="720"/>
        <w:jc w:val="both"/>
        <w:rPr>
          <w:rFonts w:hint="cs"/>
          <w:rtl/>
        </w:rPr>
      </w:pPr>
      <w:r>
        <w:rPr>
          <w:rFonts w:hint="cs"/>
          <w:rtl/>
        </w:rPr>
        <w:t>-</w:t>
      </w:r>
      <w:r>
        <w:rPr>
          <w:rFonts w:hint="cs"/>
          <w:rtl/>
        </w:rPr>
        <w:tab/>
        <w:t>الاتفاقية بشأن تفتيش العمل في الصناعة والتجارة لعام 1947 (رقم 81)؛</w:t>
      </w:r>
    </w:p>
    <w:p w:rsidR="00000000" w:rsidRDefault="00443EC1">
      <w:pPr>
        <w:spacing w:before="60" w:after="60" w:line="380" w:lineRule="exact"/>
        <w:ind w:left="1440" w:hanging="720"/>
        <w:jc w:val="both"/>
        <w:rPr>
          <w:rFonts w:hint="cs"/>
          <w:rtl/>
        </w:rPr>
      </w:pPr>
      <w:r>
        <w:rPr>
          <w:rFonts w:hint="cs"/>
          <w:rtl/>
        </w:rPr>
        <w:t>-</w:t>
      </w:r>
      <w:r>
        <w:rPr>
          <w:rFonts w:hint="cs"/>
          <w:rtl/>
        </w:rPr>
        <w:tab/>
        <w:t>الاتفاقية بشأن مساواة العمـال والعامـلات في الأجر عن عمل ذي قيمة متساوية لعام 1951 (رقم 100)؛</w:t>
      </w:r>
    </w:p>
    <w:p w:rsidR="00000000" w:rsidRDefault="00443EC1">
      <w:pPr>
        <w:spacing w:before="60" w:after="60" w:line="380" w:lineRule="exact"/>
        <w:ind w:left="1440" w:hanging="720"/>
        <w:jc w:val="both"/>
        <w:rPr>
          <w:rFonts w:hint="cs"/>
          <w:rtl/>
        </w:rPr>
      </w:pPr>
      <w:r>
        <w:rPr>
          <w:rFonts w:hint="cs"/>
          <w:rtl/>
        </w:rPr>
        <w:t>-</w:t>
      </w:r>
      <w:r>
        <w:rPr>
          <w:rFonts w:hint="cs"/>
          <w:rtl/>
        </w:rPr>
        <w:tab/>
        <w:t>الاتفاقية بشأن الراحة الأسبوعية في التجارة والمكات</w:t>
      </w:r>
      <w:r>
        <w:rPr>
          <w:rFonts w:hint="cs"/>
          <w:rtl/>
        </w:rPr>
        <w:t>ب لعام 1957 (رقم 106)؛</w:t>
      </w:r>
    </w:p>
    <w:p w:rsidR="00000000" w:rsidRDefault="00443EC1">
      <w:pPr>
        <w:spacing w:before="60" w:after="60" w:line="380" w:lineRule="exact"/>
        <w:ind w:left="1440" w:hanging="720"/>
        <w:jc w:val="both"/>
        <w:rPr>
          <w:rFonts w:hint="cs"/>
          <w:rtl/>
        </w:rPr>
      </w:pPr>
      <w:r>
        <w:rPr>
          <w:rFonts w:hint="cs"/>
          <w:rtl/>
        </w:rPr>
        <w:t>-</w:t>
      </w:r>
      <w:r>
        <w:rPr>
          <w:rFonts w:hint="cs"/>
          <w:rtl/>
        </w:rPr>
        <w:tab/>
        <w:t>اتفاقية السلامة والصحة المهنيتين وبيئة العمل لعام 1981 (رقم 155).</w:t>
      </w:r>
    </w:p>
    <w:p w:rsidR="00000000" w:rsidRDefault="00443EC1">
      <w:pPr>
        <w:spacing w:line="380" w:lineRule="exact"/>
        <w:jc w:val="both"/>
        <w:rPr>
          <w:rFonts w:hint="cs"/>
          <w:spacing w:val="-2"/>
          <w:rtl/>
        </w:rPr>
      </w:pPr>
      <w:r>
        <w:rPr>
          <w:rFonts w:hint="cs"/>
          <w:spacing w:val="0"/>
          <w:rtl/>
        </w:rPr>
        <w:t>875-</w:t>
      </w:r>
      <w:r>
        <w:rPr>
          <w:rFonts w:hint="cs"/>
          <w:spacing w:val="0"/>
          <w:rtl/>
        </w:rPr>
        <w:tab/>
        <w:t xml:space="preserve">ويوجد في مقاطعة ماكاو العديد من الصكوك القانونية التي تنص على نظام الشروط الدنيا للصحة والسلامة </w:t>
      </w:r>
      <w:r>
        <w:rPr>
          <w:rFonts w:hint="cs"/>
          <w:spacing w:val="-2"/>
          <w:rtl/>
        </w:rPr>
        <w:t>المهنيتين، منها التنظيمات المتعلقة بالصحة والسلامة في مواقع العم</w:t>
      </w:r>
      <w:r>
        <w:rPr>
          <w:rFonts w:hint="cs"/>
          <w:spacing w:val="-2"/>
          <w:rtl/>
        </w:rPr>
        <w:t>ل الصناعية (المرسوم بقانون 57/82/م المؤرخ 22 تشرين الأول/أكتوبر)، والقوانين المتعلقة بالصحة والسلامة في المنشآت التجارية والمكاتب والخدمات (المرسوم بقانون 37/89/م المؤرخ 22 أيار/مايو)، والتنظيمات المتعلقة بالصحة والسلامة في عمليات التشييد المدني (القانون ب</w:t>
      </w:r>
      <w:r>
        <w:rPr>
          <w:rFonts w:hint="cs"/>
          <w:spacing w:val="-2"/>
          <w:rtl/>
        </w:rPr>
        <w:t>المرسوم 44/91/م المؤرخ 19 تموز/يوليه)، واللوائح المتعلقة بالضجيج المهني (المرسوم بقانون 34/93/م المؤرخ 12 تموز/يوليه).</w:t>
      </w:r>
    </w:p>
    <w:p w:rsidR="00000000" w:rsidRDefault="00443EC1">
      <w:pPr>
        <w:spacing w:line="380" w:lineRule="exact"/>
        <w:jc w:val="both"/>
        <w:rPr>
          <w:rFonts w:hint="cs"/>
          <w:rtl/>
        </w:rPr>
      </w:pPr>
      <w:r>
        <w:rPr>
          <w:rFonts w:hint="cs"/>
          <w:rtl/>
        </w:rPr>
        <w:t>876-</w:t>
      </w:r>
      <w:r>
        <w:rPr>
          <w:rFonts w:hint="cs"/>
          <w:rtl/>
        </w:rPr>
        <w:tab/>
        <w:t>وينبغي الإشارة في هذا الإطار إلى المرسوم بقانون 40/95/م المؤرخ 14 آب/أغسطس، الذي يتضمّن الحق في الحصول على تعويضات عن الأضرار الناجم</w:t>
      </w:r>
      <w:r>
        <w:rPr>
          <w:rFonts w:hint="cs"/>
          <w:rtl/>
        </w:rPr>
        <w:t>ة عن حوادث العمل والأمراض المهنية.</w:t>
      </w:r>
    </w:p>
    <w:p w:rsidR="00000000" w:rsidRDefault="00443EC1">
      <w:pPr>
        <w:spacing w:line="380" w:lineRule="exact"/>
        <w:jc w:val="both"/>
        <w:rPr>
          <w:rFonts w:hint="cs"/>
          <w:rtl/>
        </w:rPr>
      </w:pPr>
      <w:r>
        <w:rPr>
          <w:rFonts w:hint="cs"/>
          <w:rtl/>
        </w:rPr>
        <w:t>877-</w:t>
      </w:r>
      <w:r>
        <w:rPr>
          <w:rFonts w:hint="cs"/>
          <w:rtl/>
        </w:rPr>
        <w:tab/>
        <w:t>وتُشكل هذه القوانين إطاراً يتمتع فيه جميع العمال بشروط عمل صحية وسليمة وتتضمن مسؤولية أصحاب العمل عن إدارة المخاطر في مكان العمل، على أساس مجموعة من الحوافز والجزاءات.</w:t>
      </w:r>
    </w:p>
    <w:p w:rsidR="00000000" w:rsidRDefault="00443EC1">
      <w:pPr>
        <w:spacing w:line="380" w:lineRule="exact"/>
        <w:jc w:val="both"/>
        <w:rPr>
          <w:rFonts w:hint="cs"/>
          <w:rtl/>
        </w:rPr>
      </w:pPr>
      <w:r>
        <w:rPr>
          <w:rFonts w:hint="cs"/>
          <w:rtl/>
        </w:rPr>
        <w:t>878-</w:t>
      </w:r>
      <w:r>
        <w:rPr>
          <w:rFonts w:hint="cs"/>
          <w:rtl/>
        </w:rPr>
        <w:tab/>
        <w:t>ويرد مبدأ التمتع بشـروط العمـل الدنيـا في ا</w:t>
      </w:r>
      <w:r>
        <w:rPr>
          <w:rFonts w:hint="cs"/>
          <w:rtl/>
        </w:rPr>
        <w:t>لمـادة 14 من القانون بشأن علاقات العمل (المرسوم بقانون 24/89/م) وفي المادة 5(1)(ج) من الإطار القانوني للعمالة وحقوق اليد العاملة.</w:t>
      </w:r>
    </w:p>
    <w:p w:rsidR="00000000" w:rsidRDefault="00443EC1">
      <w:pPr>
        <w:spacing w:line="380" w:lineRule="exact"/>
        <w:jc w:val="both"/>
        <w:rPr>
          <w:rtl/>
        </w:rPr>
      </w:pPr>
      <w:r>
        <w:rPr>
          <w:rFonts w:hint="cs"/>
          <w:rtl/>
        </w:rPr>
        <w:t>879-</w:t>
      </w:r>
      <w:r>
        <w:rPr>
          <w:rFonts w:hint="cs"/>
          <w:rtl/>
        </w:rPr>
        <w:tab/>
        <w:t>وشعبة تفتيش العمل التابعة لإدارة العمل والعمالة مسؤولة عن تنفيذ الأحكام القانونية المتعلقة بالصحة والسلامة المهنيتين المش</w:t>
      </w:r>
      <w:r>
        <w:rPr>
          <w:rFonts w:hint="cs"/>
          <w:rtl/>
        </w:rPr>
        <w:t>ار إليها أعلاه. وتتولى هذه الشعبة وشعبة الصحة والسلامة التابعة للإدارة القيام بعمليات تفتيش منتظمة ولها سلطة فرض غرامات عند انتهاك القانون.</w:t>
      </w:r>
    </w:p>
    <w:p w:rsidR="00000000" w:rsidRDefault="00443EC1">
      <w:pPr>
        <w:spacing w:before="120" w:after="120" w:line="380" w:lineRule="exact"/>
        <w:jc w:val="center"/>
        <w:rPr>
          <w:rFonts w:hint="cs"/>
          <w:b/>
          <w:bCs/>
          <w:rtl/>
        </w:rPr>
      </w:pPr>
      <w:r>
        <w:rPr>
          <w:rFonts w:hint="cs"/>
          <w:b/>
          <w:bCs/>
          <w:rtl/>
        </w:rPr>
        <w:t>باء - معلومات تتعلق بالأجور</w:t>
      </w:r>
    </w:p>
    <w:p w:rsidR="00000000" w:rsidRDefault="00443EC1">
      <w:pPr>
        <w:spacing w:before="120" w:after="120" w:line="380" w:lineRule="exact"/>
        <w:jc w:val="both"/>
        <w:rPr>
          <w:rFonts w:hint="cs"/>
          <w:b/>
          <w:bCs/>
          <w:rtl/>
        </w:rPr>
      </w:pPr>
      <w:r>
        <w:rPr>
          <w:rFonts w:hint="cs"/>
          <w:b/>
          <w:bCs/>
          <w:rtl/>
        </w:rPr>
        <w:t>تحديد الأجور</w:t>
      </w:r>
    </w:p>
    <w:p w:rsidR="00000000" w:rsidRDefault="00443EC1">
      <w:pPr>
        <w:spacing w:line="380" w:lineRule="exact"/>
        <w:jc w:val="both"/>
        <w:rPr>
          <w:rFonts w:hint="cs"/>
          <w:rtl/>
        </w:rPr>
      </w:pPr>
      <w:r>
        <w:rPr>
          <w:rFonts w:hint="cs"/>
          <w:rtl/>
        </w:rPr>
        <w:t>880-</w:t>
      </w:r>
      <w:r>
        <w:rPr>
          <w:rFonts w:hint="cs"/>
          <w:rtl/>
        </w:rPr>
        <w:tab/>
        <w:t>تُضبط الرواتب في القطاع العام وفقاً لمؤشر يُحدّد المكافأة لكل فئة من ا</w:t>
      </w:r>
      <w:r>
        <w:rPr>
          <w:rFonts w:hint="cs"/>
          <w:rtl/>
        </w:rPr>
        <w:t>لفئات المهنية. والراتب الشهري الأدنى هو 000 5 باتاكا.</w:t>
      </w:r>
    </w:p>
    <w:p w:rsidR="00000000" w:rsidRDefault="00443EC1">
      <w:pPr>
        <w:spacing w:line="380" w:lineRule="exact"/>
        <w:jc w:val="both"/>
        <w:rPr>
          <w:rFonts w:hint="cs"/>
          <w:spacing w:val="2"/>
          <w:rtl/>
        </w:rPr>
      </w:pPr>
      <w:r>
        <w:rPr>
          <w:rFonts w:hint="cs"/>
          <w:spacing w:val="2"/>
          <w:rtl/>
        </w:rPr>
        <w:t>881-</w:t>
      </w:r>
      <w:r>
        <w:rPr>
          <w:rFonts w:hint="cs"/>
          <w:spacing w:val="2"/>
          <w:rtl/>
        </w:rPr>
        <w:tab/>
        <w:t>ولا توجد في القطاع الخاص خطة للأجر الأدنى القانوني. واستناداً إلى القانون بشأن علاقات العمل في القطاع الخاص، تُحدد الأجور بموجب اتفاق بين صاحب العمل والعامل (المادة 27 من المرسوم بقانون 24/89/م).</w:t>
      </w:r>
    </w:p>
    <w:p w:rsidR="00000000" w:rsidRDefault="00443EC1">
      <w:pPr>
        <w:spacing w:line="380" w:lineRule="exact"/>
        <w:jc w:val="both"/>
        <w:rPr>
          <w:rFonts w:hint="cs"/>
          <w:rtl/>
        </w:rPr>
      </w:pPr>
      <w:r>
        <w:rPr>
          <w:rFonts w:hint="cs"/>
          <w:rtl/>
        </w:rPr>
        <w:t>8</w:t>
      </w:r>
      <w:r>
        <w:rPr>
          <w:rFonts w:hint="cs"/>
          <w:rtl/>
        </w:rPr>
        <w:t>82-</w:t>
      </w:r>
      <w:r>
        <w:rPr>
          <w:rFonts w:hint="cs"/>
          <w:rtl/>
        </w:rPr>
        <w:tab/>
        <w:t>غير أن المادة 25 من القانون السالف الذكر تنص على المبدأ العام للأجر المنصف، ويعني ذلك أن حرية التعاقد يحددها تعريفها وحسابها وامتثالها لمعايير حسن النية.</w:t>
      </w:r>
    </w:p>
    <w:p w:rsidR="00000000" w:rsidRDefault="00443EC1">
      <w:pPr>
        <w:spacing w:line="380" w:lineRule="exact"/>
        <w:jc w:val="both"/>
        <w:rPr>
          <w:rFonts w:hint="cs"/>
          <w:spacing w:val="0"/>
          <w:rtl/>
        </w:rPr>
      </w:pPr>
      <w:r>
        <w:rPr>
          <w:rFonts w:hint="cs"/>
          <w:spacing w:val="0"/>
          <w:rtl/>
        </w:rPr>
        <w:t>883-</w:t>
      </w:r>
      <w:r>
        <w:rPr>
          <w:rFonts w:hint="cs"/>
          <w:spacing w:val="0"/>
          <w:rtl/>
        </w:rPr>
        <w:tab/>
        <w:t>ومن الأهمية بمكان الإشارة إلى أن أحد أهداف التنقيح الحالي لتشريعات العمالة هو اعتماد نظام أجر</w:t>
      </w:r>
      <w:r>
        <w:rPr>
          <w:rFonts w:hint="cs"/>
          <w:spacing w:val="0"/>
          <w:rtl/>
        </w:rPr>
        <w:t xml:space="preserve"> أدنى.</w:t>
      </w:r>
    </w:p>
    <w:p w:rsidR="00000000" w:rsidRDefault="00443EC1">
      <w:pPr>
        <w:spacing w:line="380" w:lineRule="exact"/>
        <w:jc w:val="both"/>
        <w:rPr>
          <w:rFonts w:hint="cs"/>
          <w:rtl/>
        </w:rPr>
      </w:pPr>
      <w:r>
        <w:rPr>
          <w:rFonts w:hint="cs"/>
          <w:rtl/>
        </w:rPr>
        <w:t>884-</w:t>
      </w:r>
      <w:r>
        <w:rPr>
          <w:rFonts w:hint="cs"/>
          <w:rtl/>
        </w:rPr>
        <w:tab/>
        <w:t>ويرد بوضوح مبدأ المساواة في الأجر عن عمل ذي قيمة متساوية في تشريعات العمل في مقاطعة ماكاو، في القطاعين العام والخاص على السواء.</w:t>
      </w:r>
    </w:p>
    <w:p w:rsidR="00000000" w:rsidRDefault="00443EC1">
      <w:pPr>
        <w:spacing w:line="380" w:lineRule="exact"/>
        <w:jc w:val="both"/>
        <w:rPr>
          <w:rFonts w:hint="cs"/>
          <w:rtl/>
        </w:rPr>
      </w:pPr>
      <w:r>
        <w:rPr>
          <w:rFonts w:hint="cs"/>
          <w:rtl/>
        </w:rPr>
        <w:t>885-</w:t>
      </w:r>
      <w:r>
        <w:rPr>
          <w:rFonts w:hint="cs"/>
          <w:rtl/>
        </w:rPr>
        <w:tab/>
        <w:t>ولا توجد معلومات إحصائية بشأن توزيع الدخل في القطاعين العام والخاص. وتدلّ البيانات الصادرة عن إدارة الإحصاء وال</w:t>
      </w:r>
      <w:r>
        <w:rPr>
          <w:rFonts w:hint="cs"/>
          <w:rtl/>
        </w:rPr>
        <w:t>تعداد أن متوسط مكافأة العاملين (ذكوراً/إناثاً) كان 221 5 باتاكا شهرياً عام 1997</w:t>
      </w:r>
      <w:r>
        <w:rPr>
          <w:rtl/>
        </w:rPr>
        <w:br/>
      </w:r>
      <w:r>
        <w:rPr>
          <w:rFonts w:hint="cs"/>
          <w:rtl/>
        </w:rPr>
        <w:t>و772 4 باتاكا عام 2002. وكان متوسط مكافأة العاملين في القطاع العام خلال الفترة من 1999 إلى 2002 بمقدار 643 14 باتاكا.</w:t>
      </w:r>
    </w:p>
    <w:p w:rsidR="00000000" w:rsidRDefault="00443EC1">
      <w:pPr>
        <w:spacing w:line="380" w:lineRule="exact"/>
        <w:jc w:val="center"/>
        <w:rPr>
          <w:rFonts w:hint="cs"/>
          <w:b/>
          <w:bCs/>
          <w:rtl/>
        </w:rPr>
      </w:pPr>
      <w:r>
        <w:rPr>
          <w:rFonts w:hint="cs"/>
          <w:b/>
          <w:bCs/>
          <w:rtl/>
        </w:rPr>
        <w:t>جيم- الصحة والسلامة في العمل</w:t>
      </w:r>
    </w:p>
    <w:p w:rsidR="00000000" w:rsidRDefault="00443EC1">
      <w:pPr>
        <w:spacing w:line="380" w:lineRule="exact"/>
        <w:jc w:val="both"/>
        <w:rPr>
          <w:rFonts w:hint="cs"/>
          <w:rtl/>
        </w:rPr>
      </w:pPr>
      <w:r>
        <w:rPr>
          <w:rFonts w:hint="cs"/>
          <w:rtl/>
        </w:rPr>
        <w:t>886-</w:t>
      </w:r>
      <w:r>
        <w:rPr>
          <w:rFonts w:hint="cs"/>
          <w:rtl/>
        </w:rPr>
        <w:tab/>
        <w:t>سُنّت، مثلما أسلفنا، تشر</w:t>
      </w:r>
      <w:r>
        <w:rPr>
          <w:rFonts w:hint="cs"/>
          <w:rtl/>
        </w:rPr>
        <w:t>يعات للنهوض بشروط الصحة والسلامة في العمل، في حين اعتُمدت تدابير عملية لكفالتها.</w:t>
      </w:r>
    </w:p>
    <w:p w:rsidR="00000000" w:rsidRDefault="00443EC1">
      <w:pPr>
        <w:spacing w:line="380" w:lineRule="exact"/>
        <w:jc w:val="both"/>
        <w:rPr>
          <w:rFonts w:hint="cs"/>
          <w:spacing w:val="0"/>
          <w:rtl/>
        </w:rPr>
      </w:pPr>
      <w:r>
        <w:rPr>
          <w:rFonts w:hint="cs"/>
          <w:spacing w:val="0"/>
          <w:rtl/>
        </w:rPr>
        <w:t>887-</w:t>
      </w:r>
      <w:r>
        <w:rPr>
          <w:rFonts w:hint="cs"/>
          <w:spacing w:val="0"/>
          <w:rtl/>
        </w:rPr>
        <w:tab/>
        <w:t>ومن المهام الأخرى التي تضطلع بها إدارة العمل والعمالة اتخاذ تدابير وقائية للحيلولة دون الإصابة بأمراض ووقوع حوادث ناتجة عن العمل، وذلك أساساً بالتعليم والتدريب وتعميم الق</w:t>
      </w:r>
      <w:r>
        <w:rPr>
          <w:rFonts w:hint="cs"/>
          <w:spacing w:val="0"/>
          <w:rtl/>
        </w:rPr>
        <w:t>واعد الدنيا لدى العاملين وأصحاب العمل.</w:t>
      </w:r>
    </w:p>
    <w:p w:rsidR="00000000" w:rsidRDefault="00443EC1">
      <w:pPr>
        <w:spacing w:line="380" w:lineRule="exact"/>
        <w:jc w:val="both"/>
        <w:rPr>
          <w:rFonts w:hint="cs"/>
          <w:rtl/>
        </w:rPr>
      </w:pPr>
      <w:r>
        <w:rPr>
          <w:rFonts w:hint="cs"/>
          <w:rtl/>
        </w:rPr>
        <w:t>888-</w:t>
      </w:r>
      <w:r>
        <w:rPr>
          <w:rFonts w:hint="cs"/>
          <w:rtl/>
        </w:rPr>
        <w:tab/>
        <w:t>وإضافة إلى ذلك، فإنه بإمكان إدارة العمل والعمالة، في نطاق صلاحياتها لتفتيش العمل، أن تأخذ عينات من أية مادة من المواد في موقع العمل، وأمر العمال بالخضوع لفحص طبي في الدائرة الطبية التابعة لإدارة العمل والعمالة، و</w:t>
      </w:r>
      <w:r>
        <w:rPr>
          <w:rFonts w:hint="cs"/>
          <w:rtl/>
        </w:rPr>
        <w:t>إعداد تقارير عن السلامة وإصدار الشهادات.</w:t>
      </w:r>
    </w:p>
    <w:p w:rsidR="00000000" w:rsidRDefault="00443EC1">
      <w:pPr>
        <w:spacing w:line="380" w:lineRule="exact"/>
        <w:jc w:val="both"/>
        <w:rPr>
          <w:rFonts w:hint="cs"/>
          <w:spacing w:val="0"/>
          <w:rtl/>
        </w:rPr>
      </w:pPr>
      <w:r>
        <w:rPr>
          <w:rFonts w:hint="cs"/>
          <w:spacing w:val="0"/>
          <w:rtl/>
        </w:rPr>
        <w:t>889-</w:t>
      </w:r>
      <w:r>
        <w:rPr>
          <w:rFonts w:hint="cs"/>
          <w:spacing w:val="0"/>
          <w:rtl/>
        </w:rPr>
        <w:tab/>
        <w:t>ورغم ارتفاع عدد ضحايا الحوادث والأمراض الناتجة عن العمل خلال العشر سنوات الأخيرة (35.3 في المائة)، يمكن أن نلاحظ أن الزيادة في الفترة من 1997 إلى 2001 لم تتجاوز 2.4 في المائة، وفي ذلك دليل على حدوث تحسّن هام في</w:t>
      </w:r>
      <w:r>
        <w:rPr>
          <w:rFonts w:hint="cs"/>
          <w:spacing w:val="0"/>
          <w:rtl/>
        </w:rPr>
        <w:t xml:space="preserve"> ظروف العمل. ومن جهة أخرى، انخفض عدد الوفيات انخفاضاً شديداً في الفترة من 1991 إلى 2001.</w:t>
      </w:r>
    </w:p>
    <w:p w:rsidR="00000000" w:rsidRDefault="00443EC1">
      <w:pPr>
        <w:spacing w:line="380" w:lineRule="exact"/>
        <w:jc w:val="center"/>
        <w:rPr>
          <w:rFonts w:hint="cs"/>
          <w:b/>
          <w:bCs/>
          <w:rtl/>
        </w:rPr>
      </w:pPr>
      <w:r>
        <w:rPr>
          <w:rFonts w:hint="cs"/>
          <w:b/>
          <w:bCs/>
          <w:rtl/>
        </w:rPr>
        <w:t>الحوادث والأمراض الناتجة عن العمل</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20"/>
        <w:gridCol w:w="1260"/>
        <w:gridCol w:w="1440"/>
        <w:gridCol w:w="1800"/>
        <w:gridCol w:w="1548"/>
      </w:tblGrid>
      <w:tr w:rsidR="00443EC1" w:rsidTr="00443EC1">
        <w:tblPrEx>
          <w:tblCellMar>
            <w:top w:w="0" w:type="dxa"/>
            <w:bottom w:w="0" w:type="dxa"/>
          </w:tblCellMar>
        </w:tblPrEx>
        <w:trPr>
          <w:jc w:val="center"/>
        </w:trPr>
        <w:tc>
          <w:tcPr>
            <w:tcW w:w="3420" w:type="dxa"/>
            <w:tcBorders>
              <w:bottom w:val="single" w:sz="4" w:space="0" w:color="auto"/>
            </w:tcBorders>
          </w:tcPr>
          <w:p w:rsidR="00443EC1" w:rsidRDefault="00443EC1">
            <w:pPr>
              <w:spacing w:before="0" w:after="0" w:line="320" w:lineRule="exact"/>
              <w:jc w:val="center"/>
              <w:rPr>
                <w:rFonts w:hint="cs"/>
              </w:rPr>
            </w:pPr>
            <w:r>
              <w:rPr>
                <w:rFonts w:hint="cs"/>
                <w:rtl/>
              </w:rPr>
              <w:t>الحوادث سنوياً</w:t>
            </w:r>
          </w:p>
        </w:tc>
        <w:tc>
          <w:tcPr>
            <w:tcW w:w="1260" w:type="dxa"/>
            <w:tcBorders>
              <w:bottom w:val="single" w:sz="4" w:space="0" w:color="auto"/>
            </w:tcBorders>
          </w:tcPr>
          <w:p w:rsidR="00443EC1" w:rsidRDefault="00443EC1">
            <w:pPr>
              <w:spacing w:before="0" w:after="0" w:line="320" w:lineRule="exact"/>
              <w:jc w:val="center"/>
              <w:rPr>
                <w:rFonts w:hint="cs"/>
              </w:rPr>
            </w:pPr>
            <w:r>
              <w:rPr>
                <w:rFonts w:hint="cs"/>
                <w:rtl/>
              </w:rPr>
              <w:t>1997</w:t>
            </w:r>
          </w:p>
        </w:tc>
        <w:tc>
          <w:tcPr>
            <w:tcW w:w="1440" w:type="dxa"/>
            <w:tcBorders>
              <w:bottom w:val="single" w:sz="4" w:space="0" w:color="auto"/>
            </w:tcBorders>
          </w:tcPr>
          <w:p w:rsidR="00443EC1" w:rsidRDefault="00443EC1">
            <w:pPr>
              <w:spacing w:before="0" w:after="0" w:line="320" w:lineRule="exact"/>
              <w:jc w:val="center"/>
              <w:rPr>
                <w:rFonts w:hint="cs"/>
              </w:rPr>
            </w:pPr>
            <w:r>
              <w:rPr>
                <w:rFonts w:hint="cs"/>
                <w:rtl/>
              </w:rPr>
              <w:t>2001</w:t>
            </w:r>
          </w:p>
        </w:tc>
        <w:tc>
          <w:tcPr>
            <w:tcW w:w="1800" w:type="dxa"/>
            <w:tcBorders>
              <w:bottom w:val="single" w:sz="4" w:space="0" w:color="auto"/>
            </w:tcBorders>
          </w:tcPr>
          <w:p w:rsidR="00443EC1" w:rsidRDefault="00443EC1">
            <w:pPr>
              <w:spacing w:before="0" w:after="0" w:line="320" w:lineRule="exact"/>
              <w:jc w:val="center"/>
              <w:rPr>
                <w:rFonts w:hint="cs"/>
              </w:rPr>
            </w:pPr>
            <w:r>
              <w:rPr>
                <w:rFonts w:hint="cs"/>
                <w:rtl/>
              </w:rPr>
              <w:t>1991/2001</w:t>
            </w:r>
            <w:r>
              <w:rPr>
                <w:rtl/>
              </w:rPr>
              <w:br/>
            </w:r>
            <w:r>
              <w:rPr>
                <w:rFonts w:hint="cs"/>
                <w:rtl/>
              </w:rPr>
              <w:t>(</w:t>
            </w:r>
            <w:r>
              <w:rPr>
                <w:rFonts w:cs="Mudir MT" w:hint="cs"/>
                <w:sz w:val="24"/>
                <w:szCs w:val="24"/>
                <w:rtl/>
                <w:lang w:eastAsia="en-US"/>
              </w:rPr>
              <w:t>%</w:t>
            </w:r>
            <w:r>
              <w:rPr>
                <w:rFonts w:hint="cs"/>
                <w:rtl/>
              </w:rPr>
              <w:t>)</w:t>
            </w:r>
          </w:p>
        </w:tc>
        <w:tc>
          <w:tcPr>
            <w:tcW w:w="1548" w:type="dxa"/>
            <w:tcBorders>
              <w:bottom w:val="single" w:sz="4" w:space="0" w:color="auto"/>
            </w:tcBorders>
          </w:tcPr>
          <w:p w:rsidR="00443EC1" w:rsidRDefault="00443EC1">
            <w:pPr>
              <w:spacing w:before="0" w:after="0" w:line="320" w:lineRule="exact"/>
              <w:jc w:val="center"/>
              <w:rPr>
                <w:rFonts w:hint="cs"/>
              </w:rPr>
            </w:pPr>
            <w:r>
              <w:rPr>
                <w:rFonts w:hint="cs"/>
                <w:rtl/>
              </w:rPr>
              <w:t>1997/2001</w:t>
            </w:r>
            <w:r>
              <w:rPr>
                <w:rtl/>
              </w:rPr>
              <w:br/>
            </w:r>
            <w:r>
              <w:rPr>
                <w:rFonts w:hint="cs"/>
                <w:rtl/>
              </w:rPr>
              <w:t>(</w:t>
            </w:r>
            <w:r>
              <w:rPr>
                <w:rFonts w:cs="Mudir MT" w:hint="cs"/>
                <w:sz w:val="24"/>
                <w:szCs w:val="24"/>
                <w:rtl/>
                <w:lang w:eastAsia="en-US"/>
              </w:rPr>
              <w:t>%</w:t>
            </w:r>
            <w:r>
              <w:rPr>
                <w:rFonts w:hint="cs"/>
                <w:rtl/>
              </w:rPr>
              <w:t>)</w:t>
            </w:r>
          </w:p>
        </w:tc>
      </w:tr>
      <w:tr w:rsidR="00443EC1" w:rsidTr="00443EC1">
        <w:tblPrEx>
          <w:tblCellMar>
            <w:top w:w="0" w:type="dxa"/>
            <w:bottom w:w="0" w:type="dxa"/>
          </w:tblCellMar>
        </w:tblPrEx>
        <w:trPr>
          <w:jc w:val="center"/>
        </w:trPr>
        <w:tc>
          <w:tcPr>
            <w:tcW w:w="3420" w:type="dxa"/>
            <w:tcBorders>
              <w:bottom w:val="nil"/>
            </w:tcBorders>
          </w:tcPr>
          <w:p w:rsidR="00443EC1" w:rsidRDefault="00443EC1">
            <w:pPr>
              <w:spacing w:before="0" w:after="0" w:line="320" w:lineRule="exact"/>
              <w:jc w:val="both"/>
              <w:rPr>
                <w:rFonts w:hint="cs"/>
              </w:rPr>
            </w:pPr>
            <w:r>
              <w:rPr>
                <w:rFonts w:hint="cs"/>
                <w:rtl/>
              </w:rPr>
              <w:t>ضحايا الحوادث الناتجة عن العمل</w:t>
            </w:r>
          </w:p>
        </w:tc>
        <w:tc>
          <w:tcPr>
            <w:tcW w:w="1260" w:type="dxa"/>
            <w:tcBorders>
              <w:bottom w:val="nil"/>
            </w:tcBorders>
          </w:tcPr>
          <w:p w:rsidR="00443EC1" w:rsidRDefault="00443EC1">
            <w:pPr>
              <w:spacing w:before="0" w:after="0" w:line="320" w:lineRule="exact"/>
              <w:jc w:val="center"/>
              <w:rPr>
                <w:rFonts w:hint="cs"/>
              </w:rPr>
            </w:pPr>
            <w:r>
              <w:rPr>
                <w:rFonts w:hint="cs"/>
                <w:rtl/>
              </w:rPr>
              <w:t>567 3</w:t>
            </w:r>
          </w:p>
        </w:tc>
        <w:tc>
          <w:tcPr>
            <w:tcW w:w="1440" w:type="dxa"/>
            <w:tcBorders>
              <w:bottom w:val="nil"/>
            </w:tcBorders>
          </w:tcPr>
          <w:p w:rsidR="00443EC1" w:rsidRDefault="00443EC1">
            <w:pPr>
              <w:spacing w:before="0" w:after="0" w:line="320" w:lineRule="exact"/>
              <w:jc w:val="center"/>
              <w:rPr>
                <w:rFonts w:hint="cs"/>
              </w:rPr>
            </w:pPr>
            <w:r>
              <w:rPr>
                <w:rFonts w:hint="cs"/>
                <w:rtl/>
              </w:rPr>
              <w:t>651 3</w:t>
            </w:r>
          </w:p>
        </w:tc>
        <w:tc>
          <w:tcPr>
            <w:tcW w:w="1800" w:type="dxa"/>
            <w:tcBorders>
              <w:bottom w:val="nil"/>
            </w:tcBorders>
          </w:tcPr>
          <w:p w:rsidR="00443EC1" w:rsidRDefault="00443EC1">
            <w:pPr>
              <w:spacing w:before="0" w:after="0" w:line="320" w:lineRule="exact"/>
              <w:jc w:val="center"/>
              <w:rPr>
                <w:rFonts w:hint="cs"/>
              </w:rPr>
            </w:pPr>
            <w:r>
              <w:rPr>
                <w:rFonts w:hint="cs"/>
                <w:rtl/>
              </w:rPr>
              <w:t>+35.3</w:t>
            </w:r>
          </w:p>
        </w:tc>
        <w:tc>
          <w:tcPr>
            <w:tcW w:w="1548" w:type="dxa"/>
            <w:tcBorders>
              <w:bottom w:val="nil"/>
            </w:tcBorders>
          </w:tcPr>
          <w:p w:rsidR="00443EC1" w:rsidRDefault="00443EC1">
            <w:pPr>
              <w:spacing w:before="0" w:after="0" w:line="320" w:lineRule="exact"/>
              <w:jc w:val="center"/>
              <w:rPr>
                <w:rFonts w:hint="cs"/>
              </w:rPr>
            </w:pPr>
            <w:r>
              <w:rPr>
                <w:rFonts w:hint="cs"/>
                <w:rtl/>
              </w:rPr>
              <w:t>+2.4</w:t>
            </w:r>
          </w:p>
        </w:tc>
      </w:tr>
      <w:tr w:rsidR="00443EC1" w:rsidTr="00443EC1">
        <w:tblPrEx>
          <w:tblCellMar>
            <w:top w:w="0" w:type="dxa"/>
            <w:bottom w:w="0" w:type="dxa"/>
          </w:tblCellMar>
        </w:tblPrEx>
        <w:trPr>
          <w:jc w:val="center"/>
        </w:trPr>
        <w:tc>
          <w:tcPr>
            <w:tcW w:w="3420" w:type="dxa"/>
            <w:tcBorders>
              <w:top w:val="nil"/>
              <w:bottom w:val="nil"/>
            </w:tcBorders>
          </w:tcPr>
          <w:p w:rsidR="00443EC1" w:rsidRDefault="00443EC1">
            <w:pPr>
              <w:spacing w:before="0" w:after="0" w:line="320" w:lineRule="exact"/>
              <w:jc w:val="both"/>
              <w:rPr>
                <w:rFonts w:hint="cs"/>
                <w:rtl/>
              </w:rPr>
            </w:pPr>
            <w:r>
              <w:rPr>
                <w:rFonts w:hint="cs"/>
                <w:rtl/>
              </w:rPr>
              <w:t>الحوادث القاتلة</w:t>
            </w:r>
          </w:p>
        </w:tc>
        <w:tc>
          <w:tcPr>
            <w:tcW w:w="1260" w:type="dxa"/>
            <w:tcBorders>
              <w:top w:val="nil"/>
              <w:bottom w:val="nil"/>
            </w:tcBorders>
          </w:tcPr>
          <w:p w:rsidR="00443EC1" w:rsidRDefault="00443EC1">
            <w:pPr>
              <w:spacing w:before="0" w:after="0" w:line="320" w:lineRule="exact"/>
              <w:jc w:val="center"/>
              <w:rPr>
                <w:rFonts w:hint="cs"/>
                <w:rtl/>
              </w:rPr>
            </w:pPr>
            <w:r>
              <w:rPr>
                <w:rFonts w:hint="cs"/>
                <w:rtl/>
              </w:rPr>
              <w:t>8</w:t>
            </w:r>
          </w:p>
        </w:tc>
        <w:tc>
          <w:tcPr>
            <w:tcW w:w="1440" w:type="dxa"/>
            <w:tcBorders>
              <w:top w:val="nil"/>
              <w:bottom w:val="nil"/>
            </w:tcBorders>
          </w:tcPr>
          <w:p w:rsidR="00443EC1" w:rsidRDefault="00443EC1">
            <w:pPr>
              <w:spacing w:before="0" w:after="0" w:line="320" w:lineRule="exact"/>
              <w:jc w:val="center"/>
              <w:rPr>
                <w:rFonts w:hint="cs"/>
                <w:rtl/>
              </w:rPr>
            </w:pPr>
            <w:r>
              <w:rPr>
                <w:rFonts w:hint="cs"/>
                <w:rtl/>
              </w:rPr>
              <w:t>6</w:t>
            </w:r>
          </w:p>
        </w:tc>
        <w:tc>
          <w:tcPr>
            <w:tcW w:w="1800" w:type="dxa"/>
            <w:tcBorders>
              <w:top w:val="nil"/>
              <w:bottom w:val="nil"/>
            </w:tcBorders>
          </w:tcPr>
          <w:p w:rsidR="00443EC1" w:rsidRDefault="00443EC1">
            <w:pPr>
              <w:spacing w:before="0" w:after="0" w:line="320" w:lineRule="exact"/>
              <w:jc w:val="center"/>
              <w:rPr>
                <w:rFonts w:hint="cs"/>
                <w:rtl/>
              </w:rPr>
            </w:pPr>
            <w:r>
              <w:rPr>
                <w:rFonts w:hint="cs"/>
                <w:rtl/>
              </w:rPr>
              <w:t>-50.0</w:t>
            </w:r>
          </w:p>
        </w:tc>
        <w:tc>
          <w:tcPr>
            <w:tcW w:w="1548" w:type="dxa"/>
            <w:tcBorders>
              <w:top w:val="nil"/>
              <w:bottom w:val="nil"/>
            </w:tcBorders>
          </w:tcPr>
          <w:p w:rsidR="00443EC1" w:rsidRDefault="00443EC1">
            <w:pPr>
              <w:spacing w:before="0" w:after="0" w:line="320" w:lineRule="exact"/>
              <w:jc w:val="center"/>
              <w:rPr>
                <w:rFonts w:hint="cs"/>
                <w:rtl/>
              </w:rPr>
            </w:pPr>
            <w:r>
              <w:rPr>
                <w:rFonts w:hint="cs"/>
                <w:rtl/>
              </w:rPr>
              <w:t>-25.0</w:t>
            </w:r>
          </w:p>
        </w:tc>
      </w:tr>
      <w:tr w:rsidR="00443EC1" w:rsidTr="00443EC1">
        <w:tblPrEx>
          <w:tblCellMar>
            <w:top w:w="0" w:type="dxa"/>
            <w:bottom w:w="0" w:type="dxa"/>
          </w:tblCellMar>
        </w:tblPrEx>
        <w:trPr>
          <w:jc w:val="center"/>
        </w:trPr>
        <w:tc>
          <w:tcPr>
            <w:tcW w:w="3420" w:type="dxa"/>
            <w:tcBorders>
              <w:top w:val="nil"/>
            </w:tcBorders>
          </w:tcPr>
          <w:p w:rsidR="00443EC1" w:rsidRDefault="00443EC1">
            <w:pPr>
              <w:spacing w:before="0" w:after="0" w:line="320" w:lineRule="exact"/>
              <w:jc w:val="both"/>
              <w:rPr>
                <w:rFonts w:hint="cs"/>
                <w:rtl/>
              </w:rPr>
            </w:pPr>
            <w:r>
              <w:rPr>
                <w:rFonts w:hint="cs"/>
                <w:rtl/>
              </w:rPr>
              <w:t>الأمراض المهنية</w:t>
            </w:r>
          </w:p>
        </w:tc>
        <w:tc>
          <w:tcPr>
            <w:tcW w:w="1260" w:type="dxa"/>
            <w:tcBorders>
              <w:top w:val="nil"/>
            </w:tcBorders>
          </w:tcPr>
          <w:p w:rsidR="00443EC1" w:rsidRDefault="00443EC1">
            <w:pPr>
              <w:spacing w:before="0" w:after="0" w:line="320" w:lineRule="exact"/>
              <w:jc w:val="center"/>
              <w:rPr>
                <w:rFonts w:hint="cs"/>
                <w:rtl/>
              </w:rPr>
            </w:pPr>
            <w:r>
              <w:rPr>
                <w:rFonts w:hint="cs"/>
                <w:rtl/>
              </w:rPr>
              <w:t>-</w:t>
            </w:r>
          </w:p>
        </w:tc>
        <w:tc>
          <w:tcPr>
            <w:tcW w:w="1440" w:type="dxa"/>
            <w:tcBorders>
              <w:top w:val="nil"/>
            </w:tcBorders>
          </w:tcPr>
          <w:p w:rsidR="00443EC1" w:rsidRDefault="00443EC1">
            <w:pPr>
              <w:spacing w:before="0" w:after="0" w:line="320" w:lineRule="exact"/>
              <w:jc w:val="center"/>
              <w:rPr>
                <w:rFonts w:hint="cs"/>
                <w:rtl/>
              </w:rPr>
            </w:pPr>
            <w:r>
              <w:rPr>
                <w:rFonts w:hint="cs"/>
                <w:rtl/>
              </w:rPr>
              <w:t>-</w:t>
            </w:r>
          </w:p>
        </w:tc>
        <w:tc>
          <w:tcPr>
            <w:tcW w:w="1800" w:type="dxa"/>
            <w:tcBorders>
              <w:top w:val="nil"/>
            </w:tcBorders>
          </w:tcPr>
          <w:p w:rsidR="00443EC1" w:rsidRDefault="00443EC1">
            <w:pPr>
              <w:spacing w:before="0" w:after="0" w:line="320" w:lineRule="exact"/>
              <w:jc w:val="center"/>
              <w:rPr>
                <w:rFonts w:hint="cs"/>
                <w:rtl/>
              </w:rPr>
            </w:pPr>
            <w:r>
              <w:rPr>
                <w:rFonts w:hint="cs"/>
                <w:rtl/>
              </w:rPr>
              <w:t>-</w:t>
            </w:r>
          </w:p>
        </w:tc>
        <w:tc>
          <w:tcPr>
            <w:tcW w:w="1548" w:type="dxa"/>
            <w:tcBorders>
              <w:top w:val="nil"/>
            </w:tcBorders>
          </w:tcPr>
          <w:p w:rsidR="00443EC1" w:rsidRDefault="00443EC1">
            <w:pPr>
              <w:spacing w:before="0" w:after="0" w:line="320" w:lineRule="exact"/>
              <w:jc w:val="center"/>
              <w:rPr>
                <w:rFonts w:hint="cs"/>
                <w:rtl/>
              </w:rPr>
            </w:pPr>
            <w:r>
              <w:rPr>
                <w:rFonts w:hint="cs"/>
                <w:rtl/>
              </w:rPr>
              <w:t>-</w:t>
            </w:r>
          </w:p>
        </w:tc>
      </w:tr>
    </w:tbl>
    <w:p w:rsidR="00000000" w:rsidRDefault="00443EC1">
      <w:pPr>
        <w:spacing w:line="380" w:lineRule="exact"/>
        <w:jc w:val="both"/>
        <w:rPr>
          <w:rFonts w:hint="cs"/>
          <w:rtl/>
        </w:rPr>
      </w:pPr>
      <w:r>
        <w:rPr>
          <w:rFonts w:hint="cs"/>
          <w:i/>
          <w:iCs/>
          <w:rtl/>
        </w:rPr>
        <w:tab/>
        <w:t>المصدر</w:t>
      </w:r>
      <w:r>
        <w:rPr>
          <w:rFonts w:hint="cs"/>
          <w:rtl/>
        </w:rPr>
        <w:t>: إدارة العمل والعمالة، 2002.</w:t>
      </w:r>
    </w:p>
    <w:p w:rsidR="00000000" w:rsidRDefault="00443EC1">
      <w:pPr>
        <w:spacing w:line="380" w:lineRule="exact"/>
        <w:jc w:val="center"/>
        <w:rPr>
          <w:rFonts w:hint="cs"/>
          <w:b/>
          <w:bCs/>
          <w:rtl/>
        </w:rPr>
      </w:pPr>
      <w:r>
        <w:rPr>
          <w:rFonts w:hint="cs"/>
          <w:b/>
          <w:bCs/>
          <w:rtl/>
        </w:rPr>
        <w:t>دال - مبدأ التساوي في فرص الترقّي</w:t>
      </w:r>
    </w:p>
    <w:p w:rsidR="00000000" w:rsidRDefault="00443EC1">
      <w:pPr>
        <w:spacing w:line="380" w:lineRule="exact"/>
        <w:jc w:val="both"/>
        <w:rPr>
          <w:rFonts w:hint="cs"/>
          <w:rtl/>
        </w:rPr>
      </w:pPr>
      <w:r>
        <w:rPr>
          <w:rFonts w:hint="cs"/>
          <w:rtl/>
        </w:rPr>
        <w:t>890-</w:t>
      </w:r>
      <w:r>
        <w:rPr>
          <w:rFonts w:hint="cs"/>
          <w:rtl/>
        </w:rPr>
        <w:tab/>
        <w:t xml:space="preserve">لا تقوم الترقية إلا على نتائج تقييم يُجرى على أساس نوعية الكفاءة وخبرة العامل. </w:t>
      </w:r>
    </w:p>
    <w:p w:rsidR="00000000" w:rsidRDefault="00443EC1">
      <w:pPr>
        <w:spacing w:line="380" w:lineRule="exact"/>
        <w:jc w:val="both"/>
        <w:rPr>
          <w:rFonts w:hint="cs"/>
          <w:rtl/>
        </w:rPr>
      </w:pPr>
      <w:r>
        <w:rPr>
          <w:rFonts w:hint="cs"/>
          <w:rtl/>
        </w:rPr>
        <w:t>891-</w:t>
      </w:r>
      <w:r>
        <w:rPr>
          <w:rFonts w:hint="cs"/>
          <w:rtl/>
        </w:rPr>
        <w:tab/>
        <w:t>ويضمَن القانون بشأن التدريب التقني والمهني بوضوح (المادة 4(أ)</w:t>
      </w:r>
      <w:r>
        <w:rPr>
          <w:rFonts w:hint="cs"/>
          <w:rtl/>
        </w:rPr>
        <w:t xml:space="preserve"> من المرسوم بقانون 51/96/م المؤرخ 16 أيلول/سبتمبر) المساواة في الالتحاق بالدروس والدورات التدريبية المهنية.</w:t>
      </w:r>
    </w:p>
    <w:p w:rsidR="00000000" w:rsidRDefault="00443EC1">
      <w:pPr>
        <w:spacing w:line="380" w:lineRule="exact"/>
        <w:jc w:val="both"/>
        <w:rPr>
          <w:rFonts w:hint="cs"/>
          <w:rtl/>
        </w:rPr>
      </w:pPr>
      <w:r>
        <w:rPr>
          <w:rFonts w:hint="cs"/>
          <w:rtl/>
        </w:rPr>
        <w:t>892-</w:t>
      </w:r>
      <w:r>
        <w:rPr>
          <w:rFonts w:hint="cs"/>
          <w:rtl/>
        </w:rPr>
        <w:tab/>
        <w:t>وفي القطاع العام، يُطوَّر أيضاً مبدأ المساواة في الفرص على أساس وجوب أن يُشكل القطاع العام مثلاً يقتدي به القطاع الخاص في اتخاذ الإجراءات الإيج</w:t>
      </w:r>
      <w:r>
        <w:rPr>
          <w:rFonts w:hint="cs"/>
          <w:rtl/>
        </w:rPr>
        <w:t>ابية.</w:t>
      </w:r>
    </w:p>
    <w:p w:rsidR="00000000" w:rsidRDefault="00443EC1">
      <w:pPr>
        <w:spacing w:line="380" w:lineRule="exact"/>
        <w:ind w:left="2514" w:right="1800" w:hanging="720"/>
        <w:jc w:val="both"/>
        <w:rPr>
          <w:rFonts w:hint="cs"/>
          <w:b/>
          <w:bCs/>
          <w:rtl/>
        </w:rPr>
      </w:pPr>
      <w:r>
        <w:rPr>
          <w:rFonts w:hint="cs"/>
          <w:b/>
          <w:bCs/>
          <w:rtl/>
        </w:rPr>
        <w:t>هاء- الحق في التمتع بأيام عطل دورية وفي أوقات الفراغ وفي التحديد المعقول لساعات العمل، وفي الإجازات الدورية المدفوعة الأجر، وكذلك في المكافأة عن أيام العطل الرسمية</w:t>
      </w:r>
    </w:p>
    <w:p w:rsidR="00000000" w:rsidRDefault="00443EC1">
      <w:pPr>
        <w:spacing w:line="380" w:lineRule="exact"/>
        <w:jc w:val="both"/>
        <w:rPr>
          <w:rFonts w:hint="cs"/>
          <w:spacing w:val="2"/>
          <w:rtl/>
        </w:rPr>
      </w:pPr>
      <w:r>
        <w:rPr>
          <w:rFonts w:hint="cs"/>
          <w:spacing w:val="2"/>
          <w:rtl/>
        </w:rPr>
        <w:t>893-</w:t>
      </w:r>
      <w:r>
        <w:rPr>
          <w:rFonts w:hint="cs"/>
          <w:spacing w:val="2"/>
          <w:rtl/>
        </w:rPr>
        <w:tab/>
        <w:t>حُدِّدت أيضا فترة الدوام اليومية في القطاع الخاص بثماني ساعات وفترة الدوام الأسبو</w:t>
      </w:r>
      <w:r>
        <w:rPr>
          <w:rFonts w:hint="cs"/>
          <w:spacing w:val="2"/>
          <w:rtl/>
        </w:rPr>
        <w:t>عية ب‍ 48 ساعة، في حين يتعين على الموظفين الحكوميين في القطاع العام العمل 36 ساعة أسبوعياً، وما لا يقل عن سبع ساعات يومياً.</w:t>
      </w:r>
    </w:p>
    <w:p w:rsidR="00000000" w:rsidRDefault="00443EC1">
      <w:pPr>
        <w:spacing w:line="380" w:lineRule="exact"/>
        <w:jc w:val="both"/>
        <w:rPr>
          <w:rFonts w:hint="cs"/>
          <w:rtl/>
        </w:rPr>
      </w:pPr>
      <w:r>
        <w:rPr>
          <w:rFonts w:hint="cs"/>
          <w:rtl/>
        </w:rPr>
        <w:t>894-</w:t>
      </w:r>
      <w:r>
        <w:rPr>
          <w:rFonts w:hint="cs"/>
          <w:rtl/>
        </w:rPr>
        <w:tab/>
        <w:t>وفي القطاع الخاص، يحق للعمال التمتع بيوم راحة أسبوعي بعد سبعة أيام عمل دون فقدان الأجر، في حين يُمنح يوما راحة أسبوعية في القطا</w:t>
      </w:r>
      <w:r>
        <w:rPr>
          <w:rFonts w:hint="cs"/>
          <w:rtl/>
        </w:rPr>
        <w:t>ع العام.</w:t>
      </w:r>
    </w:p>
    <w:p w:rsidR="00000000" w:rsidRDefault="00443EC1">
      <w:pPr>
        <w:spacing w:line="380" w:lineRule="exact"/>
        <w:jc w:val="both"/>
        <w:rPr>
          <w:rFonts w:hint="cs"/>
          <w:rtl/>
        </w:rPr>
      </w:pPr>
      <w:r>
        <w:rPr>
          <w:rFonts w:hint="cs"/>
          <w:rtl/>
        </w:rPr>
        <w:t>895-</w:t>
      </w:r>
      <w:r>
        <w:rPr>
          <w:rFonts w:hint="cs"/>
          <w:rtl/>
        </w:rPr>
        <w:tab/>
        <w:t>وفي القطاع الخاص، يحق للعمال التمتع بإجازة سنوية مدتها ستة أيام عمل وإجازة سنوية مدفوعة الأجر لا تقل عن ستة أيام عمل. كما يتمتعون بعشرة أيام عطل قانونية سنوياً. وفي القطاع العام، يحق للعمال التمتع بإجازة سنوية لفترة 22 يوم عمل وإجازة مدفوعة ا</w:t>
      </w:r>
      <w:r>
        <w:rPr>
          <w:rFonts w:hint="cs"/>
          <w:rtl/>
        </w:rPr>
        <w:t>لأجر بمبلغ يساوي المكافأة التي تتطابق مع وظيفة العامل.</w:t>
      </w:r>
    </w:p>
    <w:p w:rsidR="00000000" w:rsidRDefault="00443EC1">
      <w:pPr>
        <w:spacing w:line="380" w:lineRule="exact"/>
        <w:jc w:val="both"/>
        <w:rPr>
          <w:rFonts w:hint="cs"/>
          <w:rtl/>
        </w:rPr>
      </w:pPr>
    </w:p>
    <w:p w:rsidR="00000000" w:rsidRDefault="00443EC1">
      <w:pPr>
        <w:spacing w:line="380" w:lineRule="exact"/>
        <w:jc w:val="center"/>
        <w:rPr>
          <w:b/>
          <w:bCs/>
          <w:rtl/>
        </w:rPr>
      </w:pPr>
      <w:r>
        <w:rPr>
          <w:rFonts w:hint="cs"/>
          <w:b/>
          <w:bCs/>
          <w:rtl/>
        </w:rPr>
        <w:t>المادة 8</w:t>
      </w:r>
      <w:r>
        <w:rPr>
          <w:b/>
          <w:bCs/>
          <w:rtl/>
        </w:rPr>
        <w:br/>
        <w:t xml:space="preserve">الحق في الانضمام إلى النقابات </w:t>
      </w:r>
    </w:p>
    <w:p w:rsidR="00000000" w:rsidRDefault="00443EC1">
      <w:pPr>
        <w:spacing w:line="380" w:lineRule="exact"/>
        <w:jc w:val="both"/>
        <w:rPr>
          <w:rFonts w:hint="cs"/>
          <w:rtl/>
        </w:rPr>
      </w:pPr>
      <w:r>
        <w:rPr>
          <w:rFonts w:hint="cs"/>
          <w:rtl/>
        </w:rPr>
        <w:t>896-</w:t>
      </w:r>
      <w:r>
        <w:rPr>
          <w:rFonts w:hint="cs"/>
          <w:rtl/>
        </w:rPr>
        <w:tab/>
        <w:t>ينص القانون الأساسي لمقاطعة ماكاو صراحة على حق المقيمين وحريتهم في تكوين النقابات والانضمام إليها، إضافة إلى الحق في الإضراب (المادة 27).</w:t>
      </w:r>
    </w:p>
    <w:p w:rsidR="00000000" w:rsidRDefault="00443EC1">
      <w:pPr>
        <w:spacing w:line="380" w:lineRule="exact"/>
        <w:jc w:val="both"/>
        <w:rPr>
          <w:rFonts w:hint="cs"/>
          <w:rtl/>
        </w:rPr>
      </w:pPr>
      <w:r>
        <w:rPr>
          <w:rFonts w:hint="cs"/>
          <w:rtl/>
        </w:rPr>
        <w:t>897-</w:t>
      </w:r>
      <w:r>
        <w:rPr>
          <w:rFonts w:hint="cs"/>
          <w:rtl/>
        </w:rPr>
        <w:tab/>
        <w:t>وللعمال حرية</w:t>
      </w:r>
      <w:r>
        <w:rPr>
          <w:rFonts w:hint="cs"/>
          <w:rtl/>
        </w:rPr>
        <w:t xml:space="preserve"> تكوين رابطات أو الانضمام إليها. وفي الواقع، تُشكل رابطات العمال منذ عهد بعيد مجموعة نشطة داخل مجتمع ماكاو، وهي تعمل سياسياً وتُدافع عن مصالح الطبقة العاملة. ويوجد في مقاطعة ماكاو 79 رابطة عمالية تعمل في مجال الأنشطة النقابية؛ 5 منها رابطات لموظفي الخدمة ا</w:t>
      </w:r>
      <w:r>
        <w:rPr>
          <w:rFonts w:hint="cs"/>
          <w:rtl/>
        </w:rPr>
        <w:t>لمدنية.</w:t>
      </w:r>
    </w:p>
    <w:p w:rsidR="00000000" w:rsidRDefault="00443EC1">
      <w:pPr>
        <w:spacing w:line="380" w:lineRule="exact"/>
        <w:jc w:val="both"/>
        <w:rPr>
          <w:rFonts w:hint="cs"/>
          <w:rtl/>
        </w:rPr>
      </w:pPr>
      <w:r>
        <w:rPr>
          <w:rFonts w:hint="cs"/>
          <w:rtl/>
        </w:rPr>
        <w:t>898-</w:t>
      </w:r>
      <w:r>
        <w:rPr>
          <w:rFonts w:hint="cs"/>
          <w:rtl/>
        </w:rPr>
        <w:tab/>
        <w:t>ويُنظم حرية تكوين الجمعيات القانون 2/99/م المؤرخ 9 آب/أغسطس. ولأي فئة من الأشخاص أن تكوّن جمعية دون الحاجة إلى إذن، طالما كان هدفها لا يرمي إلى ترويج العنف أو إلى انتهاك القانون الجنائي، أو يتعارض مع النظام العام.</w:t>
      </w:r>
    </w:p>
    <w:p w:rsidR="00000000" w:rsidRDefault="00443EC1">
      <w:pPr>
        <w:spacing w:line="380" w:lineRule="exact"/>
        <w:jc w:val="both"/>
        <w:rPr>
          <w:rFonts w:hint="cs"/>
          <w:rtl/>
        </w:rPr>
      </w:pPr>
      <w:r>
        <w:rPr>
          <w:rFonts w:hint="cs"/>
          <w:rtl/>
        </w:rPr>
        <w:t>899-</w:t>
      </w:r>
      <w:r>
        <w:rPr>
          <w:rFonts w:hint="cs"/>
          <w:rtl/>
        </w:rPr>
        <w:tab/>
        <w:t>ولا توجد بيانات تتعلق بع</w:t>
      </w:r>
      <w:r>
        <w:rPr>
          <w:rFonts w:hint="cs"/>
          <w:rtl/>
        </w:rPr>
        <w:t>دد أعضاء الجمعيات. لكن ينبغي التنويه بتشكيل ثماني رابطات عمل عقب إنشاء مقاطعة ماكاو، كُوَّنت ستّ منها خلال عام 2002.</w:t>
      </w:r>
    </w:p>
    <w:p w:rsidR="00000000" w:rsidRDefault="00443EC1">
      <w:pPr>
        <w:spacing w:line="380" w:lineRule="exact"/>
        <w:jc w:val="both"/>
        <w:rPr>
          <w:rFonts w:hint="cs"/>
          <w:rtl/>
        </w:rPr>
      </w:pPr>
      <w:r>
        <w:rPr>
          <w:rFonts w:hint="cs"/>
          <w:rtl/>
        </w:rPr>
        <w:t>900-</w:t>
      </w:r>
      <w:r>
        <w:rPr>
          <w:rFonts w:hint="cs"/>
          <w:rtl/>
        </w:rPr>
        <w:tab/>
        <w:t>كما يُعترف بالحق في المفاوضة الجماعية. وفي الواقع، فإن لممثلي العاملين والرابطات العمالية مقعداً في اللجنة الدائمة المعنية بالشؤون الا</w:t>
      </w:r>
      <w:r>
        <w:rPr>
          <w:rFonts w:hint="cs"/>
          <w:rtl/>
        </w:rPr>
        <w:t>جتماعية، وهي اللجنة الاستشارية لدى حكومة مقاطعة ماكاو المكلفة بتعزيز الحوار بين أطراف العمل، وبالتنمية الاجتماعية. وتقدم تلك الهيئة المشورة بشأن السياسات الاجتماعية والعمالية، وبالخصوص ما يتعلق منها بالرواتب ونظام العمل واستراتيجيات العمالة والضمان الاجتما</w:t>
      </w:r>
      <w:r>
        <w:rPr>
          <w:rFonts w:hint="cs"/>
          <w:rtl/>
        </w:rPr>
        <w:t>عي.</w:t>
      </w:r>
    </w:p>
    <w:p w:rsidR="00000000" w:rsidRDefault="00443EC1">
      <w:pPr>
        <w:spacing w:line="380" w:lineRule="exact"/>
        <w:jc w:val="both"/>
        <w:rPr>
          <w:spacing w:val="2"/>
        </w:rPr>
      </w:pPr>
      <w:r>
        <w:rPr>
          <w:spacing w:val="2"/>
          <w:rtl/>
        </w:rPr>
        <w:t>901-</w:t>
      </w:r>
      <w:r>
        <w:rPr>
          <w:spacing w:val="2"/>
          <w:rtl/>
        </w:rPr>
        <w:tab/>
      </w:r>
      <w:r>
        <w:rPr>
          <w:rFonts w:hint="eastAsia"/>
          <w:spacing w:val="2"/>
          <w:rtl/>
        </w:rPr>
        <w:t>وتنطبق</w:t>
      </w:r>
      <w:r>
        <w:rPr>
          <w:spacing w:val="2"/>
          <w:rtl/>
        </w:rPr>
        <w:t xml:space="preserve"> في مقاطعة ماكاو </w:t>
      </w:r>
      <w:r>
        <w:rPr>
          <w:rFonts w:hint="eastAsia"/>
          <w:spacing w:val="2"/>
          <w:rtl/>
        </w:rPr>
        <w:t>اتفاقية</w:t>
      </w:r>
      <w:r>
        <w:rPr>
          <w:spacing w:val="2"/>
          <w:rtl/>
        </w:rPr>
        <w:t xml:space="preserve"> منظمة العمل الدولية بشأن الحرية النقابية وحماية الحق في التنظيم النقابي </w:t>
      </w:r>
      <w:r>
        <w:rPr>
          <w:rFonts w:hint="eastAsia"/>
          <w:spacing w:val="2"/>
          <w:rtl/>
        </w:rPr>
        <w:t>لعام</w:t>
      </w:r>
      <w:r>
        <w:rPr>
          <w:spacing w:val="2"/>
          <w:rtl/>
        </w:rPr>
        <w:t xml:space="preserve"> 1942 (</w:t>
      </w:r>
      <w:r>
        <w:rPr>
          <w:rFonts w:hint="cs"/>
          <w:spacing w:val="2"/>
          <w:rtl/>
        </w:rPr>
        <w:t xml:space="preserve">الاتفاقية </w:t>
      </w:r>
      <w:r>
        <w:rPr>
          <w:spacing w:val="2"/>
          <w:rtl/>
        </w:rPr>
        <w:t>رقم 87) واتفاقية تطبيق مبادئ حق التنظيم والمفاوضة الجماعية لعام 1949 (</w:t>
      </w:r>
      <w:r>
        <w:rPr>
          <w:rFonts w:hint="cs"/>
          <w:spacing w:val="2"/>
          <w:rtl/>
        </w:rPr>
        <w:t xml:space="preserve">الاتفاقية  </w:t>
      </w:r>
      <w:r>
        <w:rPr>
          <w:spacing w:val="2"/>
          <w:rtl/>
        </w:rPr>
        <w:t>رقم 98).</w:t>
      </w:r>
    </w:p>
    <w:p w:rsidR="00000000" w:rsidRDefault="00443EC1">
      <w:pPr>
        <w:spacing w:line="380" w:lineRule="exact"/>
        <w:jc w:val="both"/>
        <w:rPr>
          <w:rtl/>
        </w:rPr>
      </w:pPr>
      <w:r>
        <w:rPr>
          <w:rtl/>
        </w:rPr>
        <w:t>902-</w:t>
      </w:r>
      <w:r>
        <w:rPr>
          <w:rtl/>
        </w:rPr>
        <w:tab/>
      </w:r>
      <w:r>
        <w:rPr>
          <w:rFonts w:hint="eastAsia"/>
          <w:rtl/>
        </w:rPr>
        <w:t>ولا</w:t>
      </w:r>
      <w:r>
        <w:rPr>
          <w:rtl/>
        </w:rPr>
        <w:t xml:space="preserve"> </w:t>
      </w:r>
      <w:r>
        <w:rPr>
          <w:rFonts w:hint="eastAsia"/>
          <w:rtl/>
        </w:rPr>
        <w:t>يوجد</w:t>
      </w:r>
      <w:r>
        <w:rPr>
          <w:rtl/>
        </w:rPr>
        <w:t xml:space="preserve"> أي تمييز ضد أعضاء ر</w:t>
      </w:r>
      <w:r>
        <w:rPr>
          <w:rtl/>
        </w:rPr>
        <w:t xml:space="preserve">ابطات العمل أو </w:t>
      </w:r>
      <w:r>
        <w:rPr>
          <w:rFonts w:hint="cs"/>
          <w:rtl/>
        </w:rPr>
        <w:t>ضد الراغبين</w:t>
      </w:r>
      <w:r>
        <w:rPr>
          <w:rtl/>
        </w:rPr>
        <w:t xml:space="preserve"> في الانضمام إل</w:t>
      </w:r>
      <w:r>
        <w:rPr>
          <w:rFonts w:hint="cs"/>
          <w:rtl/>
        </w:rPr>
        <w:t>يها</w:t>
      </w:r>
      <w:r>
        <w:rPr>
          <w:rtl/>
        </w:rPr>
        <w:t xml:space="preserve"> ولا توضع </w:t>
      </w:r>
      <w:r>
        <w:rPr>
          <w:rFonts w:hint="eastAsia"/>
          <w:rtl/>
        </w:rPr>
        <w:t>قيود</w:t>
      </w:r>
      <w:r>
        <w:rPr>
          <w:rtl/>
        </w:rPr>
        <w:t xml:space="preserve"> على ممارسة الحقوق </w:t>
      </w:r>
      <w:r>
        <w:rPr>
          <w:rFonts w:hint="cs"/>
          <w:rtl/>
        </w:rPr>
        <w:t xml:space="preserve">التي تتضمنها </w:t>
      </w:r>
      <w:r>
        <w:rPr>
          <w:rtl/>
        </w:rPr>
        <w:t>تشريعات مقاطعة ماكاو.</w:t>
      </w:r>
    </w:p>
    <w:p w:rsidR="00000000" w:rsidRDefault="00443EC1">
      <w:pPr>
        <w:spacing w:line="380" w:lineRule="exact"/>
        <w:jc w:val="both"/>
        <w:rPr>
          <w:rtl/>
        </w:rPr>
      </w:pPr>
      <w:r>
        <w:rPr>
          <w:rtl/>
        </w:rPr>
        <w:t>903-</w:t>
      </w:r>
      <w:r>
        <w:rPr>
          <w:rtl/>
        </w:rPr>
        <w:tab/>
      </w:r>
      <w:r>
        <w:rPr>
          <w:rFonts w:hint="eastAsia"/>
          <w:rtl/>
        </w:rPr>
        <w:t>وتعتبر</w:t>
      </w:r>
      <w:r>
        <w:rPr>
          <w:rtl/>
        </w:rPr>
        <w:t xml:space="preserve"> </w:t>
      </w:r>
      <w:r>
        <w:rPr>
          <w:rFonts w:hint="eastAsia"/>
          <w:rtl/>
        </w:rPr>
        <w:t>القيود</w:t>
      </w:r>
      <w:r>
        <w:rPr>
          <w:rtl/>
        </w:rPr>
        <w:t xml:space="preserve"> أو التدابير التعسفية التي تتعلق بممارسة الحق في الإضراب من جانب أي عامل </w:t>
      </w:r>
      <w:r>
        <w:rPr>
          <w:rFonts w:hint="eastAsia"/>
          <w:rtl/>
        </w:rPr>
        <w:t>غير</w:t>
      </w:r>
      <w:r>
        <w:rPr>
          <w:rtl/>
        </w:rPr>
        <w:t xml:space="preserve"> شرعية. ويقيَّد حق الإضراب بصفة استثنائية لأفراد ا</w:t>
      </w:r>
      <w:r>
        <w:rPr>
          <w:rtl/>
        </w:rPr>
        <w:t xml:space="preserve">لقوات المسلحة التابعين لقوات </w:t>
      </w:r>
      <w:r>
        <w:rPr>
          <w:rFonts w:hint="eastAsia"/>
          <w:rtl/>
        </w:rPr>
        <w:t>الأمن</w:t>
      </w:r>
      <w:r>
        <w:rPr>
          <w:rtl/>
        </w:rPr>
        <w:t xml:space="preserve"> في مقاطعة ماكاو (المادة 32) من قانون أفراد القوات المسلحة التابعين لقوات </w:t>
      </w:r>
      <w:r>
        <w:rPr>
          <w:rFonts w:hint="eastAsia"/>
          <w:rtl/>
        </w:rPr>
        <w:t>الأمن،</w:t>
      </w:r>
      <w:r>
        <w:rPr>
          <w:rtl/>
        </w:rPr>
        <w:t xml:space="preserve"> المرسوم بقانون 66/94/م المؤرخ 30 كانون الأول/ديسمبر).</w:t>
      </w:r>
    </w:p>
    <w:p w:rsidR="00000000" w:rsidRDefault="00443EC1">
      <w:pPr>
        <w:spacing w:line="380" w:lineRule="exact"/>
        <w:jc w:val="center"/>
        <w:rPr>
          <w:b/>
          <w:bCs/>
          <w:rtl/>
        </w:rPr>
      </w:pPr>
      <w:r>
        <w:rPr>
          <w:rFonts w:hint="eastAsia"/>
          <w:b/>
          <w:bCs/>
          <w:rtl/>
        </w:rPr>
        <w:t>المادة</w:t>
      </w:r>
      <w:r>
        <w:rPr>
          <w:b/>
          <w:bCs/>
          <w:rtl/>
        </w:rPr>
        <w:t xml:space="preserve"> 9</w:t>
      </w:r>
      <w:r>
        <w:rPr>
          <w:rFonts w:hint="cs"/>
          <w:b/>
          <w:bCs/>
          <w:rtl/>
        </w:rPr>
        <w:br/>
      </w:r>
      <w:r>
        <w:rPr>
          <w:rFonts w:hint="eastAsia"/>
          <w:b/>
          <w:bCs/>
          <w:rtl/>
        </w:rPr>
        <w:t>الحق</w:t>
      </w:r>
      <w:r>
        <w:rPr>
          <w:b/>
          <w:bCs/>
          <w:rtl/>
        </w:rPr>
        <w:t xml:space="preserve"> </w:t>
      </w:r>
      <w:r>
        <w:rPr>
          <w:rFonts w:hint="eastAsia"/>
          <w:b/>
          <w:bCs/>
          <w:rtl/>
        </w:rPr>
        <w:t>في</w:t>
      </w:r>
      <w:r>
        <w:rPr>
          <w:b/>
          <w:bCs/>
          <w:rtl/>
        </w:rPr>
        <w:t xml:space="preserve"> الضمان الاجتماعي</w:t>
      </w:r>
    </w:p>
    <w:p w:rsidR="00000000" w:rsidRDefault="00443EC1">
      <w:pPr>
        <w:spacing w:line="380" w:lineRule="exact"/>
        <w:jc w:val="center"/>
        <w:rPr>
          <w:b/>
          <w:bCs/>
          <w:rtl/>
        </w:rPr>
      </w:pPr>
      <w:r>
        <w:rPr>
          <w:rFonts w:hint="eastAsia"/>
          <w:b/>
          <w:bCs/>
          <w:rtl/>
        </w:rPr>
        <w:t>ألف</w:t>
      </w:r>
      <w:r>
        <w:rPr>
          <w:b/>
          <w:bCs/>
          <w:rtl/>
        </w:rPr>
        <w:t xml:space="preserve"> - الإطار القانوني</w:t>
      </w:r>
    </w:p>
    <w:p w:rsidR="00000000" w:rsidRDefault="00443EC1">
      <w:pPr>
        <w:spacing w:line="380" w:lineRule="exact"/>
        <w:jc w:val="both"/>
        <w:rPr>
          <w:rFonts w:hint="cs"/>
          <w:rtl/>
        </w:rPr>
      </w:pPr>
      <w:r>
        <w:rPr>
          <w:rtl/>
        </w:rPr>
        <w:t>904-</w:t>
      </w:r>
      <w:r>
        <w:rPr>
          <w:rtl/>
        </w:rPr>
        <w:tab/>
      </w:r>
      <w:r>
        <w:rPr>
          <w:rFonts w:hint="eastAsia"/>
          <w:rtl/>
        </w:rPr>
        <w:t>ت</w:t>
      </w:r>
      <w:r>
        <w:rPr>
          <w:rFonts w:hint="cs"/>
          <w:rtl/>
        </w:rPr>
        <w:t>نص</w:t>
      </w:r>
      <w:r>
        <w:rPr>
          <w:rtl/>
        </w:rPr>
        <w:t xml:space="preserve"> </w:t>
      </w:r>
      <w:r>
        <w:rPr>
          <w:rFonts w:hint="eastAsia"/>
          <w:rtl/>
        </w:rPr>
        <w:t>المادة</w:t>
      </w:r>
      <w:r>
        <w:rPr>
          <w:rtl/>
        </w:rPr>
        <w:t xml:space="preserve"> 39 من القانون ا</w:t>
      </w:r>
      <w:r>
        <w:rPr>
          <w:rtl/>
        </w:rPr>
        <w:t xml:space="preserve">لأساسي صراحة </w:t>
      </w:r>
      <w:r>
        <w:rPr>
          <w:rFonts w:hint="cs"/>
          <w:rtl/>
        </w:rPr>
        <w:t xml:space="preserve">على </w:t>
      </w:r>
      <w:r>
        <w:rPr>
          <w:rtl/>
        </w:rPr>
        <w:t xml:space="preserve">الحق في الضمان الاجتماعي، وتنص على </w:t>
      </w:r>
      <w:r>
        <w:rPr>
          <w:rFonts w:hint="eastAsia"/>
          <w:rtl/>
        </w:rPr>
        <w:t>أن</w:t>
      </w:r>
      <w:r>
        <w:rPr>
          <w:rtl/>
        </w:rPr>
        <w:t xml:space="preserve"> </w:t>
      </w:r>
    </w:p>
    <w:p w:rsidR="00000000" w:rsidRDefault="00443EC1">
      <w:pPr>
        <w:spacing w:line="380" w:lineRule="exact"/>
        <w:ind w:left="720"/>
        <w:jc w:val="both"/>
        <w:rPr>
          <w:rFonts w:hint="cs"/>
          <w:rtl/>
        </w:rPr>
      </w:pPr>
      <w:r>
        <w:rPr>
          <w:rFonts w:hint="cs"/>
          <w:rtl/>
        </w:rPr>
        <w:t>"</w:t>
      </w:r>
      <w:r>
        <w:rPr>
          <w:rtl/>
        </w:rPr>
        <w:t xml:space="preserve">لسكان ماكاو الحق في الرعاية الاجتماعية وفقاً للقانون. ويحمي القانون </w:t>
      </w:r>
      <w:r>
        <w:rPr>
          <w:rFonts w:hint="cs"/>
          <w:rtl/>
        </w:rPr>
        <w:t>منافع</w:t>
      </w:r>
      <w:r>
        <w:rPr>
          <w:rtl/>
        </w:rPr>
        <w:t xml:space="preserve"> </w:t>
      </w:r>
      <w:r>
        <w:rPr>
          <w:rFonts w:hint="eastAsia"/>
          <w:rtl/>
        </w:rPr>
        <w:t>الرعاية</w:t>
      </w:r>
      <w:r>
        <w:rPr>
          <w:rtl/>
        </w:rPr>
        <w:t xml:space="preserve"> الاجتماعية وأمن</w:t>
      </w:r>
      <w:r>
        <w:rPr>
          <w:rFonts w:hint="cs"/>
          <w:rtl/>
        </w:rPr>
        <w:t xml:space="preserve"> المعاش</w:t>
      </w:r>
      <w:r>
        <w:rPr>
          <w:rtl/>
        </w:rPr>
        <w:t xml:space="preserve"> التقاعد</w:t>
      </w:r>
      <w:r>
        <w:rPr>
          <w:rFonts w:hint="cs"/>
          <w:rtl/>
        </w:rPr>
        <w:t>ي</w:t>
      </w:r>
      <w:r>
        <w:rPr>
          <w:rtl/>
        </w:rPr>
        <w:t xml:space="preserve"> للقوى العاملة"</w:t>
      </w:r>
      <w:r>
        <w:rPr>
          <w:rFonts w:hint="cs"/>
          <w:rtl/>
        </w:rPr>
        <w:t>.</w:t>
      </w:r>
    </w:p>
    <w:p w:rsidR="00000000" w:rsidRDefault="00443EC1">
      <w:pPr>
        <w:spacing w:line="380" w:lineRule="exact"/>
        <w:jc w:val="both"/>
        <w:rPr>
          <w:rtl/>
        </w:rPr>
      </w:pPr>
      <w:r>
        <w:rPr>
          <w:rtl/>
        </w:rPr>
        <w:t xml:space="preserve">وإضافة إلى ذلك، واستناداً </w:t>
      </w:r>
      <w:r>
        <w:rPr>
          <w:rFonts w:hint="eastAsia"/>
          <w:rtl/>
        </w:rPr>
        <w:t>إلى</w:t>
      </w:r>
      <w:r>
        <w:rPr>
          <w:rtl/>
        </w:rPr>
        <w:t xml:space="preserve"> المادة 130 من القانون الأساسي، </w:t>
      </w:r>
      <w:r>
        <w:rPr>
          <w:rFonts w:hint="cs"/>
          <w:rtl/>
        </w:rPr>
        <w:t>تتمثل</w:t>
      </w:r>
      <w:r>
        <w:rPr>
          <w:rtl/>
        </w:rPr>
        <w:t xml:space="preserve"> إح</w:t>
      </w:r>
      <w:r>
        <w:rPr>
          <w:rtl/>
        </w:rPr>
        <w:t xml:space="preserve">دى مسؤوليات حكومة مقاطعة ماكاو </w:t>
      </w:r>
      <w:r>
        <w:rPr>
          <w:rFonts w:hint="cs"/>
          <w:rtl/>
        </w:rPr>
        <w:t>في</w:t>
      </w:r>
      <w:r>
        <w:rPr>
          <w:rtl/>
        </w:rPr>
        <w:t xml:space="preserve"> </w:t>
      </w:r>
      <w:r>
        <w:rPr>
          <w:rFonts w:hint="eastAsia"/>
          <w:rtl/>
        </w:rPr>
        <w:t>صياغة</w:t>
      </w:r>
      <w:r>
        <w:rPr>
          <w:rtl/>
        </w:rPr>
        <w:t xml:space="preserve"> سياسات واستحداث تدابير ترمي إلى تعميم نظام رعاية </w:t>
      </w:r>
      <w:r>
        <w:rPr>
          <w:rFonts w:hint="cs"/>
          <w:rtl/>
        </w:rPr>
        <w:t>شامل</w:t>
      </w:r>
      <w:r>
        <w:rPr>
          <w:rtl/>
        </w:rPr>
        <w:t>.</w:t>
      </w:r>
    </w:p>
    <w:p w:rsidR="00000000" w:rsidRDefault="00443EC1">
      <w:pPr>
        <w:spacing w:line="380" w:lineRule="exact"/>
        <w:jc w:val="both"/>
        <w:rPr>
          <w:rtl/>
        </w:rPr>
      </w:pPr>
      <w:r>
        <w:rPr>
          <w:rtl/>
        </w:rPr>
        <w:t>905-</w:t>
      </w:r>
      <w:r>
        <w:rPr>
          <w:rtl/>
        </w:rPr>
        <w:tab/>
      </w:r>
      <w:r>
        <w:rPr>
          <w:rFonts w:hint="eastAsia"/>
          <w:rtl/>
        </w:rPr>
        <w:t>وفي</w:t>
      </w:r>
      <w:r>
        <w:rPr>
          <w:rtl/>
        </w:rPr>
        <w:t xml:space="preserve"> </w:t>
      </w:r>
      <w:r>
        <w:rPr>
          <w:rFonts w:hint="eastAsia"/>
          <w:rtl/>
        </w:rPr>
        <w:t>هذا</w:t>
      </w:r>
      <w:r>
        <w:rPr>
          <w:rtl/>
        </w:rPr>
        <w:t xml:space="preserve"> الإطار، </w:t>
      </w:r>
      <w:r>
        <w:rPr>
          <w:rFonts w:hint="cs"/>
          <w:rtl/>
        </w:rPr>
        <w:t>يجري في الوقت الراهن</w:t>
      </w:r>
      <w:r>
        <w:rPr>
          <w:rtl/>
        </w:rPr>
        <w:t xml:space="preserve"> </w:t>
      </w:r>
      <w:r>
        <w:rPr>
          <w:rFonts w:hint="cs"/>
          <w:rtl/>
        </w:rPr>
        <w:t xml:space="preserve">إدخال </w:t>
      </w:r>
      <w:r>
        <w:rPr>
          <w:rtl/>
        </w:rPr>
        <w:t>عدد من التغ</w:t>
      </w:r>
      <w:r>
        <w:rPr>
          <w:rFonts w:hint="cs"/>
          <w:rtl/>
        </w:rPr>
        <w:t>ي</w:t>
      </w:r>
      <w:r>
        <w:rPr>
          <w:rtl/>
        </w:rPr>
        <w:t xml:space="preserve">يرات القانونية بغية تحسين النظام الحالي للضمان </w:t>
      </w:r>
      <w:r>
        <w:rPr>
          <w:rFonts w:hint="eastAsia"/>
          <w:rtl/>
        </w:rPr>
        <w:t>الاجتماعي</w:t>
      </w:r>
      <w:r>
        <w:rPr>
          <w:rtl/>
        </w:rPr>
        <w:t>.</w:t>
      </w:r>
    </w:p>
    <w:p w:rsidR="00000000" w:rsidRDefault="00443EC1">
      <w:pPr>
        <w:spacing w:line="380" w:lineRule="exact"/>
        <w:jc w:val="both"/>
        <w:rPr>
          <w:rtl/>
        </w:rPr>
      </w:pPr>
      <w:r>
        <w:rPr>
          <w:rtl/>
        </w:rPr>
        <w:t>906-</w:t>
      </w:r>
      <w:r>
        <w:rPr>
          <w:rtl/>
        </w:rPr>
        <w:tab/>
        <w:t>وفضلاً عن ذلك، يستهد</w:t>
      </w:r>
      <w:r>
        <w:rPr>
          <w:rFonts w:hint="cs"/>
          <w:rtl/>
        </w:rPr>
        <w:t>ِ</w:t>
      </w:r>
      <w:r>
        <w:rPr>
          <w:rtl/>
        </w:rPr>
        <w:t>ف الدعم المالي ال</w:t>
      </w:r>
      <w:r>
        <w:rPr>
          <w:rtl/>
        </w:rPr>
        <w:t xml:space="preserve">رئيسي الذي تقدمه الحكومة </w:t>
      </w:r>
      <w:r>
        <w:rPr>
          <w:rFonts w:hint="cs"/>
          <w:rtl/>
        </w:rPr>
        <w:t>معضلة</w:t>
      </w:r>
      <w:r>
        <w:rPr>
          <w:rtl/>
        </w:rPr>
        <w:t xml:space="preserve"> </w:t>
      </w:r>
      <w:r>
        <w:rPr>
          <w:rFonts w:hint="eastAsia"/>
          <w:rtl/>
        </w:rPr>
        <w:t>البطالة</w:t>
      </w:r>
      <w:r>
        <w:rPr>
          <w:rtl/>
        </w:rPr>
        <w:t xml:space="preserve"> وإعادة تأهيل القوى العاملة.</w:t>
      </w:r>
    </w:p>
    <w:p w:rsidR="00000000" w:rsidRDefault="00443EC1">
      <w:pPr>
        <w:spacing w:line="380" w:lineRule="exact"/>
        <w:jc w:val="both"/>
        <w:rPr>
          <w:rtl/>
        </w:rPr>
      </w:pPr>
      <w:r>
        <w:rPr>
          <w:rtl/>
        </w:rPr>
        <w:t>907-</w:t>
      </w:r>
      <w:r>
        <w:rPr>
          <w:rtl/>
        </w:rPr>
        <w:tab/>
      </w:r>
      <w:r>
        <w:rPr>
          <w:rFonts w:hint="cs"/>
          <w:rtl/>
        </w:rPr>
        <w:t>ويجدر</w:t>
      </w:r>
      <w:r>
        <w:rPr>
          <w:rtl/>
        </w:rPr>
        <w:t xml:space="preserve"> </w:t>
      </w:r>
      <w:r>
        <w:rPr>
          <w:rFonts w:hint="eastAsia"/>
          <w:rtl/>
        </w:rPr>
        <w:t>التنويه</w:t>
      </w:r>
      <w:r>
        <w:rPr>
          <w:rtl/>
        </w:rPr>
        <w:t xml:space="preserve"> </w:t>
      </w:r>
      <w:r>
        <w:rPr>
          <w:rFonts w:hint="cs"/>
          <w:rtl/>
        </w:rPr>
        <w:t>ب</w:t>
      </w:r>
      <w:r>
        <w:rPr>
          <w:rtl/>
        </w:rPr>
        <w:t xml:space="preserve">التقدم الهائل الذي أُحرز في مجال الضمان الاجتماعي منذ إعادة التوحيد. </w:t>
      </w:r>
      <w:r>
        <w:rPr>
          <w:rFonts w:hint="eastAsia"/>
          <w:rtl/>
        </w:rPr>
        <w:t>والهدف</w:t>
      </w:r>
      <w:r>
        <w:rPr>
          <w:rtl/>
        </w:rPr>
        <w:t xml:space="preserve"> </w:t>
      </w:r>
      <w:r>
        <w:rPr>
          <w:rFonts w:hint="cs"/>
          <w:rtl/>
        </w:rPr>
        <w:t>الرئيسي</w:t>
      </w:r>
      <w:r>
        <w:rPr>
          <w:rtl/>
        </w:rPr>
        <w:t xml:space="preserve"> من ذلك هو تصحيح أوجه الاختلال </w:t>
      </w:r>
      <w:r>
        <w:rPr>
          <w:rFonts w:hint="cs"/>
          <w:rtl/>
        </w:rPr>
        <w:t>الجلية</w:t>
      </w:r>
      <w:r>
        <w:rPr>
          <w:rtl/>
        </w:rPr>
        <w:t xml:space="preserve"> </w:t>
      </w:r>
      <w:r>
        <w:rPr>
          <w:rFonts w:hint="cs"/>
          <w:rtl/>
        </w:rPr>
        <w:t>وتقديم المعونة</w:t>
      </w:r>
      <w:r>
        <w:rPr>
          <w:rtl/>
        </w:rPr>
        <w:t xml:space="preserve"> لمن </w:t>
      </w:r>
      <w:r>
        <w:rPr>
          <w:rFonts w:hint="cs"/>
          <w:rtl/>
        </w:rPr>
        <w:t>هم</w:t>
      </w:r>
      <w:r>
        <w:rPr>
          <w:rtl/>
        </w:rPr>
        <w:t xml:space="preserve"> </w:t>
      </w:r>
      <w:r>
        <w:rPr>
          <w:rFonts w:hint="eastAsia"/>
          <w:rtl/>
        </w:rPr>
        <w:t>أكثر</w:t>
      </w:r>
      <w:r>
        <w:rPr>
          <w:rtl/>
        </w:rPr>
        <w:t xml:space="preserve"> حاجة إليها، مثل ذوي ا</w:t>
      </w:r>
      <w:r>
        <w:rPr>
          <w:rtl/>
        </w:rPr>
        <w:t xml:space="preserve">لدخل </w:t>
      </w:r>
      <w:r>
        <w:rPr>
          <w:rFonts w:hint="cs"/>
          <w:rtl/>
        </w:rPr>
        <w:t>المنخفض</w:t>
      </w:r>
      <w:r>
        <w:rPr>
          <w:rtl/>
        </w:rPr>
        <w:t>، والعاطلين عن العمل والمع</w:t>
      </w:r>
      <w:r>
        <w:rPr>
          <w:rFonts w:hint="cs"/>
          <w:rtl/>
        </w:rPr>
        <w:t>ا</w:t>
      </w:r>
      <w:r>
        <w:rPr>
          <w:rtl/>
        </w:rPr>
        <w:t xml:space="preserve">قين، </w:t>
      </w:r>
      <w:r>
        <w:rPr>
          <w:rFonts w:hint="cs"/>
          <w:rtl/>
        </w:rPr>
        <w:t xml:space="preserve">وبالتالي أُنشئت استحقاقات </w:t>
      </w:r>
      <w:r>
        <w:rPr>
          <w:rtl/>
        </w:rPr>
        <w:t>جديدة (الأمر 199/2000 المؤرخ 16</w:t>
      </w:r>
      <w:r>
        <w:rPr>
          <w:rFonts w:hint="cs"/>
          <w:rtl/>
        </w:rPr>
        <w:t xml:space="preserve"> </w:t>
      </w:r>
      <w:r>
        <w:rPr>
          <w:rFonts w:hint="eastAsia"/>
          <w:rtl/>
        </w:rPr>
        <w:t>تشرين</w:t>
      </w:r>
      <w:r>
        <w:rPr>
          <w:rtl/>
        </w:rPr>
        <w:t xml:space="preserve"> الأول/أكتوبر </w:t>
      </w:r>
      <w:r>
        <w:rPr>
          <w:rFonts w:hint="cs"/>
          <w:rtl/>
        </w:rPr>
        <w:t>الصادر عن</w:t>
      </w:r>
      <w:r>
        <w:rPr>
          <w:rtl/>
        </w:rPr>
        <w:t xml:space="preserve"> رئيس السلطة التنفيذية</w:t>
      </w:r>
      <w:r>
        <w:rPr>
          <w:rFonts w:hint="cs"/>
          <w:rtl/>
        </w:rPr>
        <w:t>)</w:t>
      </w:r>
      <w:r>
        <w:rPr>
          <w:rtl/>
        </w:rPr>
        <w:t>.</w:t>
      </w:r>
    </w:p>
    <w:p w:rsidR="00000000" w:rsidRDefault="00443EC1">
      <w:pPr>
        <w:spacing w:line="380" w:lineRule="exact"/>
        <w:jc w:val="both"/>
        <w:rPr>
          <w:spacing w:val="0"/>
          <w:rtl/>
        </w:rPr>
      </w:pPr>
      <w:r>
        <w:rPr>
          <w:spacing w:val="0"/>
          <w:rtl/>
        </w:rPr>
        <w:t>908-</w:t>
      </w:r>
      <w:r>
        <w:rPr>
          <w:spacing w:val="0"/>
          <w:rtl/>
        </w:rPr>
        <w:tab/>
      </w:r>
      <w:r>
        <w:rPr>
          <w:rFonts w:hint="eastAsia"/>
          <w:spacing w:val="0"/>
          <w:rtl/>
        </w:rPr>
        <w:t>كما</w:t>
      </w:r>
      <w:r>
        <w:rPr>
          <w:spacing w:val="0"/>
          <w:rtl/>
        </w:rPr>
        <w:t xml:space="preserve"> </w:t>
      </w:r>
      <w:r>
        <w:rPr>
          <w:rFonts w:hint="eastAsia"/>
          <w:spacing w:val="0"/>
          <w:rtl/>
        </w:rPr>
        <w:t>يمكن</w:t>
      </w:r>
      <w:r>
        <w:rPr>
          <w:spacing w:val="0"/>
          <w:rtl/>
        </w:rPr>
        <w:t xml:space="preserve"> للمنظمات المحلية الخاصة أن تقدم الخدمات الاجتماعية في مقاطعة ماكاو طالما </w:t>
      </w:r>
      <w:r>
        <w:rPr>
          <w:rFonts w:hint="cs"/>
          <w:spacing w:val="0"/>
          <w:rtl/>
        </w:rPr>
        <w:t xml:space="preserve">أنها </w:t>
      </w:r>
      <w:r>
        <w:rPr>
          <w:rFonts w:hint="eastAsia"/>
          <w:spacing w:val="0"/>
          <w:rtl/>
        </w:rPr>
        <w:t>لا</w:t>
      </w:r>
      <w:r>
        <w:rPr>
          <w:spacing w:val="0"/>
          <w:rtl/>
        </w:rPr>
        <w:t xml:space="preserve"> </w:t>
      </w:r>
      <w:r>
        <w:rPr>
          <w:rFonts w:hint="cs"/>
          <w:spacing w:val="0"/>
          <w:rtl/>
        </w:rPr>
        <w:t xml:space="preserve">تخالف </w:t>
      </w:r>
      <w:r>
        <w:rPr>
          <w:spacing w:val="0"/>
          <w:rtl/>
        </w:rPr>
        <w:t>القانون.</w:t>
      </w:r>
    </w:p>
    <w:p w:rsidR="00000000" w:rsidRDefault="00443EC1">
      <w:pPr>
        <w:spacing w:line="380" w:lineRule="exact"/>
        <w:jc w:val="center"/>
        <w:rPr>
          <w:b/>
          <w:bCs/>
          <w:rtl/>
        </w:rPr>
      </w:pPr>
      <w:r>
        <w:rPr>
          <w:rFonts w:hint="cs"/>
          <w:b/>
          <w:bCs/>
          <w:rtl/>
        </w:rPr>
        <w:t xml:space="preserve">باء - </w:t>
      </w:r>
      <w:r>
        <w:rPr>
          <w:rFonts w:hint="eastAsia"/>
          <w:b/>
          <w:bCs/>
          <w:rtl/>
        </w:rPr>
        <w:t>خطط</w:t>
      </w:r>
      <w:r>
        <w:rPr>
          <w:b/>
          <w:bCs/>
          <w:rtl/>
        </w:rPr>
        <w:t xml:space="preserve"> </w:t>
      </w:r>
      <w:r>
        <w:rPr>
          <w:rFonts w:hint="eastAsia"/>
          <w:b/>
          <w:bCs/>
          <w:rtl/>
        </w:rPr>
        <w:t>الضمان</w:t>
      </w:r>
      <w:r>
        <w:rPr>
          <w:b/>
          <w:bCs/>
          <w:rtl/>
        </w:rPr>
        <w:t xml:space="preserve"> الاجتماعي </w:t>
      </w:r>
      <w:r>
        <w:rPr>
          <w:rFonts w:hint="cs"/>
          <w:b/>
          <w:bCs/>
          <w:rtl/>
        </w:rPr>
        <w:t>ومنافعه</w:t>
      </w:r>
      <w:r>
        <w:rPr>
          <w:b/>
          <w:bCs/>
          <w:rtl/>
        </w:rPr>
        <w:t xml:space="preserve"> وطرائق تمويله</w:t>
      </w:r>
    </w:p>
    <w:p w:rsidR="00000000" w:rsidRDefault="00443EC1">
      <w:pPr>
        <w:spacing w:line="380" w:lineRule="exact"/>
        <w:jc w:val="both"/>
        <w:rPr>
          <w:rFonts w:hint="cs"/>
          <w:rtl/>
        </w:rPr>
      </w:pPr>
      <w:r>
        <w:rPr>
          <w:rtl/>
        </w:rPr>
        <w:t>909-</w:t>
      </w:r>
      <w:r>
        <w:rPr>
          <w:rtl/>
        </w:rPr>
        <w:tab/>
      </w:r>
      <w:r>
        <w:rPr>
          <w:rFonts w:hint="eastAsia"/>
          <w:rtl/>
        </w:rPr>
        <w:t>يوجد</w:t>
      </w:r>
      <w:r>
        <w:rPr>
          <w:rtl/>
        </w:rPr>
        <w:t xml:space="preserve"> </w:t>
      </w:r>
      <w:r>
        <w:rPr>
          <w:rFonts w:hint="eastAsia"/>
          <w:rtl/>
        </w:rPr>
        <w:t>نظامان</w:t>
      </w:r>
      <w:r>
        <w:rPr>
          <w:rtl/>
        </w:rPr>
        <w:t xml:space="preserve"> </w:t>
      </w:r>
      <w:r>
        <w:rPr>
          <w:rFonts w:hint="cs"/>
          <w:rtl/>
        </w:rPr>
        <w:t>رئيسيان</w:t>
      </w:r>
      <w:r>
        <w:rPr>
          <w:rtl/>
        </w:rPr>
        <w:t xml:space="preserve"> للضمان الاجتماعي: نظام لعمال القطاع العام وآخر لعمال القطاع </w:t>
      </w:r>
      <w:r>
        <w:rPr>
          <w:rFonts w:hint="eastAsia"/>
          <w:rtl/>
        </w:rPr>
        <w:t>الخاص</w:t>
      </w:r>
      <w:r>
        <w:rPr>
          <w:rtl/>
        </w:rPr>
        <w:t>.</w:t>
      </w:r>
    </w:p>
    <w:p w:rsidR="00000000" w:rsidRDefault="00443EC1">
      <w:pPr>
        <w:spacing w:line="380" w:lineRule="exact"/>
        <w:jc w:val="both"/>
        <w:rPr>
          <w:b/>
          <w:bCs/>
          <w:rtl/>
        </w:rPr>
      </w:pPr>
      <w:r>
        <w:rPr>
          <w:rFonts w:hint="eastAsia"/>
          <w:b/>
          <w:bCs/>
          <w:rtl/>
        </w:rPr>
        <w:t>القطاع</w:t>
      </w:r>
      <w:r>
        <w:rPr>
          <w:b/>
          <w:bCs/>
          <w:rtl/>
        </w:rPr>
        <w:t xml:space="preserve"> العام</w:t>
      </w:r>
    </w:p>
    <w:p w:rsidR="00000000" w:rsidRDefault="00443EC1">
      <w:pPr>
        <w:spacing w:line="380" w:lineRule="exact"/>
        <w:jc w:val="both"/>
        <w:rPr>
          <w:rtl/>
        </w:rPr>
      </w:pPr>
      <w:r>
        <w:rPr>
          <w:rtl/>
        </w:rPr>
        <w:t>910-</w:t>
      </w:r>
      <w:r>
        <w:rPr>
          <w:rtl/>
        </w:rPr>
        <w:tab/>
      </w:r>
      <w:r>
        <w:rPr>
          <w:rFonts w:hint="eastAsia"/>
          <w:rtl/>
        </w:rPr>
        <w:t>يحق</w:t>
      </w:r>
      <w:r>
        <w:rPr>
          <w:rtl/>
        </w:rPr>
        <w:t xml:space="preserve"> </w:t>
      </w:r>
      <w:r>
        <w:rPr>
          <w:rFonts w:hint="eastAsia"/>
          <w:rtl/>
        </w:rPr>
        <w:t>لعمال</w:t>
      </w:r>
      <w:r>
        <w:rPr>
          <w:rtl/>
        </w:rPr>
        <w:t xml:space="preserve"> القطاع العام الحصول على عدد من </w:t>
      </w:r>
      <w:r>
        <w:rPr>
          <w:rFonts w:hint="cs"/>
          <w:rtl/>
        </w:rPr>
        <w:t>المنافع</w:t>
      </w:r>
      <w:r>
        <w:rPr>
          <w:rtl/>
        </w:rPr>
        <w:t xml:space="preserve"> تُمنح لهم وفقاً لحالتهم </w:t>
      </w:r>
      <w:r>
        <w:rPr>
          <w:rFonts w:hint="eastAsia"/>
          <w:rtl/>
        </w:rPr>
        <w:t>العائلية،</w:t>
      </w:r>
      <w:r>
        <w:rPr>
          <w:rtl/>
        </w:rPr>
        <w:t xml:space="preserve"> مثل </w:t>
      </w:r>
      <w:r>
        <w:rPr>
          <w:rFonts w:hint="cs"/>
          <w:rtl/>
        </w:rPr>
        <w:t>ا</w:t>
      </w:r>
      <w:r>
        <w:rPr>
          <w:rFonts w:hint="cs"/>
          <w:rtl/>
        </w:rPr>
        <w:t>لمنافع</w:t>
      </w:r>
      <w:r>
        <w:rPr>
          <w:rtl/>
        </w:rPr>
        <w:t xml:space="preserve"> العائلية، وبدل السكن، وإعانات الزواج</w:t>
      </w:r>
      <w:r>
        <w:rPr>
          <w:rFonts w:hint="cs"/>
          <w:rtl/>
        </w:rPr>
        <w:t>، واستحقاقات</w:t>
      </w:r>
      <w:r>
        <w:rPr>
          <w:rtl/>
        </w:rPr>
        <w:t xml:space="preserve"> الأمومة. </w:t>
      </w:r>
      <w:r>
        <w:rPr>
          <w:rFonts w:hint="eastAsia"/>
          <w:rtl/>
        </w:rPr>
        <w:t>كما</w:t>
      </w:r>
      <w:r>
        <w:rPr>
          <w:rtl/>
        </w:rPr>
        <w:t xml:space="preserve"> تُمنح </w:t>
      </w:r>
      <w:r>
        <w:rPr>
          <w:rFonts w:hint="cs"/>
          <w:rtl/>
        </w:rPr>
        <w:t>منافع</w:t>
      </w:r>
      <w:r>
        <w:rPr>
          <w:rtl/>
        </w:rPr>
        <w:t xml:space="preserve"> أخرى بموجب الضمان الاجتماعي، مثل علاوات العُطل (بما في ذلك </w:t>
      </w:r>
      <w:r>
        <w:rPr>
          <w:rFonts w:hint="eastAsia"/>
          <w:rtl/>
        </w:rPr>
        <w:t>عيد</w:t>
      </w:r>
      <w:r>
        <w:rPr>
          <w:rtl/>
        </w:rPr>
        <w:t xml:space="preserve"> ميلاد المسيح)، </w:t>
      </w:r>
      <w:r>
        <w:rPr>
          <w:rFonts w:hint="cs"/>
          <w:rtl/>
        </w:rPr>
        <w:t>وبدل</w:t>
      </w:r>
      <w:r>
        <w:rPr>
          <w:rtl/>
        </w:rPr>
        <w:t xml:space="preserve"> الانتقال، </w:t>
      </w:r>
      <w:r>
        <w:rPr>
          <w:rFonts w:hint="cs"/>
          <w:rtl/>
        </w:rPr>
        <w:t>ومستحقات المعاش</w:t>
      </w:r>
      <w:r>
        <w:rPr>
          <w:rtl/>
        </w:rPr>
        <w:t xml:space="preserve"> التقاعدي، واستحقاقات </w:t>
      </w:r>
      <w:r>
        <w:rPr>
          <w:rFonts w:hint="cs"/>
          <w:rtl/>
        </w:rPr>
        <w:t>الباقين قيد الحياة</w:t>
      </w:r>
      <w:r>
        <w:rPr>
          <w:rtl/>
        </w:rPr>
        <w:t xml:space="preserve">، وبدل </w:t>
      </w:r>
      <w:r>
        <w:rPr>
          <w:rFonts w:hint="eastAsia"/>
          <w:rtl/>
        </w:rPr>
        <w:t>الوفاة،</w:t>
      </w:r>
      <w:r>
        <w:rPr>
          <w:rtl/>
        </w:rPr>
        <w:t xml:space="preserve"> واستحقاقات م</w:t>
      </w:r>
      <w:r>
        <w:rPr>
          <w:rtl/>
        </w:rPr>
        <w:t xml:space="preserve">راسم الدفن </w:t>
      </w:r>
      <w:r>
        <w:rPr>
          <w:rFonts w:hint="cs"/>
          <w:rtl/>
        </w:rPr>
        <w:t>ومنافع</w:t>
      </w:r>
      <w:r>
        <w:rPr>
          <w:rtl/>
        </w:rPr>
        <w:t xml:space="preserve"> </w:t>
      </w:r>
      <w:r>
        <w:rPr>
          <w:rFonts w:hint="cs"/>
          <w:rtl/>
        </w:rPr>
        <w:t>ا</w:t>
      </w:r>
      <w:r>
        <w:rPr>
          <w:rtl/>
        </w:rPr>
        <w:t xml:space="preserve">لرعاية الطبية (الخدمات الطبية </w:t>
      </w:r>
      <w:r>
        <w:rPr>
          <w:rFonts w:hint="eastAsia"/>
          <w:rtl/>
        </w:rPr>
        <w:t>والأدوية</w:t>
      </w:r>
      <w:r>
        <w:rPr>
          <w:rtl/>
        </w:rPr>
        <w:t>).</w:t>
      </w:r>
    </w:p>
    <w:p w:rsidR="00000000" w:rsidRDefault="00443EC1">
      <w:pPr>
        <w:spacing w:line="380" w:lineRule="exact"/>
        <w:jc w:val="both"/>
        <w:rPr>
          <w:rtl/>
        </w:rPr>
      </w:pPr>
      <w:r>
        <w:rPr>
          <w:rtl/>
        </w:rPr>
        <w:t>911-</w:t>
      </w:r>
      <w:r>
        <w:rPr>
          <w:rtl/>
        </w:rPr>
        <w:tab/>
      </w:r>
      <w:r>
        <w:rPr>
          <w:rFonts w:hint="eastAsia"/>
          <w:rtl/>
        </w:rPr>
        <w:t>وفي</w:t>
      </w:r>
      <w:r>
        <w:rPr>
          <w:rtl/>
        </w:rPr>
        <w:t xml:space="preserve"> </w:t>
      </w:r>
      <w:r>
        <w:rPr>
          <w:rFonts w:hint="eastAsia"/>
          <w:rtl/>
        </w:rPr>
        <w:t>حالة</w:t>
      </w:r>
      <w:r>
        <w:rPr>
          <w:rtl/>
        </w:rPr>
        <w:t xml:space="preserve"> العمال المتقاعدين، تُمنح تلك </w:t>
      </w:r>
      <w:r>
        <w:rPr>
          <w:rFonts w:hint="cs"/>
          <w:rtl/>
        </w:rPr>
        <w:t>المنافع</w:t>
      </w:r>
      <w:r>
        <w:rPr>
          <w:rtl/>
        </w:rPr>
        <w:t xml:space="preserve"> عن طريق صندوق </w:t>
      </w:r>
      <w:r>
        <w:rPr>
          <w:rFonts w:hint="cs"/>
          <w:rtl/>
        </w:rPr>
        <w:t>ا</w:t>
      </w:r>
      <w:r>
        <w:rPr>
          <w:rtl/>
        </w:rPr>
        <w:t>لمعاشات</w:t>
      </w:r>
      <w:r>
        <w:rPr>
          <w:rFonts w:hint="cs"/>
          <w:rtl/>
        </w:rPr>
        <w:t xml:space="preserve"> التقاعدية لمقاطعة </w:t>
      </w:r>
      <w:r>
        <w:rPr>
          <w:rtl/>
        </w:rPr>
        <w:t xml:space="preserve">ماكاو، وهو </w:t>
      </w:r>
      <w:r>
        <w:rPr>
          <w:rFonts w:hint="cs"/>
          <w:rtl/>
        </w:rPr>
        <w:t>مؤسسة</w:t>
      </w:r>
      <w:r>
        <w:rPr>
          <w:rtl/>
        </w:rPr>
        <w:t xml:space="preserve"> مستقلة تابعة لحكومة </w:t>
      </w:r>
      <w:r>
        <w:rPr>
          <w:rFonts w:hint="cs"/>
          <w:rtl/>
        </w:rPr>
        <w:t>ال</w:t>
      </w:r>
      <w:r>
        <w:rPr>
          <w:rtl/>
        </w:rPr>
        <w:t>مقاطعة.</w:t>
      </w:r>
    </w:p>
    <w:p w:rsidR="00000000" w:rsidRDefault="00443EC1">
      <w:pPr>
        <w:spacing w:line="380" w:lineRule="exact"/>
        <w:jc w:val="both"/>
        <w:rPr>
          <w:rtl/>
        </w:rPr>
      </w:pPr>
      <w:r>
        <w:rPr>
          <w:rtl/>
        </w:rPr>
        <w:t>912-</w:t>
      </w:r>
      <w:r>
        <w:rPr>
          <w:rtl/>
        </w:rPr>
        <w:tab/>
      </w:r>
      <w:r>
        <w:rPr>
          <w:rFonts w:hint="eastAsia"/>
          <w:rtl/>
        </w:rPr>
        <w:t>وخطة</w:t>
      </w:r>
      <w:r>
        <w:rPr>
          <w:rtl/>
        </w:rPr>
        <w:t xml:space="preserve"> </w:t>
      </w:r>
      <w:r>
        <w:rPr>
          <w:rFonts w:hint="eastAsia"/>
          <w:rtl/>
        </w:rPr>
        <w:t>معاشات</w:t>
      </w:r>
      <w:r>
        <w:rPr>
          <w:rtl/>
        </w:rPr>
        <w:t xml:space="preserve"> الإدارة العامة هي خطة </w:t>
      </w:r>
      <w:r>
        <w:rPr>
          <w:rFonts w:hint="cs"/>
          <w:rtl/>
        </w:rPr>
        <w:t>منافع</w:t>
      </w:r>
      <w:r>
        <w:rPr>
          <w:rtl/>
        </w:rPr>
        <w:t xml:space="preserve"> </w:t>
      </w:r>
      <w:r>
        <w:rPr>
          <w:rFonts w:hint="cs"/>
          <w:rtl/>
        </w:rPr>
        <w:t>واضحة</w:t>
      </w:r>
      <w:r>
        <w:rPr>
          <w:rtl/>
        </w:rPr>
        <w:t xml:space="preserve"> </w:t>
      </w:r>
      <w:r>
        <w:rPr>
          <w:rFonts w:hint="cs"/>
          <w:rtl/>
        </w:rPr>
        <w:t>المعال</w:t>
      </w:r>
      <w:r>
        <w:rPr>
          <w:rFonts w:hint="cs"/>
          <w:rtl/>
        </w:rPr>
        <w:t>م</w:t>
      </w:r>
      <w:r>
        <w:rPr>
          <w:rtl/>
        </w:rPr>
        <w:t xml:space="preserve">. ومصدر تمويلها الرئيسي هو </w:t>
      </w:r>
      <w:r>
        <w:rPr>
          <w:rFonts w:hint="eastAsia"/>
          <w:rtl/>
        </w:rPr>
        <w:t>الاشتراكات</w:t>
      </w:r>
      <w:r>
        <w:rPr>
          <w:rtl/>
        </w:rPr>
        <w:t xml:space="preserve"> المنتظمة التي يدفعها العاملون ونسبة من ميزانية المقاطعة (المادة 259 </w:t>
      </w:r>
      <w:r>
        <w:rPr>
          <w:rFonts w:hint="eastAsia"/>
          <w:rtl/>
        </w:rPr>
        <w:t>من</w:t>
      </w:r>
      <w:r>
        <w:rPr>
          <w:rtl/>
        </w:rPr>
        <w:t xml:space="preserve"> </w:t>
      </w:r>
      <w:r>
        <w:rPr>
          <w:rFonts w:hint="cs"/>
          <w:rtl/>
        </w:rPr>
        <w:t>قانون موظفي الإدارة العامة</w:t>
      </w:r>
      <w:r>
        <w:rPr>
          <w:rtl/>
        </w:rPr>
        <w:t xml:space="preserve">). </w:t>
      </w:r>
      <w:r>
        <w:rPr>
          <w:rFonts w:hint="cs"/>
          <w:rtl/>
        </w:rPr>
        <w:t>وتحسب</w:t>
      </w:r>
      <w:r>
        <w:rPr>
          <w:rtl/>
        </w:rPr>
        <w:t xml:space="preserve"> قيمة المعاش </w:t>
      </w:r>
      <w:r>
        <w:rPr>
          <w:rFonts w:hint="eastAsia"/>
          <w:rtl/>
        </w:rPr>
        <w:t>التقاعدي</w:t>
      </w:r>
      <w:r>
        <w:rPr>
          <w:rtl/>
        </w:rPr>
        <w:t xml:space="preserve"> على </w:t>
      </w:r>
      <w:r>
        <w:rPr>
          <w:rFonts w:hint="cs"/>
          <w:rtl/>
        </w:rPr>
        <w:t xml:space="preserve">أساس </w:t>
      </w:r>
      <w:r>
        <w:rPr>
          <w:rtl/>
        </w:rPr>
        <w:t>عدد سنوات الخدمة في الإدارة وفئة المكافأة عند تقاعد العامل.</w:t>
      </w:r>
    </w:p>
    <w:p w:rsidR="00000000" w:rsidRDefault="00443EC1">
      <w:pPr>
        <w:spacing w:before="120" w:after="120" w:line="380" w:lineRule="exact"/>
        <w:jc w:val="both"/>
        <w:rPr>
          <w:rFonts w:hint="cs"/>
          <w:b/>
          <w:bCs/>
          <w:rtl/>
        </w:rPr>
      </w:pPr>
    </w:p>
    <w:p w:rsidR="00000000" w:rsidRDefault="00443EC1">
      <w:pPr>
        <w:spacing w:before="120" w:after="120" w:line="380" w:lineRule="exact"/>
        <w:jc w:val="both"/>
        <w:rPr>
          <w:b/>
          <w:bCs/>
          <w:rtl/>
        </w:rPr>
      </w:pPr>
      <w:r>
        <w:rPr>
          <w:rFonts w:hint="eastAsia"/>
          <w:b/>
          <w:bCs/>
          <w:rtl/>
        </w:rPr>
        <w:t>خطة</w:t>
      </w:r>
      <w:r>
        <w:rPr>
          <w:b/>
          <w:bCs/>
          <w:rtl/>
        </w:rPr>
        <w:t xml:space="preserve"> </w:t>
      </w:r>
      <w:r>
        <w:rPr>
          <w:rFonts w:hint="eastAsia"/>
          <w:b/>
          <w:bCs/>
          <w:rtl/>
        </w:rPr>
        <w:t>الضمان</w:t>
      </w:r>
      <w:r>
        <w:rPr>
          <w:b/>
          <w:bCs/>
          <w:rtl/>
        </w:rPr>
        <w:t xml:space="preserve"> الاجتماعي</w:t>
      </w:r>
      <w:r>
        <w:rPr>
          <w:b/>
          <w:bCs/>
          <w:rtl/>
        </w:rPr>
        <w:t xml:space="preserve"> للإدارة العامة</w:t>
      </w:r>
    </w:p>
    <w:tbl>
      <w:tblPr>
        <w:bidiVisual/>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630"/>
        <w:gridCol w:w="6940"/>
      </w:tblGrid>
      <w:tr w:rsidR="00443EC1" w:rsidTr="00443EC1">
        <w:tc>
          <w:tcPr>
            <w:tcW w:w="2630" w:type="dxa"/>
            <w:tcBorders>
              <w:top w:val="single" w:sz="4" w:space="0" w:color="auto"/>
              <w:left w:val="single" w:sz="4" w:space="0" w:color="auto"/>
              <w:bottom w:val="single" w:sz="4" w:space="0" w:color="auto"/>
              <w:right w:val="single" w:sz="4" w:space="0" w:color="auto"/>
            </w:tcBorders>
          </w:tcPr>
          <w:p w:rsidR="00443EC1" w:rsidRDefault="00443EC1">
            <w:pPr>
              <w:spacing w:before="0" w:after="100" w:line="280" w:lineRule="exact"/>
              <w:jc w:val="center"/>
              <w:rPr>
                <w:rFonts w:hint="cs"/>
              </w:rPr>
            </w:pPr>
            <w:r>
              <w:rPr>
                <w:rFonts w:hint="cs"/>
                <w:rtl/>
              </w:rPr>
              <w:t>الاستحقاقات</w:t>
            </w:r>
          </w:p>
        </w:tc>
        <w:tc>
          <w:tcPr>
            <w:tcW w:w="6940" w:type="dxa"/>
            <w:tcBorders>
              <w:top w:val="single" w:sz="4" w:space="0" w:color="auto"/>
              <w:left w:val="single" w:sz="4" w:space="0" w:color="auto"/>
              <w:bottom w:val="single" w:sz="4" w:space="0" w:color="auto"/>
              <w:right w:val="single" w:sz="4" w:space="0" w:color="auto"/>
            </w:tcBorders>
          </w:tcPr>
          <w:p w:rsidR="00443EC1" w:rsidRDefault="00443EC1">
            <w:pPr>
              <w:spacing w:before="0" w:after="100" w:line="280" w:lineRule="exact"/>
              <w:jc w:val="center"/>
            </w:pPr>
            <w:r>
              <w:rPr>
                <w:rFonts w:hint="cs"/>
                <w:rtl/>
              </w:rPr>
              <w:t xml:space="preserve">السمات </w:t>
            </w:r>
            <w:r>
              <w:rPr>
                <w:rtl/>
              </w:rPr>
              <w:t>الرئيسية</w:t>
            </w:r>
          </w:p>
        </w:tc>
      </w:tr>
      <w:tr w:rsidR="00443EC1" w:rsidTr="00443EC1">
        <w:tc>
          <w:tcPr>
            <w:tcW w:w="2630" w:type="dxa"/>
            <w:tcBorders>
              <w:top w:val="single" w:sz="4" w:space="0" w:color="auto"/>
              <w:left w:val="single" w:sz="4" w:space="0" w:color="auto"/>
              <w:bottom w:val="nil"/>
              <w:right w:val="single" w:sz="4" w:space="0" w:color="auto"/>
            </w:tcBorders>
          </w:tcPr>
          <w:p w:rsidR="00443EC1" w:rsidRDefault="00443EC1">
            <w:pPr>
              <w:spacing w:before="0" w:after="100" w:line="280" w:lineRule="exact"/>
              <w:jc w:val="both"/>
            </w:pPr>
            <w:r>
              <w:rPr>
                <w:rFonts w:hint="eastAsia"/>
                <w:rtl/>
              </w:rPr>
              <w:t>الرعاية</w:t>
            </w:r>
            <w:r>
              <w:rPr>
                <w:rtl/>
              </w:rPr>
              <w:t xml:space="preserve"> الطبية</w:t>
            </w:r>
          </w:p>
        </w:tc>
        <w:tc>
          <w:tcPr>
            <w:tcW w:w="6940" w:type="dxa"/>
            <w:tcBorders>
              <w:top w:val="single" w:sz="4" w:space="0" w:color="auto"/>
              <w:left w:val="single" w:sz="4" w:space="0" w:color="auto"/>
              <w:bottom w:val="nil"/>
              <w:right w:val="single" w:sz="4" w:space="0" w:color="auto"/>
            </w:tcBorders>
          </w:tcPr>
          <w:p w:rsidR="00443EC1" w:rsidRDefault="00443EC1">
            <w:pPr>
              <w:spacing w:before="0" w:after="100" w:line="280" w:lineRule="exact"/>
              <w:jc w:val="both"/>
              <w:rPr>
                <w:spacing w:val="0"/>
              </w:rPr>
            </w:pPr>
            <w:r>
              <w:rPr>
                <w:rFonts w:hint="eastAsia"/>
                <w:spacing w:val="0"/>
                <w:rtl/>
              </w:rPr>
              <w:t>المستفيدون</w:t>
            </w:r>
            <w:r>
              <w:rPr>
                <w:spacing w:val="0"/>
                <w:rtl/>
              </w:rPr>
              <w:t xml:space="preserve">: </w:t>
            </w:r>
            <w:r>
              <w:rPr>
                <w:rFonts w:hint="eastAsia"/>
                <w:spacing w:val="0"/>
                <w:rtl/>
              </w:rPr>
              <w:t>العمال</w:t>
            </w:r>
            <w:r>
              <w:rPr>
                <w:spacing w:val="0"/>
                <w:rtl/>
              </w:rPr>
              <w:t xml:space="preserve"> والعمال المتقاعدون، وغيرهم من </w:t>
            </w:r>
            <w:r>
              <w:rPr>
                <w:rFonts w:hint="cs"/>
                <w:spacing w:val="0"/>
                <w:rtl/>
              </w:rPr>
              <w:t>أفراد</w:t>
            </w:r>
            <w:r>
              <w:rPr>
                <w:spacing w:val="0"/>
                <w:rtl/>
              </w:rPr>
              <w:t xml:space="preserve"> الأسرة المع</w:t>
            </w:r>
            <w:r>
              <w:rPr>
                <w:rFonts w:hint="cs"/>
                <w:spacing w:val="0"/>
                <w:rtl/>
              </w:rPr>
              <w:t>ا</w:t>
            </w:r>
            <w:r>
              <w:rPr>
                <w:spacing w:val="0"/>
                <w:rtl/>
              </w:rPr>
              <w:t xml:space="preserve">لين الذين </w:t>
            </w:r>
            <w:r>
              <w:rPr>
                <w:rFonts w:hint="cs"/>
                <w:spacing w:val="0"/>
                <w:rtl/>
              </w:rPr>
              <w:t xml:space="preserve">لا </w:t>
            </w:r>
            <w:r>
              <w:rPr>
                <w:spacing w:val="0"/>
                <w:rtl/>
              </w:rPr>
              <w:t xml:space="preserve">تغطيهم </w:t>
            </w:r>
            <w:r>
              <w:rPr>
                <w:rFonts w:hint="eastAsia"/>
                <w:spacing w:val="0"/>
                <w:rtl/>
              </w:rPr>
              <w:t>خطة</w:t>
            </w:r>
            <w:r>
              <w:rPr>
                <w:spacing w:val="0"/>
                <w:rtl/>
              </w:rPr>
              <w:t xml:space="preserve"> أخرى لحماية الرعاية الصحية</w:t>
            </w:r>
            <w:r>
              <w:rPr>
                <w:rFonts w:hint="cs"/>
                <w:spacing w:val="0"/>
                <w:rtl/>
              </w:rPr>
              <w:t>؛</w:t>
            </w:r>
            <w:r>
              <w:rPr>
                <w:spacing w:val="0"/>
                <w:rtl/>
              </w:rPr>
              <w:t xml:space="preserve"> أو الأسر </w:t>
            </w:r>
            <w:r>
              <w:rPr>
                <w:rFonts w:hint="cs"/>
                <w:spacing w:val="0"/>
                <w:rtl/>
              </w:rPr>
              <w:t>التي تغطيها</w:t>
            </w:r>
            <w:r>
              <w:rPr>
                <w:spacing w:val="0"/>
                <w:rtl/>
              </w:rPr>
              <w:t xml:space="preserve"> خطة </w:t>
            </w:r>
            <w:r>
              <w:rPr>
                <w:rFonts w:hint="cs"/>
                <w:spacing w:val="0"/>
                <w:rtl/>
              </w:rPr>
              <w:t>منافع الباقين قيد الحياة</w:t>
            </w:r>
            <w:r>
              <w:rPr>
                <w:spacing w:val="0"/>
                <w:rtl/>
              </w:rPr>
              <w:t xml:space="preserve">. </w:t>
            </w:r>
            <w:r>
              <w:rPr>
                <w:rFonts w:hint="eastAsia"/>
                <w:spacing w:val="0"/>
                <w:rtl/>
              </w:rPr>
              <w:t>ويُحدَّد</w:t>
            </w:r>
            <w:r>
              <w:rPr>
                <w:spacing w:val="0"/>
                <w:rtl/>
              </w:rPr>
              <w:t xml:space="preserve"> اشتراك العامل ب‍ 0.5 في المائة من مجموع الأجور أو الرواتب أو </w:t>
            </w:r>
            <w:r>
              <w:rPr>
                <w:rFonts w:hint="eastAsia"/>
                <w:spacing w:val="0"/>
                <w:rtl/>
              </w:rPr>
              <w:t>المعاش</w:t>
            </w:r>
            <w:r>
              <w:rPr>
                <w:spacing w:val="0"/>
                <w:rtl/>
              </w:rPr>
              <w:t xml:space="preserve"> التقاعدي.</w:t>
            </w:r>
          </w:p>
        </w:tc>
      </w:tr>
      <w:tr w:rsidR="00443EC1" w:rsidTr="00443EC1">
        <w:tc>
          <w:tcPr>
            <w:tcW w:w="2630" w:type="dxa"/>
            <w:tcBorders>
              <w:top w:val="nil"/>
              <w:left w:val="single" w:sz="4" w:space="0" w:color="auto"/>
              <w:bottom w:val="nil"/>
              <w:right w:val="single" w:sz="4" w:space="0" w:color="auto"/>
            </w:tcBorders>
          </w:tcPr>
          <w:p w:rsidR="00443EC1" w:rsidRDefault="00443EC1">
            <w:pPr>
              <w:spacing w:before="0" w:after="100" w:line="280" w:lineRule="exact"/>
              <w:jc w:val="both"/>
            </w:pPr>
            <w:r>
              <w:rPr>
                <w:rFonts w:hint="cs"/>
                <w:rtl/>
              </w:rPr>
              <w:t>إعانات</w:t>
            </w:r>
            <w:r>
              <w:rPr>
                <w:rtl/>
              </w:rPr>
              <w:t xml:space="preserve"> الزواج</w:t>
            </w:r>
          </w:p>
        </w:tc>
        <w:tc>
          <w:tcPr>
            <w:tcW w:w="6940" w:type="dxa"/>
            <w:tcBorders>
              <w:top w:val="nil"/>
              <w:left w:val="single" w:sz="4" w:space="0" w:color="auto"/>
              <w:bottom w:val="nil"/>
              <w:right w:val="single" w:sz="4" w:space="0" w:color="auto"/>
            </w:tcBorders>
          </w:tcPr>
          <w:p w:rsidR="00443EC1" w:rsidRDefault="00443EC1">
            <w:pPr>
              <w:spacing w:before="0" w:after="100" w:line="280" w:lineRule="exact"/>
              <w:jc w:val="both"/>
              <w:rPr>
                <w:spacing w:val="0"/>
              </w:rPr>
            </w:pPr>
            <w:r>
              <w:rPr>
                <w:rFonts w:hint="eastAsia"/>
                <w:spacing w:val="0"/>
                <w:rtl/>
              </w:rPr>
              <w:t>يحق</w:t>
            </w:r>
            <w:r>
              <w:rPr>
                <w:spacing w:val="0"/>
                <w:rtl/>
              </w:rPr>
              <w:t xml:space="preserve"> لكل مستفيد </w:t>
            </w:r>
            <w:r>
              <w:rPr>
                <w:rFonts w:hint="eastAsia"/>
                <w:spacing w:val="0"/>
                <w:rtl/>
              </w:rPr>
              <w:t>الحصول</w:t>
            </w:r>
            <w:r>
              <w:rPr>
                <w:spacing w:val="0"/>
                <w:rtl/>
              </w:rPr>
              <w:t xml:space="preserve"> على مبلغ ثابت قدره 300 2 باتاكا ماكاوية عند</w:t>
            </w:r>
            <w:r>
              <w:rPr>
                <w:rFonts w:hint="cs"/>
                <w:spacing w:val="0"/>
                <w:rtl/>
              </w:rPr>
              <w:t xml:space="preserve"> الزواج</w:t>
            </w:r>
            <w:r>
              <w:rPr>
                <w:spacing w:val="0"/>
                <w:rtl/>
              </w:rPr>
              <w:t>.</w:t>
            </w:r>
          </w:p>
        </w:tc>
      </w:tr>
      <w:tr w:rsidR="00443EC1" w:rsidTr="00443EC1">
        <w:tc>
          <w:tcPr>
            <w:tcW w:w="2630" w:type="dxa"/>
            <w:tcBorders>
              <w:top w:val="nil"/>
              <w:left w:val="single" w:sz="4" w:space="0" w:color="auto"/>
              <w:bottom w:val="nil"/>
              <w:right w:val="single" w:sz="4" w:space="0" w:color="auto"/>
            </w:tcBorders>
          </w:tcPr>
          <w:p w:rsidR="00443EC1" w:rsidRDefault="00443EC1">
            <w:pPr>
              <w:spacing w:before="0" w:after="100" w:line="280" w:lineRule="exact"/>
              <w:jc w:val="both"/>
            </w:pPr>
            <w:r>
              <w:rPr>
                <w:rFonts w:hint="cs"/>
                <w:rtl/>
              </w:rPr>
              <w:t>استحقاقات</w:t>
            </w:r>
            <w:r>
              <w:rPr>
                <w:rtl/>
              </w:rPr>
              <w:t xml:space="preserve"> الأمومة</w:t>
            </w:r>
          </w:p>
        </w:tc>
        <w:tc>
          <w:tcPr>
            <w:tcW w:w="6940" w:type="dxa"/>
            <w:tcBorders>
              <w:top w:val="nil"/>
              <w:left w:val="single" w:sz="4" w:space="0" w:color="auto"/>
              <w:bottom w:val="nil"/>
              <w:right w:val="single" w:sz="4" w:space="0" w:color="auto"/>
            </w:tcBorders>
          </w:tcPr>
          <w:p w:rsidR="00443EC1" w:rsidRDefault="00443EC1">
            <w:pPr>
              <w:spacing w:before="0" w:after="100" w:line="280" w:lineRule="exact"/>
              <w:jc w:val="both"/>
              <w:rPr>
                <w:spacing w:val="0"/>
              </w:rPr>
            </w:pPr>
            <w:r>
              <w:rPr>
                <w:rFonts w:hint="eastAsia"/>
                <w:spacing w:val="0"/>
                <w:rtl/>
              </w:rPr>
              <w:t>يحق</w:t>
            </w:r>
            <w:r>
              <w:rPr>
                <w:spacing w:val="0"/>
                <w:rtl/>
              </w:rPr>
              <w:t xml:space="preserve"> لكل مستفيد </w:t>
            </w:r>
            <w:r>
              <w:rPr>
                <w:rFonts w:hint="eastAsia"/>
                <w:spacing w:val="0"/>
                <w:rtl/>
              </w:rPr>
              <w:t>الحصول</w:t>
            </w:r>
            <w:r>
              <w:rPr>
                <w:spacing w:val="0"/>
                <w:rtl/>
              </w:rPr>
              <w:t xml:space="preserve"> على مبلغ ثابت قدره 300 2 باتاكا ماكاوية عن كل مولود.</w:t>
            </w:r>
          </w:p>
        </w:tc>
      </w:tr>
      <w:tr w:rsidR="00443EC1" w:rsidTr="00443EC1">
        <w:tc>
          <w:tcPr>
            <w:tcW w:w="2630" w:type="dxa"/>
            <w:tcBorders>
              <w:top w:val="nil"/>
              <w:left w:val="single" w:sz="4" w:space="0" w:color="auto"/>
              <w:bottom w:val="nil"/>
              <w:right w:val="single" w:sz="4" w:space="0" w:color="auto"/>
            </w:tcBorders>
          </w:tcPr>
          <w:p w:rsidR="00443EC1" w:rsidRDefault="00443EC1">
            <w:pPr>
              <w:spacing w:before="0" w:after="100" w:line="280" w:lineRule="exact"/>
              <w:jc w:val="both"/>
              <w:rPr>
                <w:rFonts w:hint="cs"/>
              </w:rPr>
            </w:pPr>
            <w:r>
              <w:rPr>
                <w:rFonts w:hint="cs"/>
                <w:rtl/>
              </w:rPr>
              <w:t xml:space="preserve">مستحقات المعاش </w:t>
            </w:r>
            <w:r>
              <w:rPr>
                <w:rtl/>
              </w:rPr>
              <w:t xml:space="preserve"> التقاعد</w:t>
            </w:r>
            <w:r>
              <w:rPr>
                <w:rFonts w:hint="cs"/>
                <w:rtl/>
              </w:rPr>
              <w:t>ي</w:t>
            </w:r>
          </w:p>
        </w:tc>
        <w:tc>
          <w:tcPr>
            <w:tcW w:w="6940" w:type="dxa"/>
            <w:tcBorders>
              <w:top w:val="nil"/>
              <w:left w:val="single" w:sz="4" w:space="0" w:color="auto"/>
              <w:bottom w:val="nil"/>
              <w:right w:val="single" w:sz="4" w:space="0" w:color="auto"/>
            </w:tcBorders>
          </w:tcPr>
          <w:p w:rsidR="00443EC1" w:rsidRDefault="00443EC1">
            <w:pPr>
              <w:spacing w:before="0" w:after="100" w:line="280" w:lineRule="exact"/>
              <w:jc w:val="both"/>
              <w:rPr>
                <w:spacing w:val="0"/>
              </w:rPr>
            </w:pPr>
            <w:r>
              <w:rPr>
                <w:rFonts w:hint="eastAsia"/>
                <w:spacing w:val="0"/>
                <w:rtl/>
              </w:rPr>
              <w:t>توجد</w:t>
            </w:r>
            <w:r>
              <w:rPr>
                <w:spacing w:val="0"/>
                <w:rtl/>
              </w:rPr>
              <w:t xml:space="preserve"> فئتان </w:t>
            </w:r>
            <w:r>
              <w:rPr>
                <w:rFonts w:hint="cs"/>
                <w:spacing w:val="0"/>
                <w:rtl/>
              </w:rPr>
              <w:t xml:space="preserve">من فئات مستحقات المعاش </w:t>
            </w:r>
            <w:r>
              <w:rPr>
                <w:spacing w:val="0"/>
                <w:rtl/>
              </w:rPr>
              <w:t>التقاعد</w:t>
            </w:r>
            <w:r>
              <w:rPr>
                <w:rFonts w:hint="cs"/>
                <w:spacing w:val="0"/>
                <w:rtl/>
              </w:rPr>
              <w:t>ي</w:t>
            </w:r>
            <w:r>
              <w:rPr>
                <w:spacing w:val="0"/>
                <w:rtl/>
              </w:rPr>
              <w:t>: الفئة الطوعية والفئة الإجبارية: ويستفيد من الأول</w:t>
            </w:r>
            <w:r>
              <w:rPr>
                <w:rFonts w:hint="cs"/>
                <w:spacing w:val="0"/>
                <w:rtl/>
              </w:rPr>
              <w:t>ى</w:t>
            </w:r>
            <w:r>
              <w:rPr>
                <w:spacing w:val="0"/>
                <w:rtl/>
              </w:rPr>
              <w:t xml:space="preserve"> موظفو </w:t>
            </w:r>
            <w:r>
              <w:rPr>
                <w:rFonts w:hint="eastAsia"/>
                <w:spacing w:val="0"/>
                <w:rtl/>
              </w:rPr>
              <w:t>الخدمة</w:t>
            </w:r>
            <w:r>
              <w:rPr>
                <w:spacing w:val="0"/>
                <w:rtl/>
              </w:rPr>
              <w:t xml:space="preserve"> </w:t>
            </w:r>
            <w:r>
              <w:rPr>
                <w:rFonts w:hint="cs"/>
                <w:spacing w:val="0"/>
                <w:rtl/>
              </w:rPr>
              <w:t xml:space="preserve">المدنية </w:t>
            </w:r>
            <w:r>
              <w:rPr>
                <w:spacing w:val="0"/>
                <w:rtl/>
              </w:rPr>
              <w:t xml:space="preserve">الذين </w:t>
            </w:r>
            <w:r>
              <w:rPr>
                <w:rFonts w:hint="cs"/>
                <w:spacing w:val="0"/>
                <w:rtl/>
              </w:rPr>
              <w:t>ي</w:t>
            </w:r>
            <w:r>
              <w:rPr>
                <w:spacing w:val="0"/>
                <w:rtl/>
              </w:rPr>
              <w:t>بلغو</w:t>
            </w:r>
            <w:r>
              <w:rPr>
                <w:rFonts w:hint="cs"/>
                <w:spacing w:val="0"/>
                <w:rtl/>
              </w:rPr>
              <w:t>ن</w:t>
            </w:r>
            <w:r>
              <w:rPr>
                <w:spacing w:val="0"/>
                <w:rtl/>
              </w:rPr>
              <w:t xml:space="preserve"> 55 عاماً </w:t>
            </w:r>
            <w:r>
              <w:rPr>
                <w:rFonts w:hint="cs"/>
                <w:spacing w:val="0"/>
                <w:rtl/>
              </w:rPr>
              <w:t xml:space="preserve">من العمر ويكونوا قد قضّوا في الخدمة </w:t>
            </w:r>
            <w:r>
              <w:rPr>
                <w:spacing w:val="0"/>
                <w:rtl/>
              </w:rPr>
              <w:t xml:space="preserve">ما لا يقل عن 30 عاماً. </w:t>
            </w:r>
            <w:r>
              <w:rPr>
                <w:rFonts w:hint="eastAsia"/>
                <w:spacing w:val="0"/>
                <w:rtl/>
              </w:rPr>
              <w:t>و</w:t>
            </w:r>
            <w:r>
              <w:rPr>
                <w:rFonts w:hint="cs"/>
                <w:spacing w:val="0"/>
                <w:rtl/>
              </w:rPr>
              <w:t>ت</w:t>
            </w:r>
            <w:r>
              <w:rPr>
                <w:rFonts w:hint="eastAsia"/>
                <w:spacing w:val="0"/>
                <w:rtl/>
              </w:rPr>
              <w:t>ُمنح</w:t>
            </w:r>
            <w:r>
              <w:rPr>
                <w:spacing w:val="0"/>
                <w:rtl/>
              </w:rPr>
              <w:t xml:space="preserve"> الثاني</w:t>
            </w:r>
            <w:r>
              <w:rPr>
                <w:rFonts w:hint="cs"/>
                <w:spacing w:val="0"/>
                <w:rtl/>
              </w:rPr>
              <w:t>ة</w:t>
            </w:r>
            <w:r>
              <w:rPr>
                <w:spacing w:val="0"/>
                <w:rtl/>
              </w:rPr>
              <w:t xml:space="preserve"> عند بلوغ سن 65 عاماً، وخدمة لا تقل عن 15 عاماً. ويحق لكل </w:t>
            </w:r>
            <w:r>
              <w:rPr>
                <w:rFonts w:hint="eastAsia"/>
                <w:spacing w:val="0"/>
                <w:rtl/>
              </w:rPr>
              <w:t>مستفيد</w:t>
            </w:r>
            <w:r>
              <w:rPr>
                <w:spacing w:val="0"/>
                <w:rtl/>
              </w:rPr>
              <w:t xml:space="preserve"> </w:t>
            </w:r>
            <w:r>
              <w:rPr>
                <w:rFonts w:hint="cs"/>
                <w:spacing w:val="0"/>
                <w:rtl/>
              </w:rPr>
              <w:t xml:space="preserve">الحصول </w:t>
            </w:r>
            <w:r>
              <w:rPr>
                <w:spacing w:val="0"/>
                <w:rtl/>
              </w:rPr>
              <w:t>على مبلغ يساوي جزء</w:t>
            </w:r>
            <w:r>
              <w:rPr>
                <w:rFonts w:hint="cs"/>
                <w:spacing w:val="0"/>
                <w:rtl/>
              </w:rPr>
              <w:t>اً من</w:t>
            </w:r>
            <w:r>
              <w:rPr>
                <w:spacing w:val="0"/>
                <w:rtl/>
              </w:rPr>
              <w:t xml:space="preserve"> 36 من </w:t>
            </w:r>
            <w:r>
              <w:rPr>
                <w:rFonts w:hint="cs"/>
                <w:spacing w:val="0"/>
                <w:rtl/>
              </w:rPr>
              <w:t xml:space="preserve">إجمالي </w:t>
            </w:r>
            <w:r>
              <w:rPr>
                <w:spacing w:val="0"/>
                <w:rtl/>
              </w:rPr>
              <w:t xml:space="preserve">راتب الخدمة </w:t>
            </w:r>
            <w:r>
              <w:rPr>
                <w:rFonts w:hint="cs"/>
                <w:spacing w:val="0"/>
                <w:rtl/>
              </w:rPr>
              <w:t xml:space="preserve">المدنية </w:t>
            </w:r>
            <w:r>
              <w:rPr>
                <w:spacing w:val="0"/>
                <w:rtl/>
              </w:rPr>
              <w:t>مضروب</w:t>
            </w:r>
            <w:r>
              <w:rPr>
                <w:rFonts w:hint="cs"/>
                <w:spacing w:val="0"/>
                <w:rtl/>
              </w:rPr>
              <w:t>اً</w:t>
            </w:r>
            <w:r>
              <w:rPr>
                <w:spacing w:val="0"/>
                <w:rtl/>
              </w:rPr>
              <w:t xml:space="preserve"> في عدد </w:t>
            </w:r>
            <w:r>
              <w:rPr>
                <w:rFonts w:hint="eastAsia"/>
                <w:spacing w:val="0"/>
                <w:rtl/>
              </w:rPr>
              <w:t>السنوات</w:t>
            </w:r>
            <w:r>
              <w:rPr>
                <w:spacing w:val="0"/>
                <w:rtl/>
              </w:rPr>
              <w:t xml:space="preserve"> ا</w:t>
            </w:r>
            <w:r>
              <w:rPr>
                <w:rFonts w:hint="cs"/>
                <w:spacing w:val="0"/>
                <w:rtl/>
              </w:rPr>
              <w:t>لمحسوبة</w:t>
            </w:r>
            <w:r>
              <w:rPr>
                <w:spacing w:val="0"/>
                <w:rtl/>
              </w:rPr>
              <w:t xml:space="preserve"> للتقاعد، </w:t>
            </w:r>
            <w:r>
              <w:rPr>
                <w:rFonts w:hint="cs"/>
                <w:spacing w:val="0"/>
                <w:rtl/>
              </w:rPr>
              <w:t xml:space="preserve">وذلك </w:t>
            </w:r>
            <w:r>
              <w:rPr>
                <w:spacing w:val="0"/>
                <w:rtl/>
              </w:rPr>
              <w:t xml:space="preserve">لفترة أقصاها 36 عاماً. </w:t>
            </w:r>
            <w:r>
              <w:rPr>
                <w:rFonts w:hint="cs"/>
                <w:spacing w:val="0"/>
                <w:rtl/>
              </w:rPr>
              <w:t>وتُعدَّل</w:t>
            </w:r>
            <w:r>
              <w:rPr>
                <w:spacing w:val="0"/>
                <w:rtl/>
              </w:rPr>
              <w:t xml:space="preserve"> المعاشات التقاعدية </w:t>
            </w:r>
            <w:r>
              <w:rPr>
                <w:rFonts w:hint="eastAsia"/>
                <w:spacing w:val="0"/>
                <w:rtl/>
              </w:rPr>
              <w:t>وفقاً</w:t>
            </w:r>
            <w:r>
              <w:rPr>
                <w:spacing w:val="0"/>
                <w:rtl/>
              </w:rPr>
              <w:t xml:space="preserve"> للتغيرات التي تطرأ على مستويات دخول </w:t>
            </w:r>
            <w:r>
              <w:rPr>
                <w:rFonts w:hint="cs"/>
                <w:spacing w:val="0"/>
                <w:rtl/>
              </w:rPr>
              <w:t>ا</w:t>
            </w:r>
            <w:r>
              <w:rPr>
                <w:spacing w:val="0"/>
                <w:rtl/>
              </w:rPr>
              <w:t>لعمال النشطين.</w:t>
            </w:r>
          </w:p>
        </w:tc>
      </w:tr>
      <w:tr w:rsidR="00443EC1" w:rsidTr="00443EC1">
        <w:tc>
          <w:tcPr>
            <w:tcW w:w="2630" w:type="dxa"/>
            <w:tcBorders>
              <w:top w:val="nil"/>
              <w:left w:val="single" w:sz="4" w:space="0" w:color="auto"/>
              <w:bottom w:val="nil"/>
              <w:right w:val="single" w:sz="4" w:space="0" w:color="auto"/>
            </w:tcBorders>
          </w:tcPr>
          <w:p w:rsidR="00443EC1" w:rsidRDefault="00443EC1">
            <w:pPr>
              <w:spacing w:before="0" w:after="100" w:line="280" w:lineRule="exact"/>
              <w:jc w:val="both"/>
            </w:pPr>
            <w:r>
              <w:rPr>
                <w:rFonts w:hint="cs"/>
                <w:rtl/>
              </w:rPr>
              <w:t xml:space="preserve">بدلات </w:t>
            </w:r>
            <w:r>
              <w:rPr>
                <w:rFonts w:hint="eastAsia"/>
                <w:rtl/>
              </w:rPr>
              <w:t>الاعتلال</w:t>
            </w:r>
            <w:r>
              <w:rPr>
                <w:rtl/>
              </w:rPr>
              <w:t xml:space="preserve"> الصحي</w:t>
            </w:r>
          </w:p>
        </w:tc>
        <w:tc>
          <w:tcPr>
            <w:tcW w:w="6940" w:type="dxa"/>
            <w:tcBorders>
              <w:top w:val="nil"/>
              <w:left w:val="single" w:sz="4" w:space="0" w:color="auto"/>
              <w:bottom w:val="nil"/>
              <w:right w:val="single" w:sz="4" w:space="0" w:color="auto"/>
            </w:tcBorders>
          </w:tcPr>
          <w:p w:rsidR="00443EC1" w:rsidRDefault="00443EC1">
            <w:pPr>
              <w:spacing w:before="0" w:after="100" w:line="280" w:lineRule="exact"/>
              <w:jc w:val="both"/>
              <w:rPr>
                <w:spacing w:val="0"/>
              </w:rPr>
            </w:pPr>
            <w:r>
              <w:rPr>
                <w:rFonts w:hint="eastAsia"/>
                <w:spacing w:val="0"/>
                <w:rtl/>
              </w:rPr>
              <w:t>يوفَّر</w:t>
            </w:r>
            <w:r>
              <w:rPr>
                <w:spacing w:val="0"/>
                <w:rtl/>
              </w:rPr>
              <w:t xml:space="preserve"> هذا </w:t>
            </w:r>
            <w:r>
              <w:rPr>
                <w:rFonts w:hint="cs"/>
                <w:spacing w:val="0"/>
                <w:rtl/>
              </w:rPr>
              <w:t xml:space="preserve">البدل </w:t>
            </w:r>
            <w:r>
              <w:rPr>
                <w:spacing w:val="0"/>
                <w:rtl/>
              </w:rPr>
              <w:t xml:space="preserve">للعمال </w:t>
            </w:r>
            <w:r>
              <w:rPr>
                <w:rFonts w:hint="cs"/>
                <w:spacing w:val="0"/>
                <w:rtl/>
              </w:rPr>
              <w:t>المصابين ب</w:t>
            </w:r>
            <w:r>
              <w:rPr>
                <w:spacing w:val="0"/>
                <w:rtl/>
              </w:rPr>
              <w:t>ا</w:t>
            </w:r>
            <w:r>
              <w:rPr>
                <w:rFonts w:hint="cs"/>
                <w:spacing w:val="0"/>
                <w:rtl/>
              </w:rPr>
              <w:t>ع</w:t>
            </w:r>
            <w:r>
              <w:rPr>
                <w:spacing w:val="0"/>
                <w:rtl/>
              </w:rPr>
              <w:t>تلال دائم و</w:t>
            </w:r>
            <w:r>
              <w:rPr>
                <w:rFonts w:hint="cs"/>
                <w:spacing w:val="0"/>
                <w:rtl/>
              </w:rPr>
              <w:t>ك</w:t>
            </w:r>
            <w:r>
              <w:rPr>
                <w:spacing w:val="0"/>
                <w:rtl/>
              </w:rPr>
              <w:t xml:space="preserve">امل، </w:t>
            </w:r>
            <w:r>
              <w:rPr>
                <w:rFonts w:hint="cs"/>
                <w:spacing w:val="0"/>
                <w:rtl/>
              </w:rPr>
              <w:t>على النحو الذي يقرّه</w:t>
            </w:r>
            <w:r>
              <w:rPr>
                <w:spacing w:val="0"/>
                <w:rtl/>
              </w:rPr>
              <w:t xml:space="preserve"> المجلس الطبي (</w:t>
            </w:r>
            <w:r>
              <w:rPr>
                <w:rFonts w:hint="cs"/>
                <w:spacing w:val="0"/>
                <w:rtl/>
              </w:rPr>
              <w:t>ومطلوب</w:t>
            </w:r>
            <w:r>
              <w:rPr>
                <w:spacing w:val="0"/>
                <w:rtl/>
              </w:rPr>
              <w:t xml:space="preserve"> كذلك</w:t>
            </w:r>
            <w:r>
              <w:rPr>
                <w:rFonts w:hint="cs"/>
                <w:spacing w:val="0"/>
                <w:rtl/>
              </w:rPr>
              <w:t xml:space="preserve"> مدة</w:t>
            </w:r>
            <w:r>
              <w:rPr>
                <w:spacing w:val="0"/>
                <w:rtl/>
              </w:rPr>
              <w:t xml:space="preserve"> خدمة لا تقل عن 15 عاماً)، أو </w:t>
            </w:r>
            <w:r>
              <w:rPr>
                <w:rFonts w:hint="cs"/>
                <w:spacing w:val="0"/>
                <w:rtl/>
              </w:rPr>
              <w:t>با</w:t>
            </w:r>
            <w:r>
              <w:rPr>
                <w:spacing w:val="0"/>
                <w:rtl/>
              </w:rPr>
              <w:t>عتلال دائم و</w:t>
            </w:r>
            <w:r>
              <w:rPr>
                <w:rFonts w:hint="cs"/>
                <w:spacing w:val="0"/>
                <w:rtl/>
              </w:rPr>
              <w:t>ك</w:t>
            </w:r>
            <w:r>
              <w:rPr>
                <w:spacing w:val="0"/>
                <w:rtl/>
              </w:rPr>
              <w:t xml:space="preserve">امل ناتج عن </w:t>
            </w:r>
            <w:r>
              <w:rPr>
                <w:rFonts w:hint="eastAsia"/>
                <w:spacing w:val="0"/>
                <w:rtl/>
              </w:rPr>
              <w:t>حادث</w:t>
            </w:r>
            <w:r>
              <w:rPr>
                <w:spacing w:val="0"/>
                <w:rtl/>
              </w:rPr>
              <w:t xml:space="preserve"> أو مرض مهني تعرض لـه</w:t>
            </w:r>
            <w:r>
              <w:rPr>
                <w:rFonts w:hint="cs"/>
                <w:spacing w:val="0"/>
                <w:rtl/>
              </w:rPr>
              <w:t xml:space="preserve"> العامل</w:t>
            </w:r>
            <w:r>
              <w:rPr>
                <w:spacing w:val="0"/>
                <w:rtl/>
              </w:rPr>
              <w:t xml:space="preserve"> </w:t>
            </w:r>
            <w:r>
              <w:rPr>
                <w:rFonts w:hint="cs"/>
                <w:spacing w:val="0"/>
                <w:rtl/>
              </w:rPr>
              <w:t xml:space="preserve">أو أُصيب به </w:t>
            </w:r>
            <w:r>
              <w:rPr>
                <w:spacing w:val="0"/>
                <w:rtl/>
              </w:rPr>
              <w:t>خلال أدا</w:t>
            </w:r>
            <w:r>
              <w:rPr>
                <w:rFonts w:hint="cs"/>
                <w:spacing w:val="0"/>
                <w:rtl/>
              </w:rPr>
              <w:t>ئه</w:t>
            </w:r>
            <w:r>
              <w:rPr>
                <w:spacing w:val="0"/>
                <w:rtl/>
              </w:rPr>
              <w:t xml:space="preserve"> </w:t>
            </w:r>
            <w:r>
              <w:rPr>
                <w:rFonts w:hint="cs"/>
                <w:spacing w:val="0"/>
                <w:rtl/>
              </w:rPr>
              <w:t>ل</w:t>
            </w:r>
            <w:r>
              <w:rPr>
                <w:spacing w:val="0"/>
                <w:rtl/>
              </w:rPr>
              <w:t>عمله أو خلال قيام</w:t>
            </w:r>
            <w:r>
              <w:rPr>
                <w:rFonts w:hint="cs"/>
                <w:spacing w:val="0"/>
                <w:rtl/>
              </w:rPr>
              <w:t>ه</w:t>
            </w:r>
            <w:r>
              <w:rPr>
                <w:spacing w:val="0"/>
                <w:rtl/>
              </w:rPr>
              <w:t xml:space="preserve"> ب</w:t>
            </w:r>
            <w:r>
              <w:rPr>
                <w:rFonts w:hint="cs"/>
                <w:spacing w:val="0"/>
                <w:rtl/>
              </w:rPr>
              <w:t xml:space="preserve">أفعال أو </w:t>
            </w:r>
            <w:r>
              <w:rPr>
                <w:spacing w:val="0"/>
                <w:rtl/>
              </w:rPr>
              <w:t xml:space="preserve">أعمال إنسانية باسم المجتمع المحلي. وفي هذه الحالة، لا يُطلب أداء عدد أدنى </w:t>
            </w:r>
            <w:r>
              <w:rPr>
                <w:rFonts w:hint="eastAsia"/>
                <w:spacing w:val="0"/>
                <w:rtl/>
              </w:rPr>
              <w:t>من</w:t>
            </w:r>
            <w:r>
              <w:rPr>
                <w:spacing w:val="0"/>
                <w:rtl/>
              </w:rPr>
              <w:t xml:space="preserve"> سنوات الخدمة. ويحق لكل مستفيد الحصول على مبلغ يساوي </w:t>
            </w:r>
            <w:r>
              <w:rPr>
                <w:rFonts w:hint="cs"/>
                <w:spacing w:val="0"/>
                <w:rtl/>
              </w:rPr>
              <w:t xml:space="preserve">جزءاً من </w:t>
            </w:r>
            <w:r>
              <w:rPr>
                <w:spacing w:val="0"/>
                <w:rtl/>
              </w:rPr>
              <w:t xml:space="preserve">36 من </w:t>
            </w:r>
            <w:r>
              <w:rPr>
                <w:rFonts w:hint="cs"/>
                <w:spacing w:val="0"/>
                <w:rtl/>
              </w:rPr>
              <w:t>إجمالي رات</w:t>
            </w:r>
            <w:r>
              <w:rPr>
                <w:spacing w:val="0"/>
                <w:rtl/>
              </w:rPr>
              <w:t xml:space="preserve">ب </w:t>
            </w:r>
            <w:r>
              <w:rPr>
                <w:rFonts w:hint="eastAsia"/>
                <w:spacing w:val="0"/>
                <w:rtl/>
              </w:rPr>
              <w:t>الخدمة</w:t>
            </w:r>
            <w:r>
              <w:rPr>
                <w:spacing w:val="0"/>
                <w:rtl/>
              </w:rPr>
              <w:t xml:space="preserve"> المدنية، مضروب</w:t>
            </w:r>
            <w:r>
              <w:rPr>
                <w:rFonts w:hint="cs"/>
                <w:spacing w:val="0"/>
                <w:rtl/>
              </w:rPr>
              <w:t>اً</w:t>
            </w:r>
            <w:r>
              <w:rPr>
                <w:spacing w:val="0"/>
                <w:rtl/>
              </w:rPr>
              <w:t xml:space="preserve"> في عدد السنوات المحس</w:t>
            </w:r>
            <w:r>
              <w:rPr>
                <w:rFonts w:hint="cs"/>
                <w:spacing w:val="0"/>
                <w:rtl/>
              </w:rPr>
              <w:t>و</w:t>
            </w:r>
            <w:r>
              <w:rPr>
                <w:spacing w:val="0"/>
                <w:rtl/>
              </w:rPr>
              <w:t xml:space="preserve">بة للتقاعد، على ألا تتجاوز 36 </w:t>
            </w:r>
            <w:r>
              <w:rPr>
                <w:rFonts w:hint="eastAsia"/>
                <w:spacing w:val="0"/>
                <w:rtl/>
              </w:rPr>
              <w:t>عاماً</w:t>
            </w:r>
            <w:r>
              <w:rPr>
                <w:spacing w:val="0"/>
                <w:rtl/>
              </w:rPr>
              <w:t xml:space="preserve">. </w:t>
            </w:r>
            <w:r>
              <w:rPr>
                <w:rFonts w:hint="cs"/>
                <w:spacing w:val="0"/>
                <w:rtl/>
              </w:rPr>
              <w:t xml:space="preserve">وتُعدَّل </w:t>
            </w:r>
            <w:r>
              <w:rPr>
                <w:spacing w:val="0"/>
                <w:rtl/>
              </w:rPr>
              <w:t>المعاشات</w:t>
            </w:r>
            <w:r>
              <w:rPr>
                <w:rFonts w:hint="cs"/>
                <w:spacing w:val="0"/>
                <w:rtl/>
              </w:rPr>
              <w:t xml:space="preserve"> التقاعدية</w:t>
            </w:r>
            <w:r>
              <w:rPr>
                <w:spacing w:val="0"/>
                <w:rtl/>
              </w:rPr>
              <w:t xml:space="preserve"> وفقاً للتغيرات التي تطرأ على مستويات دخول العمال </w:t>
            </w:r>
            <w:r>
              <w:rPr>
                <w:rFonts w:hint="eastAsia"/>
                <w:spacing w:val="0"/>
                <w:rtl/>
              </w:rPr>
              <w:t>النشطين</w:t>
            </w:r>
            <w:r>
              <w:rPr>
                <w:spacing w:val="0"/>
                <w:rtl/>
              </w:rPr>
              <w:t>.</w:t>
            </w:r>
          </w:p>
        </w:tc>
      </w:tr>
      <w:tr w:rsidR="00443EC1" w:rsidTr="00443EC1">
        <w:tc>
          <w:tcPr>
            <w:tcW w:w="2630" w:type="dxa"/>
            <w:tcBorders>
              <w:top w:val="nil"/>
              <w:left w:val="single" w:sz="4" w:space="0" w:color="auto"/>
              <w:bottom w:val="nil"/>
              <w:right w:val="single" w:sz="4" w:space="0" w:color="auto"/>
            </w:tcBorders>
          </w:tcPr>
          <w:p w:rsidR="00443EC1" w:rsidRDefault="00443EC1">
            <w:pPr>
              <w:spacing w:before="0" w:after="100" w:line="280" w:lineRule="exact"/>
              <w:jc w:val="both"/>
            </w:pPr>
            <w:r>
              <w:rPr>
                <w:rFonts w:hint="eastAsia"/>
                <w:rtl/>
              </w:rPr>
              <w:t>إعانات</w:t>
            </w:r>
            <w:r>
              <w:rPr>
                <w:rtl/>
              </w:rPr>
              <w:t xml:space="preserve"> </w:t>
            </w:r>
            <w:r>
              <w:rPr>
                <w:rFonts w:hint="cs"/>
                <w:rtl/>
              </w:rPr>
              <w:t xml:space="preserve">لتغطية نفقات </w:t>
            </w:r>
            <w:r>
              <w:rPr>
                <w:rtl/>
              </w:rPr>
              <w:t xml:space="preserve">مراسم </w:t>
            </w:r>
            <w:r>
              <w:rPr>
                <w:rFonts w:hint="eastAsia"/>
                <w:rtl/>
              </w:rPr>
              <w:t>الدفن</w:t>
            </w:r>
          </w:p>
        </w:tc>
        <w:tc>
          <w:tcPr>
            <w:tcW w:w="6940" w:type="dxa"/>
            <w:tcBorders>
              <w:top w:val="nil"/>
              <w:left w:val="single" w:sz="4" w:space="0" w:color="auto"/>
              <w:bottom w:val="nil"/>
              <w:right w:val="single" w:sz="4" w:space="0" w:color="auto"/>
            </w:tcBorders>
          </w:tcPr>
          <w:p w:rsidR="00443EC1" w:rsidRDefault="00443EC1">
            <w:pPr>
              <w:spacing w:before="0" w:after="100" w:line="280" w:lineRule="exact"/>
              <w:jc w:val="both"/>
              <w:rPr>
                <w:spacing w:val="0"/>
              </w:rPr>
            </w:pPr>
            <w:r>
              <w:rPr>
                <w:rFonts w:hint="eastAsia"/>
                <w:spacing w:val="0"/>
                <w:rtl/>
              </w:rPr>
              <w:t>يُدفع</w:t>
            </w:r>
            <w:r>
              <w:rPr>
                <w:spacing w:val="0"/>
                <w:rtl/>
              </w:rPr>
              <w:t xml:space="preserve"> مبلغ 700 2 </w:t>
            </w:r>
            <w:r>
              <w:rPr>
                <w:rFonts w:hint="eastAsia"/>
                <w:spacing w:val="0"/>
                <w:rtl/>
              </w:rPr>
              <w:t>باتاكا</w:t>
            </w:r>
            <w:r>
              <w:rPr>
                <w:spacing w:val="0"/>
                <w:rtl/>
              </w:rPr>
              <w:t xml:space="preserve"> ماكاوية عند وفاة العامل المتقاعد لتغطية نفقات مراسم الدفن.</w:t>
            </w:r>
          </w:p>
        </w:tc>
      </w:tr>
      <w:tr w:rsidR="00443EC1" w:rsidTr="00443EC1">
        <w:tc>
          <w:tcPr>
            <w:tcW w:w="2630" w:type="dxa"/>
            <w:tcBorders>
              <w:top w:val="nil"/>
              <w:left w:val="single" w:sz="4" w:space="0" w:color="auto"/>
              <w:bottom w:val="nil"/>
              <w:right w:val="single" w:sz="4" w:space="0" w:color="auto"/>
            </w:tcBorders>
          </w:tcPr>
          <w:p w:rsidR="00443EC1" w:rsidRDefault="00443EC1">
            <w:pPr>
              <w:spacing w:before="0" w:after="100" w:line="280" w:lineRule="exact"/>
              <w:jc w:val="both"/>
            </w:pPr>
            <w:r>
              <w:rPr>
                <w:rFonts w:hint="eastAsia"/>
                <w:rtl/>
              </w:rPr>
              <w:t>بدل</w:t>
            </w:r>
            <w:r>
              <w:rPr>
                <w:rtl/>
              </w:rPr>
              <w:t xml:space="preserve"> الوفاة</w:t>
            </w:r>
          </w:p>
        </w:tc>
        <w:tc>
          <w:tcPr>
            <w:tcW w:w="6940" w:type="dxa"/>
            <w:tcBorders>
              <w:top w:val="nil"/>
              <w:left w:val="single" w:sz="4" w:space="0" w:color="auto"/>
              <w:bottom w:val="nil"/>
              <w:right w:val="single" w:sz="4" w:space="0" w:color="auto"/>
            </w:tcBorders>
          </w:tcPr>
          <w:p w:rsidR="00443EC1" w:rsidRDefault="00443EC1">
            <w:pPr>
              <w:spacing w:before="0" w:after="100" w:line="280" w:lineRule="exact"/>
              <w:jc w:val="both"/>
              <w:rPr>
                <w:spacing w:val="0"/>
              </w:rPr>
            </w:pPr>
            <w:r>
              <w:rPr>
                <w:rFonts w:hint="eastAsia"/>
                <w:spacing w:val="0"/>
                <w:rtl/>
              </w:rPr>
              <w:t>يُدفع</w:t>
            </w:r>
            <w:r>
              <w:rPr>
                <w:spacing w:val="0"/>
                <w:rtl/>
              </w:rPr>
              <w:t xml:space="preserve"> إلى أق</w:t>
            </w:r>
            <w:r>
              <w:rPr>
                <w:rFonts w:hint="cs"/>
                <w:spacing w:val="0"/>
                <w:rtl/>
              </w:rPr>
              <w:t>ا</w:t>
            </w:r>
            <w:r>
              <w:rPr>
                <w:spacing w:val="0"/>
                <w:rtl/>
              </w:rPr>
              <w:t xml:space="preserve">رب </w:t>
            </w:r>
            <w:r>
              <w:rPr>
                <w:rFonts w:hint="eastAsia"/>
                <w:spacing w:val="0"/>
                <w:rtl/>
              </w:rPr>
              <w:t>الأسرة</w:t>
            </w:r>
            <w:r>
              <w:rPr>
                <w:spacing w:val="0"/>
                <w:rtl/>
              </w:rPr>
              <w:t xml:space="preserve"> مبلغ يساوي 6 مرات الراتب الشهري قبل تاريخ الوفاة.</w:t>
            </w:r>
          </w:p>
        </w:tc>
      </w:tr>
      <w:tr w:rsidR="00443EC1" w:rsidTr="00443EC1">
        <w:tc>
          <w:tcPr>
            <w:tcW w:w="2630" w:type="dxa"/>
            <w:tcBorders>
              <w:top w:val="nil"/>
              <w:left w:val="single" w:sz="4" w:space="0" w:color="auto"/>
              <w:bottom w:val="nil"/>
              <w:right w:val="single" w:sz="4" w:space="0" w:color="auto"/>
            </w:tcBorders>
          </w:tcPr>
          <w:p w:rsidR="00443EC1" w:rsidRDefault="00443EC1">
            <w:pPr>
              <w:spacing w:before="0" w:after="100" w:line="280" w:lineRule="exact"/>
              <w:jc w:val="both"/>
            </w:pPr>
            <w:r>
              <w:rPr>
                <w:rFonts w:hint="eastAsia"/>
                <w:rtl/>
              </w:rPr>
              <w:t>استحقاقات</w:t>
            </w:r>
            <w:r>
              <w:rPr>
                <w:rtl/>
              </w:rPr>
              <w:t xml:space="preserve"> </w:t>
            </w:r>
            <w:r>
              <w:rPr>
                <w:rFonts w:hint="cs"/>
                <w:rtl/>
              </w:rPr>
              <w:t>الباقين قيد الحياة</w:t>
            </w:r>
            <w:r>
              <w:rPr>
                <w:rtl/>
              </w:rPr>
              <w:t xml:space="preserve"> </w:t>
            </w:r>
            <w:r>
              <w:rPr>
                <w:rFonts w:hint="eastAsia"/>
                <w:rtl/>
              </w:rPr>
              <w:t>والمعالين</w:t>
            </w:r>
          </w:p>
        </w:tc>
        <w:tc>
          <w:tcPr>
            <w:tcW w:w="6940" w:type="dxa"/>
            <w:tcBorders>
              <w:top w:val="nil"/>
              <w:left w:val="single" w:sz="4" w:space="0" w:color="auto"/>
              <w:bottom w:val="nil"/>
              <w:right w:val="single" w:sz="4" w:space="0" w:color="auto"/>
            </w:tcBorders>
          </w:tcPr>
          <w:p w:rsidR="00443EC1" w:rsidRDefault="00443EC1">
            <w:pPr>
              <w:spacing w:before="0" w:after="100" w:line="280" w:lineRule="exact"/>
              <w:jc w:val="both"/>
              <w:rPr>
                <w:rFonts w:hint="cs"/>
                <w:spacing w:val="0"/>
              </w:rPr>
            </w:pPr>
            <w:r>
              <w:rPr>
                <w:rFonts w:hint="eastAsia"/>
                <w:spacing w:val="0"/>
                <w:rtl/>
              </w:rPr>
              <w:t>يُدفع</w:t>
            </w:r>
            <w:r>
              <w:rPr>
                <w:spacing w:val="0"/>
                <w:rtl/>
              </w:rPr>
              <w:t xml:space="preserve"> هذا </w:t>
            </w:r>
            <w:r>
              <w:rPr>
                <w:rFonts w:hint="eastAsia"/>
                <w:spacing w:val="0"/>
                <w:rtl/>
              </w:rPr>
              <w:t>الاستحقاق</w:t>
            </w:r>
            <w:r>
              <w:rPr>
                <w:spacing w:val="0"/>
                <w:rtl/>
              </w:rPr>
              <w:t xml:space="preserve"> للأرمل/الأرملة </w:t>
            </w:r>
            <w:r>
              <w:rPr>
                <w:rFonts w:hint="cs"/>
                <w:spacing w:val="0"/>
                <w:rtl/>
              </w:rPr>
              <w:t>والأجنة</w:t>
            </w:r>
            <w:r>
              <w:rPr>
                <w:spacing w:val="0"/>
                <w:rtl/>
              </w:rPr>
              <w:t>، فضلاً عن الورث</w:t>
            </w:r>
            <w:r>
              <w:rPr>
                <w:rFonts w:hint="cs"/>
                <w:spacing w:val="0"/>
                <w:rtl/>
              </w:rPr>
              <w:t>ة</w:t>
            </w:r>
            <w:r>
              <w:rPr>
                <w:spacing w:val="0"/>
                <w:rtl/>
              </w:rPr>
              <w:t xml:space="preserve"> الآخرين </w:t>
            </w:r>
            <w:r>
              <w:rPr>
                <w:rFonts w:hint="eastAsia"/>
                <w:spacing w:val="0"/>
                <w:rtl/>
              </w:rPr>
              <w:t>الذين</w:t>
            </w:r>
            <w:r>
              <w:rPr>
                <w:spacing w:val="0"/>
                <w:rtl/>
              </w:rPr>
              <w:t xml:space="preserve"> يحق لهم الإفادة من الإعانات العائلية. ويساوي مبلغ استحقاقات الباقين قيد </w:t>
            </w:r>
            <w:r>
              <w:rPr>
                <w:rFonts w:hint="eastAsia"/>
                <w:spacing w:val="0"/>
                <w:rtl/>
              </w:rPr>
              <w:t>الحياة</w:t>
            </w:r>
            <w:r>
              <w:rPr>
                <w:spacing w:val="0"/>
                <w:rtl/>
              </w:rPr>
              <w:t xml:space="preserve"> نصف استحقاقات المعاش </w:t>
            </w:r>
            <w:r>
              <w:rPr>
                <w:rFonts w:hint="cs"/>
                <w:spacing w:val="0"/>
                <w:rtl/>
              </w:rPr>
              <w:t xml:space="preserve">التقاعدي </w:t>
            </w:r>
            <w:r>
              <w:rPr>
                <w:spacing w:val="0"/>
                <w:rtl/>
              </w:rPr>
              <w:t xml:space="preserve">التي كان العضو في صندوق </w:t>
            </w:r>
            <w:r>
              <w:rPr>
                <w:rFonts w:hint="cs"/>
                <w:spacing w:val="0"/>
                <w:rtl/>
              </w:rPr>
              <w:t>ا</w:t>
            </w:r>
            <w:r>
              <w:rPr>
                <w:spacing w:val="0"/>
                <w:rtl/>
              </w:rPr>
              <w:t xml:space="preserve">لمعاشات التقاعدية </w:t>
            </w:r>
            <w:r>
              <w:rPr>
                <w:rFonts w:hint="cs"/>
                <w:spacing w:val="0"/>
                <w:rtl/>
              </w:rPr>
              <w:t xml:space="preserve">لمقاطعة </w:t>
            </w:r>
            <w:r>
              <w:rPr>
                <w:spacing w:val="0"/>
                <w:rtl/>
              </w:rPr>
              <w:t xml:space="preserve">ماكاو </w:t>
            </w:r>
            <w:r>
              <w:rPr>
                <w:rFonts w:hint="eastAsia"/>
                <w:spacing w:val="0"/>
                <w:rtl/>
              </w:rPr>
              <w:t>يحق</w:t>
            </w:r>
            <w:r>
              <w:rPr>
                <w:spacing w:val="0"/>
                <w:rtl/>
              </w:rPr>
              <w:t xml:space="preserve"> لـه الحصول عليها بتاريخ وفاته، أو الذي كان بالإمكان أن يحق لـه الحصول </w:t>
            </w:r>
            <w:r>
              <w:rPr>
                <w:rFonts w:hint="eastAsia"/>
                <w:spacing w:val="0"/>
                <w:rtl/>
              </w:rPr>
              <w:t>عليها</w:t>
            </w:r>
            <w:r>
              <w:rPr>
                <w:spacing w:val="0"/>
                <w:rtl/>
              </w:rPr>
              <w:t xml:space="preserve"> لو غادر عمله في ذلك التاريخ </w:t>
            </w:r>
            <w:r>
              <w:rPr>
                <w:rFonts w:hint="cs"/>
                <w:spacing w:val="0"/>
                <w:rtl/>
              </w:rPr>
              <w:t>للتقاعد.</w:t>
            </w:r>
          </w:p>
        </w:tc>
      </w:tr>
      <w:tr w:rsidR="00443EC1" w:rsidTr="00443EC1">
        <w:tc>
          <w:tcPr>
            <w:tcW w:w="2630" w:type="dxa"/>
            <w:tcBorders>
              <w:top w:val="nil"/>
              <w:left w:val="single" w:sz="4" w:space="0" w:color="auto"/>
              <w:bottom w:val="nil"/>
              <w:right w:val="single" w:sz="4" w:space="0" w:color="auto"/>
            </w:tcBorders>
          </w:tcPr>
          <w:p w:rsidR="00443EC1" w:rsidRDefault="00443EC1">
            <w:pPr>
              <w:spacing w:before="0" w:after="100" w:line="280" w:lineRule="exact"/>
              <w:jc w:val="both"/>
            </w:pPr>
            <w:r>
              <w:rPr>
                <w:rFonts w:hint="cs"/>
                <w:rtl/>
              </w:rPr>
              <w:t>الإعانات</w:t>
            </w:r>
            <w:r>
              <w:rPr>
                <w:rtl/>
              </w:rPr>
              <w:t xml:space="preserve"> </w:t>
            </w:r>
            <w:r>
              <w:rPr>
                <w:rFonts w:hint="eastAsia"/>
                <w:rtl/>
              </w:rPr>
              <w:t>العائلية</w:t>
            </w:r>
          </w:p>
        </w:tc>
        <w:tc>
          <w:tcPr>
            <w:tcW w:w="6940" w:type="dxa"/>
            <w:tcBorders>
              <w:top w:val="nil"/>
              <w:left w:val="single" w:sz="4" w:space="0" w:color="auto"/>
              <w:bottom w:val="nil"/>
              <w:right w:val="single" w:sz="4" w:space="0" w:color="auto"/>
            </w:tcBorders>
          </w:tcPr>
          <w:p w:rsidR="00443EC1" w:rsidRDefault="00443EC1">
            <w:pPr>
              <w:spacing w:before="0" w:after="100" w:line="280" w:lineRule="exact"/>
              <w:jc w:val="both"/>
              <w:rPr>
                <w:rFonts w:hint="cs"/>
                <w:spacing w:val="0"/>
              </w:rPr>
            </w:pPr>
            <w:r>
              <w:rPr>
                <w:rFonts w:hint="eastAsia"/>
                <w:spacing w:val="0"/>
                <w:rtl/>
              </w:rPr>
              <w:t>هذه</w:t>
            </w:r>
            <w:r>
              <w:rPr>
                <w:spacing w:val="0"/>
                <w:rtl/>
              </w:rPr>
              <w:t xml:space="preserve"> الإعانة </w:t>
            </w:r>
            <w:r>
              <w:rPr>
                <w:rFonts w:hint="eastAsia"/>
                <w:spacing w:val="0"/>
                <w:rtl/>
              </w:rPr>
              <w:t>بدل</w:t>
            </w:r>
            <w:r>
              <w:rPr>
                <w:spacing w:val="0"/>
                <w:rtl/>
              </w:rPr>
              <w:t xml:space="preserve"> شهري بمبلغ 170 باتاكا ماكاوية لكل معال </w:t>
            </w:r>
            <w:r>
              <w:rPr>
                <w:rFonts w:hint="cs"/>
                <w:spacing w:val="0"/>
                <w:rtl/>
              </w:rPr>
              <w:t>متى</w:t>
            </w:r>
            <w:r>
              <w:rPr>
                <w:spacing w:val="0"/>
                <w:rtl/>
              </w:rPr>
              <w:t xml:space="preserve"> </w:t>
            </w:r>
            <w:r>
              <w:rPr>
                <w:rFonts w:hint="cs"/>
                <w:spacing w:val="0"/>
                <w:rtl/>
              </w:rPr>
              <w:t xml:space="preserve">تقاضى </w:t>
            </w:r>
            <w:r>
              <w:rPr>
                <w:spacing w:val="0"/>
                <w:rtl/>
              </w:rPr>
              <w:t xml:space="preserve">زوج أو زوجة المتقاعد </w:t>
            </w:r>
            <w:r>
              <w:rPr>
                <w:rFonts w:hint="eastAsia"/>
                <w:spacing w:val="0"/>
                <w:rtl/>
              </w:rPr>
              <w:t>و</w:t>
            </w:r>
            <w:r>
              <w:rPr>
                <w:spacing w:val="0"/>
                <w:rtl/>
              </w:rPr>
              <w:t xml:space="preserve">/أو والداه دخلاً شهرياً يقل عن نصف المبلغ الذي يعادل </w:t>
            </w:r>
            <w:r>
              <w:rPr>
                <w:rFonts w:hint="cs"/>
                <w:spacing w:val="0"/>
                <w:rtl/>
              </w:rPr>
              <w:t>100</w:t>
            </w:r>
            <w:r>
              <w:rPr>
                <w:spacing w:val="0"/>
                <w:rtl/>
              </w:rPr>
              <w:t xml:space="preserve"> نقطة </w:t>
            </w:r>
            <w:r>
              <w:rPr>
                <w:rFonts w:hint="cs"/>
                <w:spacing w:val="0"/>
                <w:rtl/>
              </w:rPr>
              <w:t>قياس من الرقم القياسي</w:t>
            </w:r>
            <w:r>
              <w:rPr>
                <w:spacing w:val="0"/>
                <w:rtl/>
              </w:rPr>
              <w:t xml:space="preserve"> </w:t>
            </w:r>
            <w:r>
              <w:rPr>
                <w:rFonts w:hint="cs"/>
                <w:spacing w:val="0"/>
                <w:rtl/>
              </w:rPr>
              <w:t>ل</w:t>
            </w:r>
            <w:r>
              <w:rPr>
                <w:rFonts w:hint="eastAsia"/>
                <w:spacing w:val="0"/>
                <w:rtl/>
              </w:rPr>
              <w:t>لراتب</w:t>
            </w:r>
            <w:r>
              <w:rPr>
                <w:spacing w:val="0"/>
                <w:rtl/>
              </w:rPr>
              <w:t xml:space="preserve"> (أي 500 2 باتاكا ماكاوية). ويحق لكل مستفيد </w:t>
            </w:r>
            <w:r>
              <w:rPr>
                <w:rFonts w:hint="cs"/>
                <w:spacing w:val="0"/>
                <w:rtl/>
              </w:rPr>
              <w:t>الحصول</w:t>
            </w:r>
            <w:r>
              <w:rPr>
                <w:spacing w:val="0"/>
                <w:rtl/>
              </w:rPr>
              <w:t xml:space="preserve"> على علاوة شهرية </w:t>
            </w:r>
            <w:r>
              <w:rPr>
                <w:rFonts w:hint="cs"/>
                <w:spacing w:val="0"/>
                <w:rtl/>
              </w:rPr>
              <w:t>قدرها</w:t>
            </w:r>
            <w:r>
              <w:rPr>
                <w:spacing w:val="0"/>
                <w:rtl/>
              </w:rPr>
              <w:t xml:space="preserve"> 220 باتاكا ماكاوية عن كل طفل كلما كان الأطفال الذين تتراوح أعمارهم بين 18 و21 عاماً </w:t>
            </w:r>
            <w:r>
              <w:rPr>
                <w:rFonts w:hint="cs"/>
                <w:spacing w:val="0"/>
                <w:rtl/>
              </w:rPr>
              <w:t>يتابعون</w:t>
            </w:r>
            <w:r>
              <w:rPr>
                <w:spacing w:val="0"/>
                <w:rtl/>
              </w:rPr>
              <w:t xml:space="preserve"> تعليما ثانوياً أو تعليماً مساوياً</w:t>
            </w:r>
            <w:r>
              <w:rPr>
                <w:rFonts w:hint="cs"/>
                <w:spacing w:val="0"/>
                <w:rtl/>
              </w:rPr>
              <w:t>، وكلما كان</w:t>
            </w:r>
            <w:r>
              <w:rPr>
                <w:spacing w:val="0"/>
                <w:rtl/>
              </w:rPr>
              <w:t xml:space="preserve"> الأطفال الذين هم دون</w:t>
            </w:r>
            <w:r>
              <w:rPr>
                <w:rFonts w:hint="cs"/>
                <w:spacing w:val="0"/>
                <w:rtl/>
              </w:rPr>
              <w:t xml:space="preserve"> سنّ</w:t>
            </w:r>
            <w:r>
              <w:rPr>
                <w:spacing w:val="0"/>
                <w:rtl/>
              </w:rPr>
              <w:t xml:space="preserve"> 24 عاماً </w:t>
            </w:r>
            <w:r>
              <w:rPr>
                <w:rFonts w:hint="cs"/>
                <w:spacing w:val="0"/>
                <w:rtl/>
              </w:rPr>
              <w:t>طلبة جامعات.</w:t>
            </w:r>
          </w:p>
        </w:tc>
      </w:tr>
      <w:tr w:rsidR="00443EC1" w:rsidTr="00443EC1">
        <w:tc>
          <w:tcPr>
            <w:tcW w:w="2630" w:type="dxa"/>
            <w:tcBorders>
              <w:top w:val="nil"/>
              <w:left w:val="single" w:sz="4" w:space="0" w:color="auto"/>
              <w:bottom w:val="single" w:sz="4" w:space="0" w:color="auto"/>
              <w:right w:val="single" w:sz="4" w:space="0" w:color="auto"/>
            </w:tcBorders>
          </w:tcPr>
          <w:p w:rsidR="00443EC1" w:rsidRDefault="00443EC1">
            <w:pPr>
              <w:spacing w:before="0" w:after="100" w:line="280" w:lineRule="exact"/>
              <w:jc w:val="both"/>
            </w:pPr>
            <w:r>
              <w:rPr>
                <w:rFonts w:hint="eastAsia"/>
                <w:rtl/>
              </w:rPr>
              <w:t>بدل</w:t>
            </w:r>
            <w:r>
              <w:rPr>
                <w:rtl/>
              </w:rPr>
              <w:t xml:space="preserve"> السكن</w:t>
            </w:r>
          </w:p>
        </w:tc>
        <w:tc>
          <w:tcPr>
            <w:tcW w:w="6940" w:type="dxa"/>
            <w:tcBorders>
              <w:top w:val="nil"/>
              <w:left w:val="single" w:sz="4" w:space="0" w:color="auto"/>
              <w:bottom w:val="single" w:sz="4" w:space="0" w:color="auto"/>
              <w:right w:val="single" w:sz="4" w:space="0" w:color="auto"/>
            </w:tcBorders>
          </w:tcPr>
          <w:p w:rsidR="00443EC1" w:rsidRDefault="00443EC1">
            <w:pPr>
              <w:spacing w:before="0" w:after="100" w:line="280" w:lineRule="exact"/>
              <w:jc w:val="both"/>
              <w:rPr>
                <w:rFonts w:hint="cs"/>
              </w:rPr>
            </w:pPr>
            <w:r>
              <w:rPr>
                <w:rFonts w:hint="eastAsia"/>
                <w:rtl/>
              </w:rPr>
              <w:t>يحق</w:t>
            </w:r>
            <w:r>
              <w:rPr>
                <w:rtl/>
              </w:rPr>
              <w:t xml:space="preserve"> لكل مستفيد </w:t>
            </w:r>
            <w:r>
              <w:rPr>
                <w:rFonts w:hint="eastAsia"/>
                <w:rtl/>
              </w:rPr>
              <w:t>يعيش</w:t>
            </w:r>
            <w:r>
              <w:rPr>
                <w:rtl/>
              </w:rPr>
              <w:t xml:space="preserve"> في مقاطعة ماكاو الحصول على بدل سكن </w:t>
            </w:r>
            <w:r>
              <w:rPr>
                <w:rFonts w:hint="cs"/>
                <w:rtl/>
              </w:rPr>
              <w:t xml:space="preserve">شهري في حدود </w:t>
            </w:r>
            <w:r>
              <w:rPr>
                <w:rtl/>
              </w:rPr>
              <w:t>000 1 باتاكا ماكاوية</w:t>
            </w:r>
            <w:r>
              <w:rPr>
                <w:rFonts w:hint="cs"/>
                <w:rtl/>
              </w:rPr>
              <w:t>.</w:t>
            </w:r>
          </w:p>
        </w:tc>
      </w:tr>
    </w:tbl>
    <w:p w:rsidR="00000000" w:rsidRDefault="00443EC1">
      <w:pPr>
        <w:spacing w:line="280" w:lineRule="exact"/>
        <w:jc w:val="both"/>
        <w:rPr>
          <w:rtl/>
        </w:rPr>
      </w:pPr>
      <w:r>
        <w:rPr>
          <w:rFonts w:hint="cs"/>
          <w:rtl/>
        </w:rPr>
        <w:tab/>
      </w:r>
      <w:r>
        <w:rPr>
          <w:rFonts w:hint="eastAsia"/>
          <w:i/>
          <w:iCs/>
          <w:rtl/>
        </w:rPr>
        <w:t>المصدر</w:t>
      </w:r>
      <w:r>
        <w:rPr>
          <w:rtl/>
        </w:rPr>
        <w:t>:</w:t>
      </w:r>
      <w:r>
        <w:rPr>
          <w:rtl/>
        </w:rPr>
        <w:tab/>
      </w:r>
      <w:r>
        <w:rPr>
          <w:rFonts w:hint="eastAsia"/>
          <w:rtl/>
        </w:rPr>
        <w:t>صندوق</w:t>
      </w:r>
      <w:r>
        <w:rPr>
          <w:rtl/>
        </w:rPr>
        <w:t xml:space="preserve"> المعاشات التقاعدية ل</w:t>
      </w:r>
      <w:r>
        <w:rPr>
          <w:rFonts w:hint="cs"/>
          <w:rtl/>
        </w:rPr>
        <w:t xml:space="preserve">مقاطعة </w:t>
      </w:r>
      <w:r>
        <w:rPr>
          <w:rtl/>
        </w:rPr>
        <w:t>ماكاو وال</w:t>
      </w:r>
      <w:r>
        <w:rPr>
          <w:rtl/>
        </w:rPr>
        <w:t>إدارة العامة والمكتب المدني، 2002.</w:t>
      </w:r>
    </w:p>
    <w:p w:rsidR="00000000" w:rsidRDefault="00443EC1">
      <w:pPr>
        <w:spacing w:line="380" w:lineRule="exact"/>
        <w:jc w:val="both"/>
        <w:rPr>
          <w:b/>
          <w:bCs/>
          <w:rtl/>
        </w:rPr>
      </w:pPr>
      <w:r>
        <w:rPr>
          <w:rFonts w:hint="eastAsia"/>
          <w:b/>
          <w:bCs/>
          <w:rtl/>
        </w:rPr>
        <w:t>القطاع</w:t>
      </w:r>
      <w:r>
        <w:rPr>
          <w:b/>
          <w:bCs/>
          <w:rtl/>
        </w:rPr>
        <w:t xml:space="preserve"> الخاص</w:t>
      </w:r>
    </w:p>
    <w:p w:rsidR="00000000" w:rsidRDefault="00443EC1">
      <w:pPr>
        <w:spacing w:line="380" w:lineRule="exact"/>
        <w:jc w:val="both"/>
        <w:rPr>
          <w:rFonts w:hint="cs"/>
          <w:rtl/>
        </w:rPr>
      </w:pPr>
      <w:r>
        <w:rPr>
          <w:rtl/>
        </w:rPr>
        <w:t>913-</w:t>
      </w:r>
      <w:r>
        <w:rPr>
          <w:rtl/>
        </w:rPr>
        <w:tab/>
      </w:r>
      <w:r>
        <w:rPr>
          <w:rFonts w:hint="cs"/>
          <w:rtl/>
        </w:rPr>
        <w:t>يوفّر</w:t>
      </w:r>
      <w:r>
        <w:rPr>
          <w:rtl/>
        </w:rPr>
        <w:t xml:space="preserve"> </w:t>
      </w:r>
      <w:r>
        <w:rPr>
          <w:rFonts w:hint="eastAsia"/>
          <w:rtl/>
        </w:rPr>
        <w:t>صندوق</w:t>
      </w:r>
      <w:r>
        <w:rPr>
          <w:rtl/>
        </w:rPr>
        <w:t xml:space="preserve"> الضمان الاجتماعي خطط الضمان الاجتماعي لعمال القطاع الخاص، في حين </w:t>
      </w:r>
      <w:r>
        <w:rPr>
          <w:rFonts w:hint="cs"/>
          <w:rtl/>
        </w:rPr>
        <w:t>توفّر</w:t>
      </w:r>
      <w:r>
        <w:rPr>
          <w:rtl/>
        </w:rPr>
        <w:t xml:space="preserve"> </w:t>
      </w:r>
      <w:r>
        <w:rPr>
          <w:rFonts w:hint="eastAsia"/>
          <w:rtl/>
        </w:rPr>
        <w:t>وزارة</w:t>
      </w:r>
      <w:r>
        <w:rPr>
          <w:rtl/>
        </w:rPr>
        <w:t xml:space="preserve"> الصحة أساساً الرعاية الطبية. وصندوق الضمان الاجتماعي </w:t>
      </w:r>
      <w:r>
        <w:rPr>
          <w:rFonts w:hint="cs"/>
          <w:rtl/>
        </w:rPr>
        <w:t>مؤسسة</w:t>
      </w:r>
      <w:r>
        <w:rPr>
          <w:rtl/>
        </w:rPr>
        <w:t xml:space="preserve"> مستقلة تابعة </w:t>
      </w:r>
      <w:r>
        <w:rPr>
          <w:rFonts w:hint="eastAsia"/>
          <w:rtl/>
        </w:rPr>
        <w:t>لحكومة</w:t>
      </w:r>
      <w:r>
        <w:rPr>
          <w:rtl/>
        </w:rPr>
        <w:t xml:space="preserve"> مقاطعة ماكاو. وبموجب </w:t>
      </w:r>
      <w:r>
        <w:rPr>
          <w:rFonts w:hint="cs"/>
          <w:rtl/>
        </w:rPr>
        <w:t>المرسوم بقانون</w:t>
      </w:r>
      <w:r>
        <w:rPr>
          <w:rFonts w:hint="cs"/>
          <w:rtl/>
        </w:rPr>
        <w:t xml:space="preserve"> </w:t>
      </w:r>
      <w:r>
        <w:rPr>
          <w:rtl/>
        </w:rPr>
        <w:t xml:space="preserve">58/93 المؤرخ 18 تشرين الأول/أكتوبر، </w:t>
      </w:r>
      <w:r>
        <w:rPr>
          <w:rFonts w:hint="eastAsia"/>
          <w:rtl/>
        </w:rPr>
        <w:t>فإن</w:t>
      </w:r>
      <w:r>
        <w:rPr>
          <w:rtl/>
        </w:rPr>
        <w:t xml:space="preserve"> المستفيد</w:t>
      </w:r>
      <w:r>
        <w:rPr>
          <w:rFonts w:hint="cs"/>
          <w:rtl/>
        </w:rPr>
        <w:t>ي</w:t>
      </w:r>
      <w:r>
        <w:rPr>
          <w:rtl/>
        </w:rPr>
        <w:t>ن هم العمال ال</w:t>
      </w:r>
      <w:r>
        <w:rPr>
          <w:rFonts w:hint="cs"/>
          <w:rtl/>
        </w:rPr>
        <w:t>منخرطون ف</w:t>
      </w:r>
      <w:r>
        <w:rPr>
          <w:rtl/>
        </w:rPr>
        <w:t>ي الصندوق</w:t>
      </w:r>
      <w:r>
        <w:rPr>
          <w:rFonts w:hint="cs"/>
          <w:rtl/>
        </w:rPr>
        <w:t xml:space="preserve"> دون غيرهم،</w:t>
      </w:r>
      <w:r>
        <w:rPr>
          <w:rtl/>
        </w:rPr>
        <w:t xml:space="preserve"> </w:t>
      </w:r>
      <w:r>
        <w:rPr>
          <w:rFonts w:hint="cs"/>
          <w:rtl/>
        </w:rPr>
        <w:t>وي</w:t>
      </w:r>
      <w:r>
        <w:rPr>
          <w:rtl/>
        </w:rPr>
        <w:t>سج</w:t>
      </w:r>
      <w:r>
        <w:rPr>
          <w:rFonts w:hint="cs"/>
          <w:rtl/>
        </w:rPr>
        <w:t>َّ</w:t>
      </w:r>
      <w:r>
        <w:rPr>
          <w:rtl/>
        </w:rPr>
        <w:t xml:space="preserve">ل أصحاب عملهم </w:t>
      </w:r>
      <w:r>
        <w:rPr>
          <w:rFonts w:hint="eastAsia"/>
          <w:rtl/>
        </w:rPr>
        <w:t>كمشتركين</w:t>
      </w:r>
      <w:r>
        <w:rPr>
          <w:rtl/>
        </w:rPr>
        <w:t>.</w:t>
      </w:r>
    </w:p>
    <w:p w:rsidR="00000000" w:rsidRDefault="00443EC1">
      <w:pPr>
        <w:spacing w:line="380" w:lineRule="exact"/>
        <w:jc w:val="both"/>
        <w:rPr>
          <w:b/>
          <w:bCs/>
          <w:sz w:val="28"/>
        </w:rPr>
      </w:pPr>
      <w:r>
        <w:rPr>
          <w:rFonts w:hint="eastAsia"/>
          <w:b/>
          <w:bCs/>
          <w:sz w:val="28"/>
          <w:rtl/>
        </w:rPr>
        <w:t>استحقاقات</w:t>
      </w:r>
      <w:r>
        <w:rPr>
          <w:b/>
          <w:bCs/>
          <w:sz w:val="28"/>
          <w:rtl/>
        </w:rPr>
        <w:t xml:space="preserve"> صندوق </w:t>
      </w:r>
      <w:r>
        <w:rPr>
          <w:rFonts w:hint="eastAsia"/>
          <w:b/>
          <w:bCs/>
          <w:sz w:val="28"/>
          <w:rtl/>
        </w:rPr>
        <w:t>الضمان</w:t>
      </w:r>
      <w:r>
        <w:rPr>
          <w:b/>
          <w:bCs/>
          <w:sz w:val="28"/>
          <w:rtl/>
        </w:rPr>
        <w:t xml:space="preserve"> الاجتماعي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tblBorders>
        <w:tblLook w:val="0000" w:firstRow="0" w:lastRow="0" w:firstColumn="0" w:lastColumn="0" w:noHBand="0" w:noVBand="0"/>
      </w:tblPr>
      <w:tblGrid>
        <w:gridCol w:w="2644"/>
        <w:gridCol w:w="236"/>
        <w:gridCol w:w="6480"/>
      </w:tblGrid>
      <w:tr w:rsidR="00443EC1" w:rsidTr="00443EC1">
        <w:trPr>
          <w:tblHeader/>
          <w:jc w:val="center"/>
        </w:trPr>
        <w:tc>
          <w:tcPr>
            <w:tcW w:w="2644" w:type="dxa"/>
            <w:tcBorders>
              <w:bottom w:val="single" w:sz="4" w:space="0" w:color="auto"/>
            </w:tcBorders>
          </w:tcPr>
          <w:p w:rsidR="00443EC1" w:rsidRDefault="00443EC1">
            <w:pPr>
              <w:spacing w:before="0" w:after="120" w:line="320" w:lineRule="exact"/>
              <w:jc w:val="center"/>
              <w:rPr>
                <w:rFonts w:hint="cs"/>
              </w:rPr>
            </w:pPr>
            <w:r>
              <w:rPr>
                <w:rFonts w:hint="cs"/>
                <w:rtl/>
              </w:rPr>
              <w:t>الاستحقاقات</w:t>
            </w:r>
          </w:p>
        </w:tc>
        <w:tc>
          <w:tcPr>
            <w:tcW w:w="236" w:type="dxa"/>
            <w:tcBorders>
              <w:bottom w:val="single" w:sz="4" w:space="0" w:color="auto"/>
              <w:right w:val="single" w:sz="4" w:space="0" w:color="auto"/>
            </w:tcBorders>
          </w:tcPr>
          <w:p w:rsidR="00443EC1" w:rsidRDefault="00443EC1">
            <w:pPr>
              <w:spacing w:before="0" w:after="120" w:line="320" w:lineRule="exact"/>
              <w:jc w:val="center"/>
            </w:pPr>
          </w:p>
        </w:tc>
        <w:tc>
          <w:tcPr>
            <w:tcW w:w="6480" w:type="dxa"/>
            <w:tcBorders>
              <w:left w:val="single" w:sz="4" w:space="0" w:color="auto"/>
              <w:bottom w:val="single" w:sz="4" w:space="0" w:color="auto"/>
            </w:tcBorders>
          </w:tcPr>
          <w:p w:rsidR="00443EC1" w:rsidRDefault="00443EC1">
            <w:pPr>
              <w:spacing w:before="0" w:after="120" w:line="320" w:lineRule="exact"/>
              <w:jc w:val="center"/>
            </w:pPr>
            <w:r>
              <w:rPr>
                <w:rFonts w:hint="cs"/>
                <w:rtl/>
              </w:rPr>
              <w:t xml:space="preserve">السمات </w:t>
            </w:r>
            <w:r>
              <w:rPr>
                <w:rtl/>
              </w:rPr>
              <w:t>الرئيسية</w:t>
            </w:r>
          </w:p>
        </w:tc>
      </w:tr>
      <w:tr w:rsidR="00443EC1" w:rsidTr="00443EC1">
        <w:trPr>
          <w:jc w:val="center"/>
        </w:trPr>
        <w:tc>
          <w:tcPr>
            <w:tcW w:w="2644" w:type="dxa"/>
            <w:tcBorders>
              <w:bottom w:val="nil"/>
            </w:tcBorders>
          </w:tcPr>
          <w:p w:rsidR="00443EC1" w:rsidRDefault="00443EC1">
            <w:pPr>
              <w:spacing w:before="0" w:after="120" w:line="320" w:lineRule="exact"/>
              <w:jc w:val="both"/>
            </w:pPr>
            <w:r>
              <w:rPr>
                <w:rFonts w:hint="eastAsia"/>
                <w:rtl/>
              </w:rPr>
              <w:t>الرعاية</w:t>
            </w:r>
            <w:r>
              <w:rPr>
                <w:rtl/>
              </w:rPr>
              <w:t xml:space="preserve"> الطبية</w:t>
            </w:r>
          </w:p>
        </w:tc>
        <w:tc>
          <w:tcPr>
            <w:tcW w:w="236" w:type="dxa"/>
            <w:tcBorders>
              <w:bottom w:val="nil"/>
              <w:right w:val="single" w:sz="4" w:space="0" w:color="auto"/>
            </w:tcBorders>
          </w:tcPr>
          <w:p w:rsidR="00443EC1" w:rsidRDefault="00443EC1">
            <w:pPr>
              <w:spacing w:before="0" w:after="120" w:line="320" w:lineRule="exact"/>
              <w:jc w:val="both"/>
            </w:pPr>
          </w:p>
        </w:tc>
        <w:tc>
          <w:tcPr>
            <w:tcW w:w="6480" w:type="dxa"/>
            <w:tcBorders>
              <w:left w:val="single" w:sz="4" w:space="0" w:color="auto"/>
              <w:bottom w:val="nil"/>
            </w:tcBorders>
          </w:tcPr>
          <w:p w:rsidR="00443EC1" w:rsidRDefault="00443EC1">
            <w:pPr>
              <w:spacing w:before="0" w:after="120" w:line="320" w:lineRule="exact"/>
              <w:jc w:val="both"/>
            </w:pPr>
            <w:r>
              <w:rPr>
                <w:rFonts w:hint="eastAsia"/>
                <w:rtl/>
              </w:rPr>
              <w:t>يجب</w:t>
            </w:r>
            <w:r>
              <w:rPr>
                <w:rtl/>
              </w:rPr>
              <w:t xml:space="preserve"> على كل مستفيد </w:t>
            </w:r>
            <w:r>
              <w:rPr>
                <w:rFonts w:hint="eastAsia"/>
                <w:rtl/>
              </w:rPr>
              <w:t>أن</w:t>
            </w:r>
            <w:r>
              <w:rPr>
                <w:rtl/>
              </w:rPr>
              <w:t xml:space="preserve"> يكون قد دفع اشتراكات</w:t>
            </w:r>
            <w:r>
              <w:rPr>
                <w:rFonts w:hint="cs"/>
                <w:rtl/>
              </w:rPr>
              <w:t>ه</w:t>
            </w:r>
            <w:r>
              <w:rPr>
                <w:rtl/>
              </w:rPr>
              <w:t xml:space="preserve"> لفترة لا تقل عن </w:t>
            </w:r>
            <w:r>
              <w:rPr>
                <w:rFonts w:hint="cs"/>
                <w:rtl/>
              </w:rPr>
              <w:t>9</w:t>
            </w:r>
            <w:r>
              <w:rPr>
                <w:rtl/>
              </w:rPr>
              <w:t xml:space="preserve"> شهور خلال ال‍</w:t>
            </w:r>
            <w:r>
              <w:rPr>
                <w:rFonts w:hint="cs"/>
                <w:rtl/>
              </w:rPr>
              <w:t xml:space="preserve"> </w:t>
            </w:r>
            <w:r>
              <w:rPr>
                <w:rtl/>
              </w:rPr>
              <w:t xml:space="preserve">12 شهراً السابقة </w:t>
            </w:r>
            <w:r>
              <w:rPr>
                <w:rFonts w:hint="eastAsia"/>
                <w:rtl/>
              </w:rPr>
              <w:t>للفصل</w:t>
            </w:r>
            <w:r>
              <w:rPr>
                <w:rtl/>
              </w:rPr>
              <w:t xml:space="preserve"> الذي ظهرت فيه عوارض المرض. وتحسب ا</w:t>
            </w:r>
            <w:r>
              <w:rPr>
                <w:rFonts w:hint="cs"/>
                <w:rtl/>
              </w:rPr>
              <w:t>لم</w:t>
            </w:r>
            <w:r>
              <w:rPr>
                <w:rtl/>
              </w:rPr>
              <w:t xml:space="preserve">ستحقات على أساس يومي وتدفع بطريقة </w:t>
            </w:r>
            <w:r>
              <w:rPr>
                <w:rFonts w:hint="eastAsia"/>
                <w:rtl/>
              </w:rPr>
              <w:t>متتابعة</w:t>
            </w:r>
            <w:r>
              <w:rPr>
                <w:rtl/>
              </w:rPr>
              <w:t xml:space="preserve"> أو بالتناوب؛ </w:t>
            </w:r>
            <w:r>
              <w:rPr>
                <w:rFonts w:hint="cs"/>
                <w:rtl/>
              </w:rPr>
              <w:t>ويُحدَّد بدل الإقامة في المستشفيات بمبلغ</w:t>
            </w:r>
            <w:r>
              <w:rPr>
                <w:rtl/>
              </w:rPr>
              <w:t>70 باتاكا ماكاوية يومياً (على ألا تتجاوز</w:t>
            </w:r>
            <w:r>
              <w:rPr>
                <w:rFonts w:hint="cs"/>
                <w:rtl/>
              </w:rPr>
              <w:t xml:space="preserve"> الفترة</w:t>
            </w:r>
            <w:r>
              <w:rPr>
                <w:rtl/>
              </w:rPr>
              <w:t xml:space="preserve"> 180 يوماً </w:t>
            </w:r>
            <w:r>
              <w:rPr>
                <w:rFonts w:hint="eastAsia"/>
                <w:rtl/>
              </w:rPr>
              <w:t>في</w:t>
            </w:r>
            <w:r>
              <w:rPr>
                <w:rtl/>
              </w:rPr>
              <w:t xml:space="preserve"> السنة) و</w:t>
            </w:r>
            <w:r>
              <w:rPr>
                <w:rFonts w:hint="cs"/>
                <w:rtl/>
              </w:rPr>
              <w:t xml:space="preserve">بدل </w:t>
            </w:r>
            <w:r>
              <w:rPr>
                <w:rtl/>
              </w:rPr>
              <w:t xml:space="preserve">الإقامة في غير المستشفيات </w:t>
            </w:r>
            <w:r>
              <w:rPr>
                <w:rFonts w:hint="cs"/>
                <w:rtl/>
              </w:rPr>
              <w:t xml:space="preserve">هو </w:t>
            </w:r>
            <w:r>
              <w:rPr>
                <w:rtl/>
              </w:rPr>
              <w:t xml:space="preserve">55 باتاكا ماكاوية يومياً ( على ألا </w:t>
            </w:r>
            <w:r>
              <w:rPr>
                <w:rFonts w:hint="eastAsia"/>
                <w:rtl/>
              </w:rPr>
              <w:t>تتجاوز</w:t>
            </w:r>
            <w:r>
              <w:rPr>
                <w:rFonts w:hint="cs"/>
                <w:rtl/>
              </w:rPr>
              <w:t xml:space="preserve"> الفترة</w:t>
            </w:r>
            <w:r>
              <w:rPr>
                <w:rtl/>
              </w:rPr>
              <w:t xml:space="preserve"> 30 يوماً </w:t>
            </w:r>
            <w:r>
              <w:rPr>
                <w:rFonts w:hint="cs"/>
                <w:rtl/>
              </w:rPr>
              <w:t>في السنة</w:t>
            </w:r>
            <w:r>
              <w:rPr>
                <w:rtl/>
              </w:rPr>
              <w:t>).</w:t>
            </w:r>
          </w:p>
        </w:tc>
      </w:tr>
      <w:tr w:rsidR="00443EC1" w:rsidTr="00443EC1">
        <w:trPr>
          <w:jc w:val="center"/>
        </w:trPr>
        <w:tc>
          <w:tcPr>
            <w:tcW w:w="2644" w:type="dxa"/>
            <w:tcBorders>
              <w:top w:val="nil"/>
              <w:bottom w:val="nil"/>
            </w:tcBorders>
          </w:tcPr>
          <w:p w:rsidR="00443EC1" w:rsidRDefault="00443EC1">
            <w:pPr>
              <w:spacing w:before="0" w:after="120" w:line="320" w:lineRule="exact"/>
              <w:jc w:val="both"/>
            </w:pPr>
            <w:r>
              <w:rPr>
                <w:rFonts w:hint="eastAsia"/>
                <w:rtl/>
              </w:rPr>
              <w:t>استحقاق</w:t>
            </w:r>
            <w:r>
              <w:rPr>
                <w:rFonts w:hint="cs"/>
                <w:rtl/>
              </w:rPr>
              <w:t>ات</w:t>
            </w:r>
            <w:r>
              <w:rPr>
                <w:rtl/>
              </w:rPr>
              <w:t xml:space="preserve"> الزواج</w:t>
            </w:r>
          </w:p>
        </w:tc>
        <w:tc>
          <w:tcPr>
            <w:tcW w:w="236" w:type="dxa"/>
            <w:tcBorders>
              <w:top w:val="nil"/>
              <w:bottom w:val="nil"/>
              <w:right w:val="single" w:sz="4" w:space="0" w:color="auto"/>
            </w:tcBorders>
          </w:tcPr>
          <w:p w:rsidR="00443EC1" w:rsidRDefault="00443EC1">
            <w:pPr>
              <w:spacing w:before="0" w:after="120" w:line="320" w:lineRule="exact"/>
              <w:jc w:val="both"/>
            </w:pPr>
          </w:p>
        </w:tc>
        <w:tc>
          <w:tcPr>
            <w:tcW w:w="6480" w:type="dxa"/>
            <w:tcBorders>
              <w:top w:val="nil"/>
              <w:left w:val="single" w:sz="4" w:space="0" w:color="auto"/>
              <w:bottom w:val="nil"/>
            </w:tcBorders>
          </w:tcPr>
          <w:p w:rsidR="00443EC1" w:rsidRDefault="00443EC1">
            <w:pPr>
              <w:spacing w:before="0" w:after="120" w:line="320" w:lineRule="exact"/>
              <w:jc w:val="both"/>
              <w:rPr>
                <w:rFonts w:hint="cs"/>
              </w:rPr>
            </w:pPr>
            <w:r>
              <w:rPr>
                <w:rFonts w:hint="eastAsia"/>
                <w:rtl/>
              </w:rPr>
              <w:t>يحق</w:t>
            </w:r>
            <w:r>
              <w:rPr>
                <w:rtl/>
              </w:rPr>
              <w:t xml:space="preserve"> لكل مستفيد </w:t>
            </w:r>
            <w:r>
              <w:rPr>
                <w:rFonts w:hint="eastAsia"/>
                <w:rtl/>
              </w:rPr>
              <w:t>الحصول</w:t>
            </w:r>
            <w:r>
              <w:rPr>
                <w:rtl/>
              </w:rPr>
              <w:t xml:space="preserve"> على مبلغ ثابت قدره 000 1 باتاكا ماكاوية. ويجب على المستفيد أن يكون قد </w:t>
            </w:r>
            <w:r>
              <w:rPr>
                <w:rFonts w:hint="eastAsia"/>
                <w:rtl/>
              </w:rPr>
              <w:t>دفع</w:t>
            </w:r>
            <w:r>
              <w:rPr>
                <w:rtl/>
              </w:rPr>
              <w:t xml:space="preserve"> اشتراكات لفترة </w:t>
            </w:r>
            <w:r>
              <w:rPr>
                <w:rFonts w:hint="cs"/>
                <w:rtl/>
              </w:rPr>
              <w:t>9</w:t>
            </w:r>
            <w:r>
              <w:rPr>
                <w:rtl/>
              </w:rPr>
              <w:t xml:space="preserve"> شهور خلال</w:t>
            </w:r>
            <w:r>
              <w:rPr>
                <w:rFonts w:hint="cs"/>
                <w:rtl/>
              </w:rPr>
              <w:br/>
              <w:t>ال‍ 12</w:t>
            </w:r>
            <w:r>
              <w:rPr>
                <w:rtl/>
              </w:rPr>
              <w:t xml:space="preserve"> شهراً السابقة للفصل الذي أقيم فيه </w:t>
            </w:r>
            <w:r>
              <w:rPr>
                <w:rFonts w:hint="eastAsia"/>
                <w:rtl/>
              </w:rPr>
              <w:t>الزواج</w:t>
            </w:r>
            <w:r>
              <w:rPr>
                <w:rtl/>
              </w:rPr>
              <w:t>.</w:t>
            </w:r>
          </w:p>
        </w:tc>
      </w:tr>
      <w:tr w:rsidR="00443EC1" w:rsidTr="00443EC1">
        <w:trPr>
          <w:jc w:val="center"/>
        </w:trPr>
        <w:tc>
          <w:tcPr>
            <w:tcW w:w="2644" w:type="dxa"/>
            <w:tcBorders>
              <w:top w:val="nil"/>
              <w:bottom w:val="nil"/>
            </w:tcBorders>
          </w:tcPr>
          <w:p w:rsidR="00443EC1" w:rsidRDefault="00443EC1">
            <w:pPr>
              <w:spacing w:before="0" w:after="120" w:line="320" w:lineRule="exact"/>
              <w:jc w:val="both"/>
            </w:pPr>
            <w:r>
              <w:rPr>
                <w:rFonts w:hint="cs"/>
                <w:rtl/>
              </w:rPr>
              <w:t xml:space="preserve">استحقاق </w:t>
            </w:r>
            <w:r>
              <w:rPr>
                <w:rtl/>
              </w:rPr>
              <w:t>الأمومة</w:t>
            </w:r>
          </w:p>
        </w:tc>
        <w:tc>
          <w:tcPr>
            <w:tcW w:w="236" w:type="dxa"/>
            <w:tcBorders>
              <w:top w:val="nil"/>
              <w:bottom w:val="nil"/>
              <w:right w:val="single" w:sz="4" w:space="0" w:color="auto"/>
            </w:tcBorders>
          </w:tcPr>
          <w:p w:rsidR="00443EC1" w:rsidRDefault="00443EC1">
            <w:pPr>
              <w:spacing w:before="0" w:after="120" w:line="320" w:lineRule="exact"/>
              <w:jc w:val="both"/>
            </w:pPr>
          </w:p>
        </w:tc>
        <w:tc>
          <w:tcPr>
            <w:tcW w:w="6480" w:type="dxa"/>
            <w:tcBorders>
              <w:top w:val="nil"/>
              <w:left w:val="single" w:sz="4" w:space="0" w:color="auto"/>
              <w:bottom w:val="nil"/>
            </w:tcBorders>
          </w:tcPr>
          <w:p w:rsidR="00443EC1" w:rsidRDefault="00443EC1">
            <w:pPr>
              <w:spacing w:before="0" w:after="120" w:line="320" w:lineRule="exact"/>
              <w:jc w:val="both"/>
            </w:pPr>
            <w:r>
              <w:rPr>
                <w:rFonts w:hint="eastAsia"/>
                <w:rtl/>
              </w:rPr>
              <w:t>يحق</w:t>
            </w:r>
            <w:r>
              <w:rPr>
                <w:rtl/>
              </w:rPr>
              <w:t xml:space="preserve"> لكل مستفيد</w:t>
            </w:r>
            <w:r>
              <w:rPr>
                <w:rFonts w:hint="cs"/>
                <w:rtl/>
              </w:rPr>
              <w:t>ة</w:t>
            </w:r>
            <w:r>
              <w:rPr>
                <w:rtl/>
              </w:rPr>
              <w:t xml:space="preserve"> </w:t>
            </w:r>
            <w:r>
              <w:rPr>
                <w:rFonts w:hint="cs"/>
                <w:rtl/>
              </w:rPr>
              <w:t>ا</w:t>
            </w:r>
            <w:r>
              <w:rPr>
                <w:rFonts w:hint="eastAsia"/>
                <w:rtl/>
              </w:rPr>
              <w:t>لحصول</w:t>
            </w:r>
            <w:r>
              <w:rPr>
                <w:rtl/>
              </w:rPr>
              <w:t xml:space="preserve"> على مبلغ ثابت قدره 000 1 باتاكا ماكاوية عن كل ولادة. ويجب على المستفيد</w:t>
            </w:r>
            <w:r>
              <w:rPr>
                <w:rFonts w:hint="cs"/>
                <w:rtl/>
              </w:rPr>
              <w:t>ة</w:t>
            </w:r>
            <w:r>
              <w:rPr>
                <w:rtl/>
              </w:rPr>
              <w:t xml:space="preserve"> </w:t>
            </w:r>
            <w:r>
              <w:rPr>
                <w:rFonts w:hint="eastAsia"/>
                <w:rtl/>
              </w:rPr>
              <w:t>إما</w:t>
            </w:r>
            <w:r>
              <w:rPr>
                <w:rtl/>
              </w:rPr>
              <w:t xml:space="preserve"> أن </w:t>
            </w:r>
            <w:r>
              <w:rPr>
                <w:rFonts w:hint="cs"/>
                <w:rtl/>
              </w:rPr>
              <w:t>ت</w:t>
            </w:r>
            <w:r>
              <w:rPr>
                <w:rtl/>
              </w:rPr>
              <w:t>كون قد دفع</w:t>
            </w:r>
            <w:r>
              <w:rPr>
                <w:rFonts w:hint="cs"/>
                <w:rtl/>
              </w:rPr>
              <w:t>ت</w:t>
            </w:r>
            <w:r>
              <w:rPr>
                <w:rtl/>
              </w:rPr>
              <w:t xml:space="preserve"> ما لا يقل عن تسعة شهور من الاشتراكات خلال </w:t>
            </w:r>
            <w:r>
              <w:rPr>
                <w:rFonts w:hint="cs"/>
                <w:rtl/>
              </w:rPr>
              <w:t xml:space="preserve">ال‍ </w:t>
            </w:r>
            <w:r>
              <w:rPr>
                <w:rtl/>
              </w:rPr>
              <w:t xml:space="preserve">‍12 شهراً </w:t>
            </w:r>
            <w:r>
              <w:rPr>
                <w:rFonts w:hint="eastAsia"/>
                <w:rtl/>
              </w:rPr>
              <w:t>السابقة</w:t>
            </w:r>
            <w:r>
              <w:rPr>
                <w:rtl/>
              </w:rPr>
              <w:t xml:space="preserve"> للفصل الذي </w:t>
            </w:r>
            <w:r>
              <w:rPr>
                <w:rFonts w:hint="cs"/>
                <w:rtl/>
              </w:rPr>
              <w:t>وضعت</w:t>
            </w:r>
            <w:r>
              <w:rPr>
                <w:rtl/>
              </w:rPr>
              <w:t xml:space="preserve"> فيه</w:t>
            </w:r>
            <w:r>
              <w:rPr>
                <w:rFonts w:hint="cs"/>
                <w:rtl/>
              </w:rPr>
              <w:t>،</w:t>
            </w:r>
            <w:r>
              <w:rPr>
                <w:rtl/>
              </w:rPr>
              <w:t xml:space="preserve"> أو ما لا يقل عن 15 شهر</w:t>
            </w:r>
            <w:r>
              <w:rPr>
                <w:rFonts w:hint="cs"/>
                <w:rtl/>
              </w:rPr>
              <w:t>ا</w:t>
            </w:r>
            <w:r>
              <w:rPr>
                <w:rtl/>
              </w:rPr>
              <w:t xml:space="preserve"> من الاشتراكات خلال </w:t>
            </w:r>
            <w:r>
              <w:rPr>
                <w:rFonts w:hint="eastAsia"/>
                <w:rtl/>
              </w:rPr>
              <w:t>ال‍</w:t>
            </w:r>
            <w:r>
              <w:rPr>
                <w:rtl/>
              </w:rPr>
              <w:t xml:space="preserve"> </w:t>
            </w:r>
            <w:r>
              <w:rPr>
                <w:rFonts w:hint="cs"/>
                <w:rtl/>
              </w:rPr>
              <w:t xml:space="preserve">24 </w:t>
            </w:r>
            <w:r>
              <w:rPr>
                <w:rtl/>
              </w:rPr>
              <w:t xml:space="preserve">شهراً السابقة لفصل الولادة. </w:t>
            </w:r>
          </w:p>
        </w:tc>
      </w:tr>
      <w:tr w:rsidR="00443EC1" w:rsidTr="00443EC1">
        <w:trPr>
          <w:jc w:val="center"/>
        </w:trPr>
        <w:tc>
          <w:tcPr>
            <w:tcW w:w="2644" w:type="dxa"/>
            <w:tcBorders>
              <w:top w:val="nil"/>
              <w:bottom w:val="nil"/>
            </w:tcBorders>
          </w:tcPr>
          <w:p w:rsidR="00443EC1" w:rsidRDefault="00443EC1">
            <w:pPr>
              <w:spacing w:before="0" w:after="120" w:line="320" w:lineRule="exact"/>
              <w:jc w:val="both"/>
            </w:pPr>
            <w:r>
              <w:rPr>
                <w:rFonts w:hint="eastAsia"/>
                <w:rtl/>
              </w:rPr>
              <w:t>استحقاق</w:t>
            </w:r>
            <w:r>
              <w:rPr>
                <w:rFonts w:hint="cs"/>
                <w:rtl/>
              </w:rPr>
              <w:t xml:space="preserve"> الشيخوخة</w:t>
            </w:r>
          </w:p>
        </w:tc>
        <w:tc>
          <w:tcPr>
            <w:tcW w:w="236" w:type="dxa"/>
            <w:tcBorders>
              <w:top w:val="nil"/>
              <w:bottom w:val="nil"/>
              <w:right w:val="single" w:sz="4" w:space="0" w:color="auto"/>
            </w:tcBorders>
          </w:tcPr>
          <w:p w:rsidR="00443EC1" w:rsidRDefault="00443EC1">
            <w:pPr>
              <w:spacing w:before="0" w:after="120" w:line="320" w:lineRule="exact"/>
              <w:jc w:val="both"/>
            </w:pPr>
          </w:p>
        </w:tc>
        <w:tc>
          <w:tcPr>
            <w:tcW w:w="6480" w:type="dxa"/>
            <w:tcBorders>
              <w:top w:val="nil"/>
              <w:left w:val="single" w:sz="4" w:space="0" w:color="auto"/>
              <w:bottom w:val="nil"/>
            </w:tcBorders>
          </w:tcPr>
          <w:p w:rsidR="00443EC1" w:rsidRDefault="00443EC1">
            <w:pPr>
              <w:spacing w:before="0" w:after="120" w:line="320" w:lineRule="exact"/>
              <w:jc w:val="both"/>
            </w:pPr>
            <w:r>
              <w:rPr>
                <w:rFonts w:hint="eastAsia"/>
                <w:rtl/>
              </w:rPr>
              <w:t>يدفع</w:t>
            </w:r>
            <w:r>
              <w:rPr>
                <w:rtl/>
              </w:rPr>
              <w:t xml:space="preserve"> </w:t>
            </w:r>
            <w:r>
              <w:rPr>
                <w:rFonts w:hint="eastAsia"/>
                <w:rtl/>
              </w:rPr>
              <w:t>هذا</w:t>
            </w:r>
            <w:r>
              <w:rPr>
                <w:rtl/>
              </w:rPr>
              <w:t xml:space="preserve"> الاستحقاق شهرياً بمبلغ </w:t>
            </w:r>
            <w:r>
              <w:rPr>
                <w:rFonts w:hint="cs"/>
                <w:rtl/>
              </w:rPr>
              <w:t xml:space="preserve">قدره </w:t>
            </w:r>
            <w:r>
              <w:rPr>
                <w:rtl/>
              </w:rPr>
              <w:t xml:space="preserve">150 1 باتاكا ماكاوية وهو متوفر للمستفيدين الذين بلغوا 65 </w:t>
            </w:r>
            <w:r>
              <w:rPr>
                <w:rFonts w:hint="eastAsia"/>
                <w:rtl/>
              </w:rPr>
              <w:t>عاماً</w:t>
            </w:r>
            <w:r>
              <w:rPr>
                <w:rtl/>
              </w:rPr>
              <w:t xml:space="preserve"> أو أكثر؛ ولهم إقامة محلية دائمة لا تقل عن 7 سنوات؛ و</w:t>
            </w:r>
            <w:r>
              <w:rPr>
                <w:rFonts w:hint="cs"/>
                <w:rtl/>
              </w:rPr>
              <w:t xml:space="preserve">يكونون قد </w:t>
            </w:r>
            <w:r>
              <w:rPr>
                <w:rtl/>
              </w:rPr>
              <w:t xml:space="preserve">دفعوا اشتراكات </w:t>
            </w:r>
            <w:r>
              <w:rPr>
                <w:rFonts w:hint="cs"/>
                <w:rtl/>
              </w:rPr>
              <w:t xml:space="preserve">لمدة </w:t>
            </w:r>
            <w:r>
              <w:rPr>
                <w:rtl/>
              </w:rPr>
              <w:t xml:space="preserve">لا </w:t>
            </w:r>
            <w:r>
              <w:rPr>
                <w:rFonts w:hint="eastAsia"/>
                <w:rtl/>
              </w:rPr>
              <w:t>تقل</w:t>
            </w:r>
            <w:r>
              <w:rPr>
                <w:rtl/>
              </w:rPr>
              <w:t xml:space="preserve"> عن 60 شهر</w:t>
            </w:r>
            <w:r>
              <w:rPr>
                <w:rFonts w:hint="cs"/>
                <w:rtl/>
              </w:rPr>
              <w:t>ا</w:t>
            </w:r>
            <w:r>
              <w:rPr>
                <w:rtl/>
              </w:rPr>
              <w:t xml:space="preserve">. </w:t>
            </w:r>
          </w:p>
        </w:tc>
      </w:tr>
      <w:tr w:rsidR="00443EC1" w:rsidTr="00443EC1">
        <w:trPr>
          <w:jc w:val="center"/>
        </w:trPr>
        <w:tc>
          <w:tcPr>
            <w:tcW w:w="2644" w:type="dxa"/>
            <w:tcBorders>
              <w:top w:val="nil"/>
              <w:bottom w:val="nil"/>
            </w:tcBorders>
          </w:tcPr>
          <w:p w:rsidR="00443EC1" w:rsidRDefault="00443EC1">
            <w:pPr>
              <w:spacing w:before="0" w:after="120" w:line="320" w:lineRule="exact"/>
              <w:jc w:val="both"/>
            </w:pPr>
            <w:r>
              <w:rPr>
                <w:rFonts w:hint="eastAsia"/>
                <w:rtl/>
              </w:rPr>
              <w:t>استحقاق</w:t>
            </w:r>
            <w:r>
              <w:rPr>
                <w:rtl/>
              </w:rPr>
              <w:t xml:space="preserve"> </w:t>
            </w:r>
            <w:r>
              <w:rPr>
                <w:rFonts w:hint="eastAsia"/>
                <w:rtl/>
              </w:rPr>
              <w:t>الاعت</w:t>
            </w:r>
            <w:r>
              <w:rPr>
                <w:rFonts w:hint="cs"/>
                <w:rtl/>
              </w:rPr>
              <w:t>ل</w:t>
            </w:r>
            <w:r>
              <w:rPr>
                <w:rFonts w:hint="eastAsia"/>
                <w:rtl/>
              </w:rPr>
              <w:t>ال</w:t>
            </w:r>
          </w:p>
        </w:tc>
        <w:tc>
          <w:tcPr>
            <w:tcW w:w="236" w:type="dxa"/>
            <w:tcBorders>
              <w:top w:val="nil"/>
              <w:bottom w:val="nil"/>
              <w:right w:val="single" w:sz="4" w:space="0" w:color="auto"/>
            </w:tcBorders>
          </w:tcPr>
          <w:p w:rsidR="00443EC1" w:rsidRDefault="00443EC1">
            <w:pPr>
              <w:spacing w:before="0" w:after="120" w:line="320" w:lineRule="exact"/>
              <w:jc w:val="both"/>
            </w:pPr>
          </w:p>
        </w:tc>
        <w:tc>
          <w:tcPr>
            <w:tcW w:w="6480" w:type="dxa"/>
            <w:tcBorders>
              <w:top w:val="nil"/>
              <w:left w:val="single" w:sz="4" w:space="0" w:color="auto"/>
              <w:bottom w:val="nil"/>
            </w:tcBorders>
          </w:tcPr>
          <w:p w:rsidR="00443EC1" w:rsidRDefault="00443EC1">
            <w:pPr>
              <w:spacing w:before="0" w:after="120" w:line="320" w:lineRule="exact"/>
              <w:jc w:val="both"/>
            </w:pPr>
            <w:r>
              <w:rPr>
                <w:rFonts w:hint="eastAsia"/>
                <w:rtl/>
              </w:rPr>
              <w:t>يدفع</w:t>
            </w:r>
            <w:r>
              <w:rPr>
                <w:rtl/>
              </w:rPr>
              <w:t xml:space="preserve"> </w:t>
            </w:r>
            <w:r>
              <w:rPr>
                <w:rFonts w:hint="eastAsia"/>
                <w:rtl/>
              </w:rPr>
              <w:t>هذا</w:t>
            </w:r>
            <w:r>
              <w:rPr>
                <w:rtl/>
              </w:rPr>
              <w:t xml:space="preserve"> الاستحقاق شهرياً بمبلغ </w:t>
            </w:r>
            <w:r>
              <w:rPr>
                <w:rFonts w:hint="cs"/>
                <w:rtl/>
              </w:rPr>
              <w:t xml:space="preserve">قدره </w:t>
            </w:r>
            <w:r>
              <w:rPr>
                <w:rtl/>
              </w:rPr>
              <w:t>150 1 باتاكا ماكاوية وهو متوفر للمستفيدين ال</w:t>
            </w:r>
            <w:r>
              <w:rPr>
                <w:rFonts w:hint="cs"/>
                <w:rtl/>
              </w:rPr>
              <w:t xml:space="preserve">بالغين </w:t>
            </w:r>
            <w:r>
              <w:rPr>
                <w:rtl/>
              </w:rPr>
              <w:t xml:space="preserve">18 عاماً </w:t>
            </w:r>
            <w:r>
              <w:rPr>
                <w:rFonts w:hint="eastAsia"/>
                <w:rtl/>
              </w:rPr>
              <w:t>من</w:t>
            </w:r>
            <w:r>
              <w:rPr>
                <w:rtl/>
              </w:rPr>
              <w:t xml:space="preserve"> العمر أو أكثر، إلى جانب تقديم شهادة </w:t>
            </w:r>
            <w:r>
              <w:rPr>
                <w:spacing w:val="0"/>
                <w:rtl/>
              </w:rPr>
              <w:t xml:space="preserve">الفقدان الكامل للقدرة على الكسب، وما </w:t>
            </w:r>
            <w:r>
              <w:rPr>
                <w:rFonts w:hint="eastAsia"/>
                <w:spacing w:val="0"/>
                <w:rtl/>
              </w:rPr>
              <w:t>لا</w:t>
            </w:r>
            <w:r>
              <w:rPr>
                <w:spacing w:val="0"/>
                <w:rtl/>
              </w:rPr>
              <w:t xml:space="preserve"> يقل عن </w:t>
            </w:r>
            <w:r>
              <w:rPr>
                <w:rFonts w:hint="cs"/>
                <w:spacing w:val="0"/>
                <w:rtl/>
              </w:rPr>
              <w:t>7</w:t>
            </w:r>
            <w:r>
              <w:rPr>
                <w:spacing w:val="0"/>
                <w:rtl/>
              </w:rPr>
              <w:t xml:space="preserve"> أعوام </w:t>
            </w:r>
            <w:r>
              <w:rPr>
                <w:rFonts w:hint="cs"/>
                <w:spacing w:val="0"/>
                <w:rtl/>
              </w:rPr>
              <w:t>من</w:t>
            </w:r>
            <w:r>
              <w:rPr>
                <w:spacing w:val="0"/>
                <w:rtl/>
              </w:rPr>
              <w:t xml:space="preserve"> الإقامة المحلية الدائمة؛ وما لا يقل عن 36 شهراً من </w:t>
            </w:r>
            <w:r>
              <w:rPr>
                <w:rFonts w:hint="eastAsia"/>
                <w:spacing w:val="0"/>
                <w:rtl/>
              </w:rPr>
              <w:t>الاشتراكات</w:t>
            </w:r>
            <w:r>
              <w:rPr>
                <w:spacing w:val="0"/>
                <w:rtl/>
              </w:rPr>
              <w:t xml:space="preserve"> قبل فصل الاعتلال.</w:t>
            </w:r>
          </w:p>
        </w:tc>
      </w:tr>
      <w:tr w:rsidR="00443EC1" w:rsidTr="00443EC1">
        <w:trPr>
          <w:jc w:val="center"/>
        </w:trPr>
        <w:tc>
          <w:tcPr>
            <w:tcW w:w="2644" w:type="dxa"/>
            <w:tcBorders>
              <w:top w:val="nil"/>
              <w:bottom w:val="nil"/>
            </w:tcBorders>
          </w:tcPr>
          <w:p w:rsidR="00443EC1" w:rsidRDefault="00443EC1">
            <w:pPr>
              <w:spacing w:before="0" w:after="120" w:line="320" w:lineRule="exact"/>
              <w:jc w:val="both"/>
            </w:pPr>
            <w:r>
              <w:rPr>
                <w:rFonts w:hint="eastAsia"/>
                <w:rtl/>
              </w:rPr>
              <w:t>استحقاق</w:t>
            </w:r>
            <w:r>
              <w:rPr>
                <w:rtl/>
              </w:rPr>
              <w:t xml:space="preserve"> مراسم </w:t>
            </w:r>
            <w:r>
              <w:rPr>
                <w:rFonts w:hint="eastAsia"/>
                <w:rtl/>
              </w:rPr>
              <w:t>الدفن</w:t>
            </w:r>
          </w:p>
        </w:tc>
        <w:tc>
          <w:tcPr>
            <w:tcW w:w="236" w:type="dxa"/>
            <w:tcBorders>
              <w:top w:val="nil"/>
              <w:bottom w:val="nil"/>
              <w:right w:val="single" w:sz="4" w:space="0" w:color="auto"/>
            </w:tcBorders>
          </w:tcPr>
          <w:p w:rsidR="00443EC1" w:rsidRDefault="00443EC1">
            <w:pPr>
              <w:spacing w:before="0" w:after="120" w:line="320" w:lineRule="exact"/>
              <w:jc w:val="both"/>
            </w:pPr>
          </w:p>
        </w:tc>
        <w:tc>
          <w:tcPr>
            <w:tcW w:w="6480" w:type="dxa"/>
            <w:tcBorders>
              <w:top w:val="nil"/>
              <w:left w:val="single" w:sz="4" w:space="0" w:color="auto"/>
              <w:bottom w:val="nil"/>
            </w:tcBorders>
          </w:tcPr>
          <w:p w:rsidR="00443EC1" w:rsidRDefault="00443EC1">
            <w:pPr>
              <w:spacing w:before="0" w:after="120" w:line="320" w:lineRule="exact"/>
              <w:jc w:val="both"/>
            </w:pPr>
            <w:r>
              <w:rPr>
                <w:rFonts w:hint="eastAsia"/>
                <w:rtl/>
              </w:rPr>
              <w:t>يحق</w:t>
            </w:r>
            <w:r>
              <w:rPr>
                <w:rtl/>
              </w:rPr>
              <w:t xml:space="preserve"> للشخص الذي </w:t>
            </w:r>
            <w:r>
              <w:rPr>
                <w:rFonts w:hint="eastAsia"/>
                <w:rtl/>
              </w:rPr>
              <w:t>يثبت</w:t>
            </w:r>
            <w:r>
              <w:rPr>
                <w:rtl/>
              </w:rPr>
              <w:t xml:space="preserve"> أنه دفع نفقات الدفن الحصول على مبلغ ثابت قدره 300 1 باتاكا ماكاوية. </w:t>
            </w:r>
          </w:p>
        </w:tc>
      </w:tr>
      <w:tr w:rsidR="00443EC1" w:rsidTr="00443EC1">
        <w:trPr>
          <w:jc w:val="center"/>
        </w:trPr>
        <w:tc>
          <w:tcPr>
            <w:tcW w:w="2644" w:type="dxa"/>
            <w:tcBorders>
              <w:top w:val="nil"/>
              <w:bottom w:val="nil"/>
            </w:tcBorders>
          </w:tcPr>
          <w:p w:rsidR="00443EC1" w:rsidRDefault="00443EC1">
            <w:pPr>
              <w:spacing w:before="0" w:after="120" w:line="320" w:lineRule="exact"/>
              <w:jc w:val="both"/>
            </w:pPr>
            <w:r>
              <w:rPr>
                <w:rFonts w:hint="eastAsia"/>
                <w:rtl/>
              </w:rPr>
              <w:t>استحقاق</w:t>
            </w:r>
            <w:r>
              <w:rPr>
                <w:rtl/>
              </w:rPr>
              <w:t xml:space="preserve"> تغب</w:t>
            </w:r>
            <w:r>
              <w:rPr>
                <w:rFonts w:hint="cs"/>
                <w:rtl/>
              </w:rPr>
              <w:t>ّ</w:t>
            </w:r>
            <w:r>
              <w:rPr>
                <w:rtl/>
              </w:rPr>
              <w:t xml:space="preserve">ر </w:t>
            </w:r>
            <w:r>
              <w:rPr>
                <w:rFonts w:hint="eastAsia"/>
                <w:rtl/>
              </w:rPr>
              <w:t>الرئة</w:t>
            </w:r>
          </w:p>
        </w:tc>
        <w:tc>
          <w:tcPr>
            <w:tcW w:w="236" w:type="dxa"/>
            <w:tcBorders>
              <w:top w:val="nil"/>
              <w:bottom w:val="nil"/>
              <w:right w:val="single" w:sz="4" w:space="0" w:color="auto"/>
            </w:tcBorders>
          </w:tcPr>
          <w:p w:rsidR="00443EC1" w:rsidRDefault="00443EC1">
            <w:pPr>
              <w:spacing w:before="0" w:after="120" w:line="320" w:lineRule="exact"/>
              <w:jc w:val="both"/>
            </w:pPr>
          </w:p>
        </w:tc>
        <w:tc>
          <w:tcPr>
            <w:tcW w:w="6480" w:type="dxa"/>
            <w:tcBorders>
              <w:top w:val="nil"/>
              <w:left w:val="single" w:sz="4" w:space="0" w:color="auto"/>
              <w:bottom w:val="nil"/>
            </w:tcBorders>
          </w:tcPr>
          <w:p w:rsidR="00443EC1" w:rsidRDefault="00443EC1">
            <w:pPr>
              <w:spacing w:before="0" w:after="120" w:line="320" w:lineRule="exact"/>
              <w:jc w:val="both"/>
            </w:pPr>
            <w:r>
              <w:rPr>
                <w:rtl/>
              </w:rPr>
              <w:t>استحقاق</w:t>
            </w:r>
            <w:r>
              <w:rPr>
                <w:rFonts w:hint="cs"/>
                <w:rtl/>
              </w:rPr>
              <w:t>ات</w:t>
            </w:r>
            <w:r>
              <w:rPr>
                <w:rtl/>
              </w:rPr>
              <w:t xml:space="preserve"> </w:t>
            </w:r>
            <w:r>
              <w:rPr>
                <w:rFonts w:hint="eastAsia"/>
                <w:rtl/>
              </w:rPr>
              <w:t>متوفر</w:t>
            </w:r>
            <w:r>
              <w:rPr>
                <w:rFonts w:hint="cs"/>
                <w:rtl/>
              </w:rPr>
              <w:t>ة</w:t>
            </w:r>
            <w:r>
              <w:rPr>
                <w:rtl/>
              </w:rPr>
              <w:t xml:space="preserve"> للمستفيد الذي أصيب بتغب</w:t>
            </w:r>
            <w:r>
              <w:rPr>
                <w:rFonts w:hint="cs"/>
                <w:rtl/>
              </w:rPr>
              <w:t>ّ</w:t>
            </w:r>
            <w:r>
              <w:rPr>
                <w:rtl/>
              </w:rPr>
              <w:t xml:space="preserve">ر الرئة </w:t>
            </w:r>
            <w:r>
              <w:rPr>
                <w:rFonts w:hint="cs"/>
                <w:rtl/>
              </w:rPr>
              <w:t>طبقا للشروط</w:t>
            </w:r>
            <w:r>
              <w:rPr>
                <w:rtl/>
              </w:rPr>
              <w:t xml:space="preserve"> التي يحددها القانون.</w:t>
            </w:r>
          </w:p>
        </w:tc>
      </w:tr>
      <w:tr w:rsidR="00443EC1" w:rsidTr="00443EC1">
        <w:trPr>
          <w:jc w:val="center"/>
        </w:trPr>
        <w:tc>
          <w:tcPr>
            <w:tcW w:w="2644" w:type="dxa"/>
            <w:tcBorders>
              <w:top w:val="nil"/>
              <w:bottom w:val="nil"/>
            </w:tcBorders>
          </w:tcPr>
          <w:p w:rsidR="00443EC1" w:rsidRDefault="00443EC1">
            <w:pPr>
              <w:spacing w:before="0" w:after="120" w:line="320" w:lineRule="exact"/>
              <w:jc w:val="both"/>
            </w:pPr>
            <w:r>
              <w:rPr>
                <w:rFonts w:hint="eastAsia"/>
                <w:rtl/>
              </w:rPr>
              <w:t>استحقاق</w:t>
            </w:r>
            <w:r>
              <w:rPr>
                <w:rtl/>
              </w:rPr>
              <w:t xml:space="preserve"> المعونة </w:t>
            </w:r>
            <w:r>
              <w:rPr>
                <w:rFonts w:hint="eastAsia"/>
                <w:rtl/>
              </w:rPr>
              <w:t>الاجتماعية</w:t>
            </w:r>
          </w:p>
        </w:tc>
        <w:tc>
          <w:tcPr>
            <w:tcW w:w="236" w:type="dxa"/>
            <w:tcBorders>
              <w:top w:val="nil"/>
              <w:bottom w:val="nil"/>
              <w:right w:val="single" w:sz="4" w:space="0" w:color="auto"/>
            </w:tcBorders>
          </w:tcPr>
          <w:p w:rsidR="00443EC1" w:rsidRDefault="00443EC1">
            <w:pPr>
              <w:spacing w:before="0" w:after="120" w:line="320" w:lineRule="exact"/>
              <w:jc w:val="both"/>
            </w:pPr>
          </w:p>
        </w:tc>
        <w:tc>
          <w:tcPr>
            <w:tcW w:w="6480" w:type="dxa"/>
            <w:tcBorders>
              <w:top w:val="nil"/>
              <w:left w:val="single" w:sz="4" w:space="0" w:color="auto"/>
              <w:bottom w:val="nil"/>
            </w:tcBorders>
          </w:tcPr>
          <w:p w:rsidR="00443EC1" w:rsidRDefault="00443EC1">
            <w:pPr>
              <w:spacing w:before="0" w:after="120" w:line="320" w:lineRule="exact"/>
              <w:jc w:val="both"/>
              <w:rPr>
                <w:rFonts w:hint="cs"/>
                <w:rtl/>
              </w:rPr>
            </w:pPr>
            <w:r>
              <w:rPr>
                <w:rFonts w:hint="eastAsia"/>
                <w:rtl/>
              </w:rPr>
              <w:t>يدفع</w:t>
            </w:r>
            <w:r>
              <w:rPr>
                <w:rtl/>
              </w:rPr>
              <w:t xml:space="preserve"> </w:t>
            </w:r>
            <w:r>
              <w:rPr>
                <w:rFonts w:hint="eastAsia"/>
                <w:rtl/>
              </w:rPr>
              <w:t>هذا</w:t>
            </w:r>
            <w:r>
              <w:rPr>
                <w:rtl/>
              </w:rPr>
              <w:t xml:space="preserve"> الاستحقاق شهرياً بمبلغ </w:t>
            </w:r>
            <w:r>
              <w:rPr>
                <w:rFonts w:hint="cs"/>
                <w:rtl/>
              </w:rPr>
              <w:t xml:space="preserve">قدره </w:t>
            </w:r>
            <w:r>
              <w:rPr>
                <w:rtl/>
              </w:rPr>
              <w:t>750 باتاكا ماكاوية</w:t>
            </w:r>
            <w:r>
              <w:rPr>
                <w:rFonts w:hint="cs"/>
                <w:rtl/>
              </w:rPr>
              <w:t xml:space="preserve"> </w:t>
            </w:r>
            <w:r>
              <w:rPr>
                <w:rtl/>
              </w:rPr>
              <w:t xml:space="preserve">للمقيمين المحليين غير </w:t>
            </w:r>
            <w:r>
              <w:rPr>
                <w:rFonts w:hint="eastAsia"/>
                <w:rtl/>
              </w:rPr>
              <w:t>القادرين</w:t>
            </w:r>
            <w:r>
              <w:rPr>
                <w:rtl/>
              </w:rPr>
              <w:t xml:space="preserve"> على كسب رزق أساسي ولا تتوفر </w:t>
            </w:r>
            <w:r>
              <w:rPr>
                <w:rFonts w:hint="cs"/>
                <w:rtl/>
              </w:rPr>
              <w:t>لديهم</w:t>
            </w:r>
            <w:r>
              <w:rPr>
                <w:rtl/>
              </w:rPr>
              <w:t xml:space="preserve"> شروط الحصول على استحقاقات الشيخوخة (سن 65 عاماً فما فوق) واستحقاقات الاعتلال (سن 18 عاماً فما فوق).</w:t>
            </w:r>
          </w:p>
          <w:p w:rsidR="00443EC1" w:rsidRDefault="00443EC1">
            <w:pPr>
              <w:spacing w:before="0" w:after="120" w:line="320" w:lineRule="exact"/>
              <w:jc w:val="both"/>
            </w:pPr>
            <w:r>
              <w:rPr>
                <w:rFonts w:hint="cs"/>
                <w:rtl/>
              </w:rPr>
              <w:t>ويتيح</w:t>
            </w:r>
            <w:r>
              <w:rPr>
                <w:rtl/>
              </w:rPr>
              <w:t xml:space="preserve"> البدل </w:t>
            </w:r>
            <w:r>
              <w:rPr>
                <w:rFonts w:hint="eastAsia"/>
                <w:rtl/>
              </w:rPr>
              <w:t>التكميلي</w:t>
            </w:r>
            <w:r>
              <w:rPr>
                <w:rtl/>
              </w:rPr>
              <w:t xml:space="preserve"> مبالغ مالية إضافية، </w:t>
            </w:r>
            <w:r>
              <w:rPr>
                <w:rFonts w:hint="cs"/>
                <w:rtl/>
              </w:rPr>
              <w:t xml:space="preserve">علاوة على </w:t>
            </w:r>
            <w:r>
              <w:rPr>
                <w:rtl/>
              </w:rPr>
              <w:t xml:space="preserve">استحقاقات المعونة </w:t>
            </w:r>
            <w:r>
              <w:rPr>
                <w:spacing w:val="0"/>
                <w:rtl/>
              </w:rPr>
              <w:t xml:space="preserve">الاجتماعية، للشخص </w:t>
            </w:r>
            <w:r>
              <w:rPr>
                <w:rFonts w:hint="eastAsia"/>
                <w:spacing w:val="0"/>
                <w:rtl/>
              </w:rPr>
              <w:t>الذي</w:t>
            </w:r>
            <w:r>
              <w:rPr>
                <w:spacing w:val="0"/>
                <w:rtl/>
              </w:rPr>
              <w:t xml:space="preserve"> </w:t>
            </w:r>
            <w:r>
              <w:rPr>
                <w:rFonts w:hint="cs"/>
                <w:spacing w:val="0"/>
                <w:rtl/>
              </w:rPr>
              <w:t>ي</w:t>
            </w:r>
            <w:r>
              <w:rPr>
                <w:spacing w:val="0"/>
                <w:rtl/>
              </w:rPr>
              <w:t xml:space="preserve">شهد لفائدته </w:t>
            </w:r>
            <w:r>
              <w:rPr>
                <w:rFonts w:hint="cs"/>
                <w:spacing w:val="0"/>
                <w:rtl/>
              </w:rPr>
              <w:t xml:space="preserve">معهد الرعاية الاجتماعية </w:t>
            </w:r>
            <w:r>
              <w:rPr>
                <w:rFonts w:hint="eastAsia"/>
                <w:spacing w:val="0"/>
                <w:rtl/>
              </w:rPr>
              <w:t>أنه</w:t>
            </w:r>
            <w:r>
              <w:rPr>
                <w:spacing w:val="0"/>
                <w:rtl/>
              </w:rPr>
              <w:t xml:space="preserve"> يحتاج إلى أكثر من استحقاقات </w:t>
            </w:r>
            <w:r>
              <w:rPr>
                <w:rFonts w:hint="eastAsia"/>
                <w:spacing w:val="0"/>
                <w:rtl/>
              </w:rPr>
              <w:t>المعونة</w:t>
            </w:r>
            <w:r>
              <w:rPr>
                <w:spacing w:val="0"/>
                <w:rtl/>
              </w:rPr>
              <w:t xml:space="preserve"> الاجتماعية لتغطية نفقات عيشه الأساسية.</w:t>
            </w:r>
          </w:p>
        </w:tc>
      </w:tr>
      <w:tr w:rsidR="00443EC1" w:rsidTr="00443EC1">
        <w:trPr>
          <w:jc w:val="center"/>
        </w:trPr>
        <w:tc>
          <w:tcPr>
            <w:tcW w:w="2644" w:type="dxa"/>
            <w:tcBorders>
              <w:top w:val="nil"/>
              <w:bottom w:val="nil"/>
            </w:tcBorders>
          </w:tcPr>
          <w:p w:rsidR="00443EC1" w:rsidRDefault="00443EC1">
            <w:pPr>
              <w:spacing w:before="0" w:after="120" w:line="320" w:lineRule="exact"/>
              <w:jc w:val="both"/>
            </w:pPr>
            <w:r>
              <w:rPr>
                <w:rFonts w:hint="eastAsia"/>
                <w:rtl/>
              </w:rPr>
              <w:t>البدلات</w:t>
            </w:r>
            <w:r>
              <w:rPr>
                <w:rtl/>
              </w:rPr>
              <w:t xml:space="preserve"> الإضافية</w:t>
            </w:r>
          </w:p>
        </w:tc>
        <w:tc>
          <w:tcPr>
            <w:tcW w:w="236" w:type="dxa"/>
            <w:tcBorders>
              <w:top w:val="nil"/>
              <w:bottom w:val="nil"/>
              <w:right w:val="single" w:sz="4" w:space="0" w:color="auto"/>
            </w:tcBorders>
          </w:tcPr>
          <w:p w:rsidR="00443EC1" w:rsidRDefault="00443EC1">
            <w:pPr>
              <w:spacing w:before="0" w:after="120" w:line="320" w:lineRule="exact"/>
              <w:jc w:val="both"/>
            </w:pPr>
          </w:p>
        </w:tc>
        <w:tc>
          <w:tcPr>
            <w:tcW w:w="6480" w:type="dxa"/>
            <w:tcBorders>
              <w:top w:val="nil"/>
              <w:left w:val="single" w:sz="4" w:space="0" w:color="auto"/>
              <w:bottom w:val="nil"/>
            </w:tcBorders>
          </w:tcPr>
          <w:p w:rsidR="00443EC1" w:rsidRDefault="00443EC1">
            <w:pPr>
              <w:spacing w:before="0" w:after="120" w:line="320" w:lineRule="exact"/>
              <w:jc w:val="both"/>
              <w:rPr>
                <w:spacing w:val="0"/>
              </w:rPr>
            </w:pPr>
            <w:r>
              <w:rPr>
                <w:rFonts w:hint="cs"/>
                <w:spacing w:val="0"/>
                <w:rtl/>
              </w:rPr>
              <w:t>هي</w:t>
            </w:r>
            <w:r>
              <w:rPr>
                <w:spacing w:val="0"/>
                <w:rtl/>
              </w:rPr>
              <w:t xml:space="preserve"> علاوة لشهر </w:t>
            </w:r>
            <w:r>
              <w:rPr>
                <w:rFonts w:hint="eastAsia"/>
                <w:spacing w:val="0"/>
                <w:rtl/>
              </w:rPr>
              <w:t>واحد</w:t>
            </w:r>
            <w:r>
              <w:rPr>
                <w:spacing w:val="0"/>
                <w:rtl/>
              </w:rPr>
              <w:t xml:space="preserve"> تدفع عند حلول شهر كانون الثاني/يناير للمستفيدين </w:t>
            </w:r>
            <w:r>
              <w:rPr>
                <w:rFonts w:hint="cs"/>
                <w:spacing w:val="0"/>
                <w:rtl/>
              </w:rPr>
              <w:t xml:space="preserve">من </w:t>
            </w:r>
            <w:r>
              <w:rPr>
                <w:rFonts w:hint="eastAsia"/>
                <w:spacing w:val="0"/>
                <w:rtl/>
              </w:rPr>
              <w:t>استحقاقات</w:t>
            </w:r>
            <w:r>
              <w:rPr>
                <w:spacing w:val="0"/>
                <w:rtl/>
              </w:rPr>
              <w:t xml:space="preserve"> الشيخوخة واستحقاقات الاعتلال واستحقاقات المعونة الاجتماعية. </w:t>
            </w:r>
          </w:p>
        </w:tc>
      </w:tr>
      <w:tr w:rsidR="00443EC1" w:rsidTr="00443EC1">
        <w:trPr>
          <w:jc w:val="center"/>
        </w:trPr>
        <w:tc>
          <w:tcPr>
            <w:tcW w:w="2644" w:type="dxa"/>
            <w:tcBorders>
              <w:top w:val="nil"/>
            </w:tcBorders>
          </w:tcPr>
          <w:p w:rsidR="00443EC1" w:rsidRDefault="00443EC1">
            <w:pPr>
              <w:spacing w:before="0" w:after="120" w:line="320" w:lineRule="exact"/>
              <w:jc w:val="both"/>
            </w:pPr>
            <w:r>
              <w:rPr>
                <w:rFonts w:hint="eastAsia"/>
                <w:rtl/>
              </w:rPr>
              <w:t>استحقاق</w:t>
            </w:r>
            <w:r>
              <w:rPr>
                <w:rtl/>
              </w:rPr>
              <w:t xml:space="preserve"> البطالة</w:t>
            </w:r>
          </w:p>
        </w:tc>
        <w:tc>
          <w:tcPr>
            <w:tcW w:w="236" w:type="dxa"/>
            <w:tcBorders>
              <w:top w:val="nil"/>
              <w:right w:val="single" w:sz="4" w:space="0" w:color="auto"/>
            </w:tcBorders>
          </w:tcPr>
          <w:p w:rsidR="00443EC1" w:rsidRDefault="00443EC1">
            <w:pPr>
              <w:spacing w:before="0" w:after="120" w:line="320" w:lineRule="exact"/>
              <w:jc w:val="both"/>
            </w:pPr>
          </w:p>
        </w:tc>
        <w:tc>
          <w:tcPr>
            <w:tcW w:w="6480" w:type="dxa"/>
            <w:tcBorders>
              <w:top w:val="nil"/>
              <w:left w:val="single" w:sz="4" w:space="0" w:color="auto"/>
            </w:tcBorders>
          </w:tcPr>
          <w:p w:rsidR="00443EC1" w:rsidRDefault="00443EC1">
            <w:pPr>
              <w:spacing w:before="0" w:after="120" w:line="320" w:lineRule="exact"/>
              <w:jc w:val="both"/>
            </w:pPr>
            <w:r>
              <w:rPr>
                <w:rFonts w:hint="eastAsia"/>
                <w:rtl/>
              </w:rPr>
              <w:t>هذه</w:t>
            </w:r>
            <w:r>
              <w:rPr>
                <w:rtl/>
              </w:rPr>
              <w:t xml:space="preserve"> </w:t>
            </w:r>
            <w:r>
              <w:rPr>
                <w:rFonts w:hint="cs"/>
                <w:rtl/>
              </w:rPr>
              <w:t>الإعانة</w:t>
            </w:r>
            <w:r>
              <w:rPr>
                <w:rtl/>
              </w:rPr>
              <w:t xml:space="preserve"> </w:t>
            </w:r>
            <w:r>
              <w:rPr>
                <w:rFonts w:hint="eastAsia"/>
                <w:rtl/>
              </w:rPr>
              <w:t>متوفرة</w:t>
            </w:r>
            <w:r>
              <w:rPr>
                <w:rtl/>
              </w:rPr>
              <w:t xml:space="preserve"> للمستفيد العاطل عن العمل رغماً عنه. ويجب أن يكون المستفيد مسجلاً لدى </w:t>
            </w:r>
            <w:r>
              <w:rPr>
                <w:rFonts w:hint="eastAsia"/>
                <w:rtl/>
              </w:rPr>
              <w:t>إدارة</w:t>
            </w:r>
            <w:r>
              <w:rPr>
                <w:rtl/>
              </w:rPr>
              <w:t xml:space="preserve"> العمل والعمالة وأن يكون قد </w:t>
            </w:r>
            <w:r>
              <w:rPr>
                <w:rFonts w:hint="cs"/>
                <w:rtl/>
              </w:rPr>
              <w:t>دفع اشتراكاته</w:t>
            </w:r>
            <w:r>
              <w:rPr>
                <w:rtl/>
              </w:rPr>
              <w:t xml:space="preserve"> لفترة لا تقل عن </w:t>
            </w:r>
            <w:r>
              <w:rPr>
                <w:rFonts w:hint="cs"/>
                <w:rtl/>
              </w:rPr>
              <w:t>9</w:t>
            </w:r>
            <w:r>
              <w:rPr>
                <w:rtl/>
              </w:rPr>
              <w:t xml:space="preserve"> شهور خلال</w:t>
            </w:r>
            <w:r>
              <w:rPr>
                <w:rFonts w:hint="cs"/>
                <w:rtl/>
              </w:rPr>
              <w:t xml:space="preserve"> ال‍ </w:t>
            </w:r>
            <w:r>
              <w:rPr>
                <w:rtl/>
              </w:rPr>
              <w:t>12 شهر</w:t>
            </w:r>
            <w:r>
              <w:rPr>
                <w:rFonts w:hint="cs"/>
                <w:rtl/>
              </w:rPr>
              <w:t>ا</w:t>
            </w:r>
            <w:r>
              <w:rPr>
                <w:rtl/>
              </w:rPr>
              <w:t xml:space="preserve"> </w:t>
            </w:r>
            <w:r>
              <w:rPr>
                <w:rFonts w:hint="eastAsia"/>
                <w:rtl/>
              </w:rPr>
              <w:t>السابقة</w:t>
            </w:r>
            <w:r>
              <w:rPr>
                <w:rtl/>
              </w:rPr>
              <w:t xml:space="preserve"> ل</w:t>
            </w:r>
            <w:r>
              <w:rPr>
                <w:rFonts w:hint="cs"/>
                <w:rtl/>
              </w:rPr>
              <w:t>ل</w:t>
            </w:r>
            <w:r>
              <w:rPr>
                <w:rtl/>
              </w:rPr>
              <w:t xml:space="preserve">فصل </w:t>
            </w:r>
            <w:r>
              <w:rPr>
                <w:rFonts w:hint="cs"/>
                <w:rtl/>
              </w:rPr>
              <w:t>الذي أصبح فيه عاطلا عن العمل</w:t>
            </w:r>
            <w:r>
              <w:rPr>
                <w:rtl/>
              </w:rPr>
              <w:t xml:space="preserve">. وتحسب العلاوة وقدرها 70 باتاكا ماكاوية </w:t>
            </w:r>
            <w:r>
              <w:rPr>
                <w:rFonts w:hint="eastAsia"/>
                <w:rtl/>
              </w:rPr>
              <w:t>يومياً</w:t>
            </w:r>
            <w:r>
              <w:rPr>
                <w:rtl/>
              </w:rPr>
              <w:t xml:space="preserve"> على ألا تتجاوز 90 يوماً في السنة. </w:t>
            </w:r>
          </w:p>
        </w:tc>
      </w:tr>
    </w:tbl>
    <w:p w:rsidR="00000000" w:rsidRDefault="00443EC1">
      <w:pPr>
        <w:spacing w:line="380" w:lineRule="exact"/>
        <w:jc w:val="both"/>
        <w:rPr>
          <w:rtl/>
        </w:rPr>
      </w:pPr>
      <w:r>
        <w:rPr>
          <w:rFonts w:hint="cs"/>
          <w:rtl/>
        </w:rPr>
        <w:tab/>
      </w:r>
      <w:r>
        <w:rPr>
          <w:rFonts w:hint="eastAsia"/>
          <w:i/>
          <w:iCs/>
          <w:rtl/>
        </w:rPr>
        <w:t>المصدر</w:t>
      </w:r>
      <w:r>
        <w:rPr>
          <w:rtl/>
        </w:rPr>
        <w:t>:</w:t>
      </w:r>
      <w:r>
        <w:rPr>
          <w:rtl/>
        </w:rPr>
        <w:tab/>
      </w:r>
      <w:r>
        <w:rPr>
          <w:rFonts w:hint="eastAsia"/>
          <w:rtl/>
        </w:rPr>
        <w:t>صندوق</w:t>
      </w:r>
      <w:r>
        <w:rPr>
          <w:rtl/>
        </w:rPr>
        <w:t xml:space="preserve"> الضمان الاجتماعي، 2002.</w:t>
      </w:r>
    </w:p>
    <w:p w:rsidR="00000000" w:rsidRDefault="00443EC1">
      <w:pPr>
        <w:spacing w:line="380" w:lineRule="exact"/>
        <w:jc w:val="both"/>
        <w:rPr>
          <w:rtl/>
        </w:rPr>
      </w:pPr>
      <w:r>
        <w:rPr>
          <w:rtl/>
        </w:rPr>
        <w:t>914-</w:t>
      </w:r>
      <w:r>
        <w:rPr>
          <w:rtl/>
        </w:rPr>
        <w:tab/>
      </w:r>
      <w:r>
        <w:rPr>
          <w:rFonts w:hint="eastAsia"/>
          <w:rtl/>
        </w:rPr>
        <w:t>المصادر</w:t>
      </w:r>
      <w:r>
        <w:rPr>
          <w:rtl/>
        </w:rPr>
        <w:t xml:space="preserve"> </w:t>
      </w:r>
      <w:r>
        <w:rPr>
          <w:rFonts w:hint="eastAsia"/>
          <w:rtl/>
        </w:rPr>
        <w:t>الثلاثة</w:t>
      </w:r>
      <w:r>
        <w:rPr>
          <w:rtl/>
        </w:rPr>
        <w:t xml:space="preserve"> لدخل صندوق الضمان الاجتماعي هي: (أ) </w:t>
      </w:r>
      <w:r>
        <w:rPr>
          <w:rFonts w:hint="cs"/>
          <w:rtl/>
        </w:rPr>
        <w:t>الإعانات</w:t>
      </w:r>
      <w:r>
        <w:rPr>
          <w:rtl/>
        </w:rPr>
        <w:t xml:space="preserve"> الحكومية؛ (ب) اشتراكات </w:t>
      </w:r>
      <w:r>
        <w:rPr>
          <w:rFonts w:hint="eastAsia"/>
          <w:rtl/>
        </w:rPr>
        <w:t>الضمان</w:t>
      </w:r>
      <w:r>
        <w:rPr>
          <w:rtl/>
        </w:rPr>
        <w:t xml:space="preserve"> الاجتماعي من أصحاب العمل والعاملين؛ (ج) إيرادات الاستثمار. وتخصص </w:t>
      </w:r>
      <w:r>
        <w:rPr>
          <w:rFonts w:hint="eastAsia"/>
          <w:rtl/>
        </w:rPr>
        <w:t>نسبة</w:t>
      </w:r>
      <w:r>
        <w:rPr>
          <w:rtl/>
        </w:rPr>
        <w:t xml:space="preserve"> 1 في المائة من عائدات الحكومة </w:t>
      </w:r>
      <w:r>
        <w:rPr>
          <w:rFonts w:hint="cs"/>
          <w:rtl/>
        </w:rPr>
        <w:t>ل</w:t>
      </w:r>
      <w:r>
        <w:rPr>
          <w:rtl/>
        </w:rPr>
        <w:t>صندوق الضمان الاجتماعي سنوياً (ال</w:t>
      </w:r>
      <w:r>
        <w:rPr>
          <w:rFonts w:hint="cs"/>
          <w:rtl/>
        </w:rPr>
        <w:t>مرسوم بقانون 59/93/م</w:t>
      </w:r>
      <w:r>
        <w:rPr>
          <w:rtl/>
        </w:rPr>
        <w:t xml:space="preserve"> المؤرخ 18 تشرين الأول/أكت</w:t>
      </w:r>
      <w:r>
        <w:rPr>
          <w:rtl/>
        </w:rPr>
        <w:t>وبر).</w:t>
      </w:r>
    </w:p>
    <w:p w:rsidR="00000000" w:rsidRDefault="00443EC1">
      <w:pPr>
        <w:spacing w:line="380" w:lineRule="exact"/>
        <w:jc w:val="both"/>
        <w:rPr>
          <w:rtl/>
        </w:rPr>
      </w:pPr>
      <w:r>
        <w:rPr>
          <w:rtl/>
        </w:rPr>
        <w:t>915-</w:t>
      </w:r>
      <w:r>
        <w:rPr>
          <w:rtl/>
        </w:rPr>
        <w:tab/>
      </w:r>
      <w:r>
        <w:rPr>
          <w:rFonts w:hint="cs"/>
          <w:rtl/>
        </w:rPr>
        <w:t>ويشترك</w:t>
      </w:r>
      <w:r>
        <w:rPr>
          <w:rtl/>
        </w:rPr>
        <w:t xml:space="preserve"> </w:t>
      </w:r>
      <w:r>
        <w:rPr>
          <w:rFonts w:hint="eastAsia"/>
          <w:rtl/>
        </w:rPr>
        <w:t>كل</w:t>
      </w:r>
      <w:r>
        <w:rPr>
          <w:rtl/>
        </w:rPr>
        <w:t xml:space="preserve"> عامل بمبلغ 15 باتاكا ماكاوية شهرياً؛ و</w:t>
      </w:r>
      <w:r>
        <w:rPr>
          <w:rFonts w:hint="cs"/>
          <w:rtl/>
        </w:rPr>
        <w:t xml:space="preserve">يشترك </w:t>
      </w:r>
      <w:r>
        <w:rPr>
          <w:rtl/>
        </w:rPr>
        <w:t xml:space="preserve">كل صاحب عمل إما بمبلغ 30 أو 45 باتاكا </w:t>
      </w:r>
      <w:r>
        <w:rPr>
          <w:rFonts w:hint="eastAsia"/>
          <w:rtl/>
        </w:rPr>
        <w:t>ماكاوية</w:t>
      </w:r>
      <w:r>
        <w:rPr>
          <w:rtl/>
        </w:rPr>
        <w:t xml:space="preserve"> حسب ما إذا كان العامل مقيماً أو غير مقيم، ويجب على العاملين </w:t>
      </w:r>
      <w:r>
        <w:rPr>
          <w:rFonts w:hint="eastAsia"/>
          <w:rtl/>
        </w:rPr>
        <w:t>لحسابهم</w:t>
      </w:r>
      <w:r>
        <w:rPr>
          <w:rtl/>
        </w:rPr>
        <w:t xml:space="preserve"> الخاص أن يش</w:t>
      </w:r>
      <w:r>
        <w:rPr>
          <w:rFonts w:hint="cs"/>
          <w:rtl/>
        </w:rPr>
        <w:t>ت</w:t>
      </w:r>
      <w:r>
        <w:rPr>
          <w:rtl/>
        </w:rPr>
        <w:t>ركوا ب‍</w:t>
      </w:r>
      <w:r>
        <w:rPr>
          <w:rFonts w:hint="cs"/>
          <w:rtl/>
        </w:rPr>
        <w:t>مبلغ</w:t>
      </w:r>
      <w:r>
        <w:rPr>
          <w:rtl/>
        </w:rPr>
        <w:t xml:space="preserve"> 45 باتاكا ماكاوية شهرياً.</w:t>
      </w:r>
    </w:p>
    <w:p w:rsidR="00000000" w:rsidRDefault="00443EC1">
      <w:pPr>
        <w:spacing w:line="380" w:lineRule="exact"/>
        <w:jc w:val="both"/>
        <w:rPr>
          <w:b/>
          <w:bCs/>
          <w:rtl/>
        </w:rPr>
      </w:pPr>
      <w:r>
        <w:rPr>
          <w:rFonts w:hint="eastAsia"/>
          <w:b/>
          <w:bCs/>
          <w:rtl/>
        </w:rPr>
        <w:t>استحقاقات</w:t>
      </w:r>
      <w:r>
        <w:rPr>
          <w:b/>
          <w:bCs/>
          <w:rtl/>
        </w:rPr>
        <w:t xml:space="preserve"> البطالة </w:t>
      </w:r>
      <w:r>
        <w:rPr>
          <w:rFonts w:hint="eastAsia"/>
          <w:b/>
          <w:bCs/>
          <w:rtl/>
        </w:rPr>
        <w:t>للمقيمين</w:t>
      </w:r>
      <w:r>
        <w:rPr>
          <w:b/>
          <w:bCs/>
          <w:rtl/>
        </w:rPr>
        <w:t xml:space="preserve"> </w:t>
      </w:r>
      <w:r>
        <w:rPr>
          <w:b/>
          <w:bCs/>
          <w:rtl/>
        </w:rPr>
        <w:t>المحليين</w:t>
      </w:r>
    </w:p>
    <w:tbl>
      <w:tblPr>
        <w:bidiVisual/>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528"/>
        <w:gridCol w:w="346"/>
        <w:gridCol w:w="6486"/>
      </w:tblGrid>
      <w:tr w:rsidR="00443EC1" w:rsidTr="00443EC1">
        <w:trPr>
          <w:tblHeader/>
          <w:jc w:val="center"/>
        </w:trPr>
        <w:tc>
          <w:tcPr>
            <w:tcW w:w="2528" w:type="dxa"/>
            <w:tcBorders>
              <w:top w:val="single" w:sz="4" w:space="0" w:color="auto"/>
              <w:left w:val="single" w:sz="4" w:space="0" w:color="auto"/>
              <w:bottom w:val="single" w:sz="4" w:space="0" w:color="auto"/>
              <w:right w:val="nil"/>
            </w:tcBorders>
          </w:tcPr>
          <w:p w:rsidR="00443EC1" w:rsidRDefault="00443EC1">
            <w:pPr>
              <w:spacing w:before="0" w:after="100" w:line="320" w:lineRule="exact"/>
              <w:jc w:val="center"/>
              <w:rPr>
                <w:rStyle w:val="FootnoteReference"/>
                <w:bCs w:val="0"/>
                <w:vertAlign w:val="baseline"/>
              </w:rPr>
            </w:pPr>
            <w:r>
              <w:rPr>
                <w:rFonts w:hint="cs"/>
                <w:rtl/>
              </w:rPr>
              <w:t>نوع</w:t>
            </w:r>
            <w:r>
              <w:rPr>
                <w:rtl/>
              </w:rPr>
              <w:t xml:space="preserve"> استحقاق </w:t>
            </w:r>
            <w:r>
              <w:rPr>
                <w:rFonts w:hint="eastAsia"/>
                <w:rtl/>
              </w:rPr>
              <w:t>البطالة</w:t>
            </w:r>
          </w:p>
        </w:tc>
        <w:tc>
          <w:tcPr>
            <w:tcW w:w="346" w:type="dxa"/>
            <w:tcBorders>
              <w:top w:val="single" w:sz="4" w:space="0" w:color="auto"/>
              <w:left w:val="nil"/>
              <w:bottom w:val="single" w:sz="4" w:space="0" w:color="auto"/>
              <w:right w:val="single" w:sz="4" w:space="0" w:color="auto"/>
            </w:tcBorders>
          </w:tcPr>
          <w:p w:rsidR="00443EC1" w:rsidRDefault="00443EC1">
            <w:pPr>
              <w:spacing w:before="0" w:after="100" w:line="320" w:lineRule="exact"/>
              <w:jc w:val="center"/>
              <w:rPr>
                <w:rStyle w:val="FootnoteReference"/>
                <w:bCs w:val="0"/>
                <w:vertAlign w:val="baseline"/>
              </w:rPr>
            </w:pPr>
          </w:p>
        </w:tc>
        <w:tc>
          <w:tcPr>
            <w:tcW w:w="6486" w:type="dxa"/>
            <w:tcBorders>
              <w:top w:val="single" w:sz="4" w:space="0" w:color="auto"/>
              <w:left w:val="single" w:sz="4" w:space="0" w:color="auto"/>
              <w:bottom w:val="single" w:sz="4" w:space="0" w:color="auto"/>
              <w:right w:val="single" w:sz="4" w:space="0" w:color="auto"/>
            </w:tcBorders>
          </w:tcPr>
          <w:p w:rsidR="00443EC1" w:rsidRDefault="00443EC1">
            <w:pPr>
              <w:spacing w:before="0" w:after="100" w:line="320" w:lineRule="exact"/>
              <w:jc w:val="center"/>
              <w:rPr>
                <w:rStyle w:val="FootnoteReference"/>
                <w:bCs w:val="0"/>
                <w:vertAlign w:val="baseline"/>
              </w:rPr>
            </w:pPr>
            <w:r>
              <w:rPr>
                <w:rFonts w:hint="cs"/>
                <w:rtl/>
              </w:rPr>
              <w:t>السمات</w:t>
            </w:r>
            <w:r>
              <w:rPr>
                <w:rtl/>
              </w:rPr>
              <w:t xml:space="preserve"> الرئيسية</w:t>
            </w:r>
          </w:p>
        </w:tc>
      </w:tr>
      <w:tr w:rsidR="00443EC1" w:rsidTr="00443EC1">
        <w:trPr>
          <w:jc w:val="center"/>
        </w:trPr>
        <w:tc>
          <w:tcPr>
            <w:tcW w:w="2528" w:type="dxa"/>
            <w:tcBorders>
              <w:top w:val="single" w:sz="4" w:space="0" w:color="auto"/>
              <w:left w:val="single" w:sz="4" w:space="0" w:color="auto"/>
              <w:bottom w:val="nil"/>
              <w:right w:val="nil"/>
            </w:tcBorders>
          </w:tcPr>
          <w:p w:rsidR="00443EC1" w:rsidRDefault="00443EC1">
            <w:pPr>
              <w:spacing w:before="0" w:after="100" w:line="320" w:lineRule="exact"/>
              <w:jc w:val="both"/>
              <w:rPr>
                <w:rStyle w:val="FootnoteReference"/>
                <w:bCs w:val="0"/>
                <w:vertAlign w:val="baseline"/>
              </w:rPr>
            </w:pPr>
            <w:r>
              <w:rPr>
                <w:rFonts w:hint="eastAsia"/>
                <w:rtl/>
              </w:rPr>
              <w:t>خطة</w:t>
            </w:r>
            <w:r>
              <w:rPr>
                <w:rtl/>
              </w:rPr>
              <w:t xml:space="preserve"> التدريب </w:t>
            </w:r>
            <w:r>
              <w:rPr>
                <w:rFonts w:hint="eastAsia"/>
                <w:rtl/>
              </w:rPr>
              <w:t>المهني</w:t>
            </w:r>
          </w:p>
        </w:tc>
        <w:tc>
          <w:tcPr>
            <w:tcW w:w="346" w:type="dxa"/>
            <w:tcBorders>
              <w:top w:val="single" w:sz="4" w:space="0" w:color="auto"/>
              <w:left w:val="nil"/>
              <w:bottom w:val="nil"/>
              <w:right w:val="single" w:sz="4" w:space="0" w:color="auto"/>
            </w:tcBorders>
          </w:tcPr>
          <w:p w:rsidR="00443EC1" w:rsidRDefault="00443EC1">
            <w:pPr>
              <w:spacing w:before="0" w:after="100" w:line="320" w:lineRule="exact"/>
              <w:jc w:val="both"/>
              <w:rPr>
                <w:rStyle w:val="FootnoteReference"/>
                <w:bCs w:val="0"/>
                <w:vertAlign w:val="baseline"/>
              </w:rPr>
            </w:pPr>
          </w:p>
        </w:tc>
        <w:tc>
          <w:tcPr>
            <w:tcW w:w="6486" w:type="dxa"/>
            <w:tcBorders>
              <w:top w:val="single" w:sz="4" w:space="0" w:color="auto"/>
              <w:left w:val="single" w:sz="4" w:space="0" w:color="auto"/>
              <w:bottom w:val="nil"/>
              <w:right w:val="single" w:sz="4" w:space="0" w:color="auto"/>
            </w:tcBorders>
          </w:tcPr>
          <w:p w:rsidR="00443EC1" w:rsidRDefault="00443EC1">
            <w:pPr>
              <w:spacing w:before="0" w:after="100" w:line="320" w:lineRule="exact"/>
              <w:jc w:val="both"/>
              <w:rPr>
                <w:rStyle w:val="FootnoteReference"/>
                <w:bCs w:val="0"/>
                <w:vertAlign w:val="baseline"/>
              </w:rPr>
            </w:pPr>
            <w:r>
              <w:rPr>
                <w:rFonts w:hint="eastAsia"/>
                <w:rtl/>
              </w:rPr>
              <w:t>يوف</w:t>
            </w:r>
            <w:r>
              <w:rPr>
                <w:rFonts w:hint="cs"/>
                <w:rtl/>
              </w:rPr>
              <w:t>َّ</w:t>
            </w:r>
            <w:r>
              <w:rPr>
                <w:rFonts w:hint="eastAsia"/>
                <w:rtl/>
              </w:rPr>
              <w:t>ر</w:t>
            </w:r>
            <w:r>
              <w:rPr>
                <w:rtl/>
              </w:rPr>
              <w:t xml:space="preserve"> هذا </w:t>
            </w:r>
            <w:r>
              <w:rPr>
                <w:rFonts w:hint="eastAsia"/>
                <w:rtl/>
              </w:rPr>
              <w:t>الاستحقاق</w:t>
            </w:r>
            <w:r>
              <w:rPr>
                <w:rtl/>
              </w:rPr>
              <w:t xml:space="preserve"> للعاطلين</w:t>
            </w:r>
            <w:r>
              <w:rPr>
                <w:rFonts w:hint="cs"/>
                <w:rtl/>
              </w:rPr>
              <w:t xml:space="preserve"> عن العمل</w:t>
            </w:r>
            <w:r>
              <w:rPr>
                <w:rtl/>
              </w:rPr>
              <w:t xml:space="preserve"> الذين يشاركون في </w:t>
            </w:r>
            <w:r>
              <w:rPr>
                <w:rFonts w:hint="cs"/>
                <w:rtl/>
              </w:rPr>
              <w:t>ال</w:t>
            </w:r>
            <w:r>
              <w:rPr>
                <w:rtl/>
              </w:rPr>
              <w:t xml:space="preserve">دورات </w:t>
            </w:r>
            <w:r>
              <w:rPr>
                <w:rFonts w:hint="cs"/>
                <w:rtl/>
              </w:rPr>
              <w:t>ال</w:t>
            </w:r>
            <w:r>
              <w:rPr>
                <w:rtl/>
              </w:rPr>
              <w:t xml:space="preserve">تدريبية </w:t>
            </w:r>
            <w:r>
              <w:rPr>
                <w:rFonts w:hint="cs"/>
                <w:rtl/>
              </w:rPr>
              <w:t xml:space="preserve">التي </w:t>
            </w:r>
            <w:r>
              <w:rPr>
                <w:rtl/>
              </w:rPr>
              <w:t xml:space="preserve">تنظمها مؤسسات معينة. ويحق </w:t>
            </w:r>
            <w:r>
              <w:rPr>
                <w:rFonts w:hint="eastAsia"/>
                <w:rtl/>
              </w:rPr>
              <w:t>للمشارك</w:t>
            </w:r>
            <w:r>
              <w:rPr>
                <w:rtl/>
              </w:rPr>
              <w:t xml:space="preserve"> الذي حضر ما لا يقل</w:t>
            </w:r>
            <w:r>
              <w:rPr>
                <w:rFonts w:hint="cs"/>
                <w:rtl/>
              </w:rPr>
              <w:t xml:space="preserve"> عن</w:t>
            </w:r>
            <w:r>
              <w:rPr>
                <w:rtl/>
              </w:rPr>
              <w:t xml:space="preserve"> 60 في المائة من الدروس شهرياً الحصول على علاوة </w:t>
            </w:r>
            <w:r>
              <w:rPr>
                <w:rFonts w:hint="eastAsia"/>
                <w:rtl/>
              </w:rPr>
              <w:t>تدريب</w:t>
            </w:r>
            <w:r>
              <w:rPr>
                <w:rtl/>
              </w:rPr>
              <w:t xml:space="preserve"> قدرها 80 باتاكا ماكاوية يومياً، على ألا تتجاوز 800 1 باتاكا ماكاوية </w:t>
            </w:r>
            <w:r>
              <w:rPr>
                <w:rFonts w:hint="eastAsia"/>
                <w:rtl/>
              </w:rPr>
              <w:t>شهرياً</w:t>
            </w:r>
            <w:r>
              <w:rPr>
                <w:rtl/>
              </w:rPr>
              <w:t xml:space="preserve">. </w:t>
            </w:r>
          </w:p>
        </w:tc>
      </w:tr>
      <w:tr w:rsidR="00443EC1" w:rsidTr="00443EC1">
        <w:trPr>
          <w:jc w:val="center"/>
        </w:trPr>
        <w:tc>
          <w:tcPr>
            <w:tcW w:w="2528" w:type="dxa"/>
            <w:tcBorders>
              <w:top w:val="nil"/>
              <w:left w:val="single" w:sz="4" w:space="0" w:color="auto"/>
              <w:bottom w:val="nil"/>
              <w:right w:val="nil"/>
            </w:tcBorders>
          </w:tcPr>
          <w:p w:rsidR="00443EC1" w:rsidRDefault="00443EC1">
            <w:pPr>
              <w:spacing w:before="0" w:after="100" w:line="320" w:lineRule="exact"/>
              <w:jc w:val="both"/>
              <w:rPr>
                <w:rStyle w:val="FootnoteReference"/>
                <w:bCs w:val="0"/>
                <w:vertAlign w:val="baseline"/>
              </w:rPr>
            </w:pPr>
            <w:r>
              <w:rPr>
                <w:rFonts w:hint="eastAsia"/>
                <w:rtl/>
              </w:rPr>
              <w:t>استحقاق</w:t>
            </w:r>
            <w:r>
              <w:rPr>
                <w:rtl/>
              </w:rPr>
              <w:t xml:space="preserve"> المعونة </w:t>
            </w:r>
            <w:r>
              <w:rPr>
                <w:rFonts w:hint="eastAsia"/>
                <w:rtl/>
              </w:rPr>
              <w:t>الاجتماعية</w:t>
            </w:r>
            <w:r>
              <w:rPr>
                <w:rtl/>
              </w:rPr>
              <w:t xml:space="preserve"> للعاطلين عن العمل</w:t>
            </w:r>
          </w:p>
        </w:tc>
        <w:tc>
          <w:tcPr>
            <w:tcW w:w="346" w:type="dxa"/>
            <w:tcBorders>
              <w:top w:val="nil"/>
              <w:left w:val="nil"/>
              <w:bottom w:val="nil"/>
              <w:right w:val="single" w:sz="4" w:space="0" w:color="auto"/>
            </w:tcBorders>
          </w:tcPr>
          <w:p w:rsidR="00443EC1" w:rsidRDefault="00443EC1">
            <w:pPr>
              <w:spacing w:before="0" w:after="100" w:line="320" w:lineRule="exact"/>
              <w:jc w:val="both"/>
              <w:rPr>
                <w:rStyle w:val="FootnoteReference"/>
                <w:bCs w:val="0"/>
                <w:vertAlign w:val="baseline"/>
              </w:rPr>
            </w:pPr>
          </w:p>
        </w:tc>
        <w:tc>
          <w:tcPr>
            <w:tcW w:w="6486" w:type="dxa"/>
            <w:tcBorders>
              <w:top w:val="nil"/>
              <w:left w:val="single" w:sz="4" w:space="0" w:color="auto"/>
              <w:bottom w:val="nil"/>
              <w:right w:val="single" w:sz="4" w:space="0" w:color="auto"/>
            </w:tcBorders>
          </w:tcPr>
          <w:p w:rsidR="00443EC1" w:rsidRDefault="00443EC1">
            <w:pPr>
              <w:spacing w:before="0" w:after="100" w:line="320" w:lineRule="exact"/>
              <w:jc w:val="both"/>
              <w:rPr>
                <w:rStyle w:val="FootnoteReference"/>
                <w:bCs w:val="0"/>
                <w:vertAlign w:val="baseline"/>
              </w:rPr>
            </w:pPr>
            <w:r>
              <w:rPr>
                <w:rFonts w:hint="eastAsia"/>
                <w:rtl/>
              </w:rPr>
              <w:t>هذا</w:t>
            </w:r>
            <w:r>
              <w:rPr>
                <w:rtl/>
              </w:rPr>
              <w:t xml:space="preserve"> الاستحقاق </w:t>
            </w:r>
            <w:r>
              <w:rPr>
                <w:rFonts w:hint="eastAsia"/>
                <w:rtl/>
              </w:rPr>
              <w:t>متوفر</w:t>
            </w:r>
            <w:r>
              <w:rPr>
                <w:rtl/>
              </w:rPr>
              <w:t xml:space="preserve"> للعاطلين </w:t>
            </w:r>
            <w:r>
              <w:rPr>
                <w:rFonts w:hint="cs"/>
                <w:rtl/>
              </w:rPr>
              <w:t xml:space="preserve">عن العمل </w:t>
            </w:r>
            <w:r>
              <w:rPr>
                <w:rtl/>
              </w:rPr>
              <w:t xml:space="preserve">الذين شاركوا في برنامج التربية الثقافية. ويحق للمشارك الذي حضر </w:t>
            </w:r>
            <w:r>
              <w:rPr>
                <w:rFonts w:hint="eastAsia"/>
                <w:rtl/>
              </w:rPr>
              <w:t>ما</w:t>
            </w:r>
            <w:r>
              <w:rPr>
                <w:rtl/>
              </w:rPr>
              <w:t xml:space="preserve"> لا يقل عن 80 في المائة من الدروس شهرياً الحصول على مبلغ شهري لفترة لا </w:t>
            </w:r>
            <w:r>
              <w:rPr>
                <w:rFonts w:hint="eastAsia"/>
                <w:rtl/>
              </w:rPr>
              <w:t>تتجاوز</w:t>
            </w:r>
            <w:r>
              <w:rPr>
                <w:rtl/>
              </w:rPr>
              <w:t xml:space="preserve"> 12 شهراً. ويحسب المبلغ المدفوع على أساس</w:t>
            </w:r>
            <w:r>
              <w:rPr>
                <w:rFonts w:hint="cs"/>
                <w:rtl/>
              </w:rPr>
              <w:t xml:space="preserve"> عدد</w:t>
            </w:r>
            <w:r>
              <w:rPr>
                <w:rtl/>
              </w:rPr>
              <w:t xml:space="preserve"> أفراد الأسرة: من</w:t>
            </w:r>
            <w:r>
              <w:rPr>
                <w:rFonts w:hint="cs"/>
                <w:rtl/>
              </w:rPr>
              <w:br/>
            </w:r>
            <w:r>
              <w:rPr>
                <w:rtl/>
              </w:rPr>
              <w:t xml:space="preserve"> 800 1 باتاكا </w:t>
            </w:r>
            <w:r>
              <w:rPr>
                <w:rFonts w:hint="eastAsia"/>
                <w:rtl/>
              </w:rPr>
              <w:t>ماكاوية</w:t>
            </w:r>
            <w:r>
              <w:rPr>
                <w:rtl/>
              </w:rPr>
              <w:t xml:space="preserve"> لأسرة تتألف من فرد واحد إلى 800 6 باتاكا ماكاوية لأسرة تتألف من ستة </w:t>
            </w:r>
            <w:r>
              <w:rPr>
                <w:rFonts w:hint="eastAsia"/>
                <w:rtl/>
              </w:rPr>
              <w:t>أفراد</w:t>
            </w:r>
            <w:r>
              <w:rPr>
                <w:rtl/>
              </w:rPr>
              <w:t xml:space="preserve"> فأكثر. </w:t>
            </w:r>
          </w:p>
        </w:tc>
      </w:tr>
      <w:tr w:rsidR="00443EC1" w:rsidTr="00443EC1">
        <w:trPr>
          <w:jc w:val="center"/>
        </w:trPr>
        <w:tc>
          <w:tcPr>
            <w:tcW w:w="2528" w:type="dxa"/>
            <w:tcBorders>
              <w:top w:val="nil"/>
              <w:left w:val="single" w:sz="4" w:space="0" w:color="auto"/>
              <w:bottom w:val="nil"/>
              <w:right w:val="nil"/>
            </w:tcBorders>
          </w:tcPr>
          <w:p w:rsidR="00443EC1" w:rsidRDefault="00443EC1">
            <w:pPr>
              <w:spacing w:before="0" w:after="100" w:line="320" w:lineRule="exact"/>
              <w:jc w:val="both"/>
              <w:rPr>
                <w:rStyle w:val="FootnoteReference"/>
                <w:rFonts w:hint="cs"/>
                <w:bCs w:val="0"/>
                <w:vertAlign w:val="baseline"/>
              </w:rPr>
            </w:pPr>
            <w:r>
              <w:rPr>
                <w:rFonts w:hint="eastAsia"/>
                <w:rtl/>
              </w:rPr>
              <w:t>خطة</w:t>
            </w:r>
            <w:r>
              <w:rPr>
                <w:rtl/>
              </w:rPr>
              <w:t xml:space="preserve"> </w:t>
            </w:r>
            <w:r>
              <w:rPr>
                <w:rFonts w:hint="eastAsia"/>
                <w:rtl/>
              </w:rPr>
              <w:t>ترتيبات</w:t>
            </w:r>
            <w:r>
              <w:rPr>
                <w:rtl/>
              </w:rPr>
              <w:t xml:space="preserve"> العمالة </w:t>
            </w:r>
            <w:r>
              <w:rPr>
                <w:rFonts w:hint="cs"/>
                <w:rtl/>
              </w:rPr>
              <w:t>ل</w:t>
            </w:r>
            <w:r>
              <w:rPr>
                <w:rtl/>
              </w:rPr>
              <w:t>لعاطلين عن العمل</w:t>
            </w:r>
          </w:p>
        </w:tc>
        <w:tc>
          <w:tcPr>
            <w:tcW w:w="346" w:type="dxa"/>
            <w:tcBorders>
              <w:top w:val="nil"/>
              <w:left w:val="nil"/>
              <w:bottom w:val="nil"/>
              <w:right w:val="single" w:sz="4" w:space="0" w:color="auto"/>
            </w:tcBorders>
          </w:tcPr>
          <w:p w:rsidR="00443EC1" w:rsidRDefault="00443EC1">
            <w:pPr>
              <w:spacing w:before="0" w:after="100" w:line="320" w:lineRule="exact"/>
              <w:jc w:val="both"/>
              <w:rPr>
                <w:rStyle w:val="FootnoteReference"/>
                <w:bCs w:val="0"/>
                <w:vertAlign w:val="baseline"/>
              </w:rPr>
            </w:pPr>
          </w:p>
        </w:tc>
        <w:tc>
          <w:tcPr>
            <w:tcW w:w="6486" w:type="dxa"/>
            <w:tcBorders>
              <w:top w:val="nil"/>
              <w:left w:val="single" w:sz="4" w:space="0" w:color="auto"/>
              <w:bottom w:val="nil"/>
              <w:right w:val="single" w:sz="4" w:space="0" w:color="auto"/>
            </w:tcBorders>
          </w:tcPr>
          <w:p w:rsidR="00443EC1" w:rsidRDefault="00443EC1">
            <w:pPr>
              <w:spacing w:before="0" w:after="100" w:line="320" w:lineRule="exact"/>
              <w:jc w:val="both"/>
              <w:rPr>
                <w:rStyle w:val="FootnoteReference"/>
                <w:bCs w:val="0"/>
                <w:spacing w:val="0"/>
                <w:vertAlign w:val="baseline"/>
              </w:rPr>
            </w:pPr>
            <w:r>
              <w:rPr>
                <w:rFonts w:hint="cs"/>
                <w:spacing w:val="0"/>
                <w:rtl/>
              </w:rPr>
              <w:t>يتلقى</w:t>
            </w:r>
            <w:r>
              <w:rPr>
                <w:spacing w:val="0"/>
                <w:rtl/>
              </w:rPr>
              <w:t xml:space="preserve"> أصحاب العمل</w:t>
            </w:r>
            <w:r>
              <w:rPr>
                <w:rFonts w:hint="cs"/>
                <w:spacing w:val="0"/>
                <w:rtl/>
              </w:rPr>
              <w:t xml:space="preserve"> </w:t>
            </w:r>
            <w:r>
              <w:rPr>
                <w:spacing w:val="0"/>
                <w:rtl/>
              </w:rPr>
              <w:t xml:space="preserve">منحة قدرها 800 13 باتاكا ماكاوية (تدفع </w:t>
            </w:r>
            <w:r>
              <w:rPr>
                <w:rFonts w:hint="cs"/>
                <w:spacing w:val="0"/>
                <w:rtl/>
              </w:rPr>
              <w:t>طوال</w:t>
            </w:r>
            <w:r>
              <w:rPr>
                <w:spacing w:val="0"/>
                <w:rtl/>
              </w:rPr>
              <w:t xml:space="preserve"> ستة شهور) لتوظيف كل عاطل عن </w:t>
            </w:r>
            <w:r>
              <w:rPr>
                <w:rFonts w:hint="eastAsia"/>
                <w:spacing w:val="0"/>
                <w:rtl/>
              </w:rPr>
              <w:t>العمل</w:t>
            </w:r>
            <w:r>
              <w:rPr>
                <w:spacing w:val="0"/>
                <w:rtl/>
              </w:rPr>
              <w:t xml:space="preserve"> مسجل لدى إدارة العمل والعمالة.</w:t>
            </w:r>
          </w:p>
        </w:tc>
      </w:tr>
      <w:tr w:rsidR="00443EC1" w:rsidTr="00443EC1">
        <w:trPr>
          <w:jc w:val="center"/>
        </w:trPr>
        <w:tc>
          <w:tcPr>
            <w:tcW w:w="2528" w:type="dxa"/>
            <w:tcBorders>
              <w:top w:val="nil"/>
              <w:left w:val="single" w:sz="4" w:space="0" w:color="auto"/>
              <w:bottom w:val="nil"/>
              <w:right w:val="nil"/>
            </w:tcBorders>
          </w:tcPr>
          <w:p w:rsidR="00443EC1" w:rsidRDefault="00443EC1">
            <w:pPr>
              <w:spacing w:before="0" w:after="100" w:line="320" w:lineRule="exact"/>
              <w:jc w:val="both"/>
              <w:rPr>
                <w:rStyle w:val="FootnoteReference"/>
                <w:bCs w:val="0"/>
                <w:vertAlign w:val="baseline"/>
              </w:rPr>
            </w:pPr>
            <w:r>
              <w:rPr>
                <w:rFonts w:hint="eastAsia"/>
                <w:rtl/>
              </w:rPr>
              <w:t>خطة</w:t>
            </w:r>
            <w:r>
              <w:rPr>
                <w:rtl/>
              </w:rPr>
              <w:t xml:space="preserve"> المعونة </w:t>
            </w:r>
            <w:r>
              <w:rPr>
                <w:rFonts w:hint="eastAsia"/>
                <w:rtl/>
              </w:rPr>
              <w:t>المقدمة</w:t>
            </w:r>
            <w:r>
              <w:rPr>
                <w:rtl/>
              </w:rPr>
              <w:t xml:space="preserve"> للعاطلين المع</w:t>
            </w:r>
            <w:r>
              <w:rPr>
                <w:rFonts w:hint="cs"/>
                <w:rtl/>
              </w:rPr>
              <w:t>ا</w:t>
            </w:r>
            <w:r>
              <w:rPr>
                <w:rtl/>
              </w:rPr>
              <w:t>قين</w:t>
            </w:r>
          </w:p>
        </w:tc>
        <w:tc>
          <w:tcPr>
            <w:tcW w:w="346" w:type="dxa"/>
            <w:tcBorders>
              <w:top w:val="nil"/>
              <w:left w:val="nil"/>
              <w:bottom w:val="nil"/>
              <w:right w:val="single" w:sz="4" w:space="0" w:color="auto"/>
            </w:tcBorders>
          </w:tcPr>
          <w:p w:rsidR="00443EC1" w:rsidRDefault="00443EC1">
            <w:pPr>
              <w:spacing w:before="0" w:after="100" w:line="320" w:lineRule="exact"/>
              <w:jc w:val="both"/>
              <w:rPr>
                <w:rStyle w:val="FootnoteReference"/>
                <w:bCs w:val="0"/>
                <w:vertAlign w:val="baseline"/>
              </w:rPr>
            </w:pPr>
          </w:p>
        </w:tc>
        <w:tc>
          <w:tcPr>
            <w:tcW w:w="6486" w:type="dxa"/>
            <w:tcBorders>
              <w:top w:val="nil"/>
              <w:left w:val="single" w:sz="4" w:space="0" w:color="auto"/>
              <w:bottom w:val="nil"/>
              <w:right w:val="single" w:sz="4" w:space="0" w:color="auto"/>
            </w:tcBorders>
          </w:tcPr>
          <w:p w:rsidR="00443EC1" w:rsidRDefault="00443EC1">
            <w:pPr>
              <w:spacing w:before="0" w:after="100" w:line="320" w:lineRule="exact"/>
              <w:jc w:val="both"/>
              <w:rPr>
                <w:rStyle w:val="FootnoteReference"/>
                <w:bCs w:val="0"/>
                <w:vertAlign w:val="baseline"/>
              </w:rPr>
            </w:pPr>
            <w:r>
              <w:rPr>
                <w:rFonts w:hint="eastAsia"/>
                <w:rtl/>
              </w:rPr>
              <w:t>يمنح</w:t>
            </w:r>
            <w:r>
              <w:rPr>
                <w:rtl/>
              </w:rPr>
              <w:t xml:space="preserve"> مبلغ أقصاه 000 500 باتاكا ماكاوية </w:t>
            </w:r>
            <w:r>
              <w:rPr>
                <w:rFonts w:hint="cs"/>
                <w:rtl/>
              </w:rPr>
              <w:t xml:space="preserve">في شكل </w:t>
            </w:r>
            <w:r>
              <w:rPr>
                <w:rtl/>
              </w:rPr>
              <w:t xml:space="preserve">إعانة للمنظمات والهيئات غير الحكومية التي </w:t>
            </w:r>
            <w:r>
              <w:rPr>
                <w:rFonts w:hint="cs"/>
                <w:rtl/>
              </w:rPr>
              <w:t>تعرض</w:t>
            </w:r>
            <w:r>
              <w:rPr>
                <w:rtl/>
              </w:rPr>
              <w:t xml:space="preserve"> </w:t>
            </w:r>
            <w:r>
              <w:rPr>
                <w:rFonts w:hint="eastAsia"/>
                <w:rtl/>
              </w:rPr>
              <w:t>أو</w:t>
            </w:r>
            <w:r>
              <w:rPr>
                <w:rtl/>
              </w:rPr>
              <w:t xml:space="preserve"> تنظم أنشطة (مثل برامج التدريب المهني، وحلقات العمل في الملاجئ، و ترتيبات </w:t>
            </w:r>
            <w:r>
              <w:rPr>
                <w:rFonts w:hint="eastAsia"/>
                <w:rtl/>
              </w:rPr>
              <w:t>العمل</w:t>
            </w:r>
            <w:r>
              <w:rPr>
                <w:rtl/>
              </w:rPr>
              <w:t xml:space="preserve"> وبرامج إزالة الصعوبات المعترضة، وما إليها) لفائدة العاطلين المع</w:t>
            </w:r>
            <w:r>
              <w:rPr>
                <w:rFonts w:hint="cs"/>
                <w:rtl/>
              </w:rPr>
              <w:t>ا</w:t>
            </w:r>
            <w:r>
              <w:rPr>
                <w:rtl/>
              </w:rPr>
              <w:t xml:space="preserve">قين. </w:t>
            </w:r>
          </w:p>
        </w:tc>
      </w:tr>
      <w:tr w:rsidR="00443EC1" w:rsidTr="00443EC1">
        <w:trPr>
          <w:jc w:val="center"/>
        </w:trPr>
        <w:tc>
          <w:tcPr>
            <w:tcW w:w="2528" w:type="dxa"/>
            <w:tcBorders>
              <w:top w:val="nil"/>
              <w:left w:val="single" w:sz="4" w:space="0" w:color="auto"/>
              <w:bottom w:val="single" w:sz="4" w:space="0" w:color="auto"/>
              <w:right w:val="nil"/>
            </w:tcBorders>
          </w:tcPr>
          <w:p w:rsidR="00443EC1" w:rsidRDefault="00443EC1">
            <w:pPr>
              <w:spacing w:before="0" w:after="100" w:line="320" w:lineRule="exact"/>
              <w:jc w:val="both"/>
              <w:rPr>
                <w:rStyle w:val="FootnoteReference"/>
                <w:bCs w:val="0"/>
                <w:vertAlign w:val="baseline"/>
              </w:rPr>
            </w:pPr>
            <w:r>
              <w:rPr>
                <w:rFonts w:hint="eastAsia"/>
                <w:rtl/>
              </w:rPr>
              <w:t>خطة</w:t>
            </w:r>
            <w:r>
              <w:rPr>
                <w:rFonts w:hint="cs"/>
                <w:rtl/>
              </w:rPr>
              <w:t xml:space="preserve"> خاصة</w:t>
            </w:r>
            <w:r>
              <w:rPr>
                <w:rtl/>
              </w:rPr>
              <w:t xml:space="preserve"> </w:t>
            </w:r>
            <w:r>
              <w:rPr>
                <w:rFonts w:hint="cs"/>
                <w:rtl/>
              </w:rPr>
              <w:t>ب</w:t>
            </w:r>
            <w:r>
              <w:rPr>
                <w:rtl/>
              </w:rPr>
              <w:t xml:space="preserve">الشبان </w:t>
            </w:r>
            <w:r>
              <w:rPr>
                <w:rFonts w:hint="eastAsia"/>
                <w:rtl/>
              </w:rPr>
              <w:t>الباحثين</w:t>
            </w:r>
            <w:r>
              <w:rPr>
                <w:rtl/>
              </w:rPr>
              <w:t xml:space="preserve"> عن عمل</w:t>
            </w:r>
          </w:p>
        </w:tc>
        <w:tc>
          <w:tcPr>
            <w:tcW w:w="346" w:type="dxa"/>
            <w:tcBorders>
              <w:top w:val="nil"/>
              <w:left w:val="nil"/>
              <w:bottom w:val="single" w:sz="4" w:space="0" w:color="auto"/>
              <w:right w:val="single" w:sz="4" w:space="0" w:color="auto"/>
            </w:tcBorders>
          </w:tcPr>
          <w:p w:rsidR="00443EC1" w:rsidRDefault="00443EC1">
            <w:pPr>
              <w:spacing w:before="0" w:after="100" w:line="320" w:lineRule="exact"/>
              <w:jc w:val="both"/>
              <w:rPr>
                <w:rStyle w:val="FootnoteReference"/>
                <w:bCs w:val="0"/>
                <w:vertAlign w:val="baseline"/>
              </w:rPr>
            </w:pPr>
          </w:p>
        </w:tc>
        <w:tc>
          <w:tcPr>
            <w:tcW w:w="6486" w:type="dxa"/>
            <w:tcBorders>
              <w:top w:val="nil"/>
              <w:left w:val="single" w:sz="4" w:space="0" w:color="auto"/>
              <w:bottom w:val="single" w:sz="4" w:space="0" w:color="auto"/>
              <w:right w:val="single" w:sz="4" w:space="0" w:color="auto"/>
            </w:tcBorders>
          </w:tcPr>
          <w:p w:rsidR="00443EC1" w:rsidRDefault="00443EC1">
            <w:pPr>
              <w:spacing w:before="0" w:after="100" w:line="320" w:lineRule="exact"/>
              <w:jc w:val="both"/>
              <w:rPr>
                <w:rStyle w:val="FootnoteReference"/>
                <w:bCs w:val="0"/>
                <w:vertAlign w:val="baseline"/>
              </w:rPr>
            </w:pPr>
            <w:r>
              <w:rPr>
                <w:rFonts w:hint="cs"/>
                <w:rtl/>
              </w:rPr>
              <w:t>تشمل</w:t>
            </w:r>
            <w:r>
              <w:rPr>
                <w:rtl/>
              </w:rPr>
              <w:t xml:space="preserve"> إعانة بمبلغ </w:t>
            </w:r>
            <w:r>
              <w:rPr>
                <w:rFonts w:hint="eastAsia"/>
                <w:rtl/>
              </w:rPr>
              <w:t>ثابت</w:t>
            </w:r>
            <w:r>
              <w:rPr>
                <w:rtl/>
              </w:rPr>
              <w:t xml:space="preserve"> قدره 000 12 باتاكا ماكاوية (تدفع على امتداد ستة شهور) لصاحب عمل ينتدب </w:t>
            </w:r>
            <w:r>
              <w:rPr>
                <w:rFonts w:hint="eastAsia"/>
                <w:rtl/>
              </w:rPr>
              <w:t>شاباً</w:t>
            </w:r>
            <w:r>
              <w:rPr>
                <w:rtl/>
              </w:rPr>
              <w:t xml:space="preserve"> يقل عمره عن 26 عاماً، مسجلاً لدى إدارة العمل والعمالة ويبحث عن عمل لأول </w:t>
            </w:r>
            <w:r>
              <w:rPr>
                <w:rFonts w:hint="eastAsia"/>
                <w:rtl/>
              </w:rPr>
              <w:t>مرة</w:t>
            </w:r>
            <w:r>
              <w:rPr>
                <w:rtl/>
              </w:rPr>
              <w:t xml:space="preserve">. </w:t>
            </w:r>
          </w:p>
        </w:tc>
      </w:tr>
    </w:tbl>
    <w:p w:rsidR="00000000" w:rsidRDefault="00443EC1">
      <w:pPr>
        <w:spacing w:line="380" w:lineRule="exact"/>
        <w:jc w:val="both"/>
        <w:rPr>
          <w:rtl/>
        </w:rPr>
      </w:pPr>
      <w:r>
        <w:rPr>
          <w:rFonts w:hint="cs"/>
          <w:rtl/>
        </w:rPr>
        <w:tab/>
      </w:r>
      <w:r>
        <w:rPr>
          <w:rFonts w:hint="eastAsia"/>
          <w:i/>
          <w:iCs/>
          <w:rtl/>
        </w:rPr>
        <w:t>المصدر</w:t>
      </w:r>
      <w:r>
        <w:rPr>
          <w:rtl/>
        </w:rPr>
        <w:t>:</w:t>
      </w:r>
      <w:r>
        <w:rPr>
          <w:rtl/>
        </w:rPr>
        <w:tab/>
      </w:r>
      <w:r>
        <w:rPr>
          <w:rFonts w:hint="eastAsia"/>
          <w:rtl/>
        </w:rPr>
        <w:t>صندوق</w:t>
      </w:r>
      <w:r>
        <w:rPr>
          <w:rtl/>
        </w:rPr>
        <w:t xml:space="preserve"> الضمان الاجتماعي، 2002.</w:t>
      </w:r>
    </w:p>
    <w:p w:rsidR="00000000" w:rsidRDefault="00443EC1">
      <w:pPr>
        <w:spacing w:line="380" w:lineRule="exact"/>
        <w:jc w:val="center"/>
        <w:rPr>
          <w:b/>
          <w:bCs/>
          <w:rtl/>
        </w:rPr>
      </w:pPr>
      <w:r>
        <w:rPr>
          <w:rFonts w:hint="eastAsia"/>
          <w:b/>
          <w:bCs/>
          <w:rtl/>
        </w:rPr>
        <w:t>جيم</w:t>
      </w:r>
      <w:r>
        <w:rPr>
          <w:b/>
          <w:bCs/>
          <w:rtl/>
        </w:rPr>
        <w:t xml:space="preserve"> - نفقات الضمان الاجتماعي</w:t>
      </w:r>
    </w:p>
    <w:p w:rsidR="00000000" w:rsidRDefault="00443EC1">
      <w:pPr>
        <w:spacing w:line="380" w:lineRule="exact"/>
        <w:jc w:val="both"/>
        <w:rPr>
          <w:rtl/>
          <w:lang w:val="fr-CH"/>
        </w:rPr>
      </w:pPr>
      <w:r>
        <w:rPr>
          <w:rtl/>
        </w:rPr>
        <w:t>916-</w:t>
      </w:r>
      <w:r>
        <w:rPr>
          <w:rtl/>
        </w:rPr>
        <w:tab/>
      </w:r>
      <w:r>
        <w:rPr>
          <w:rFonts w:hint="eastAsia"/>
          <w:rtl/>
        </w:rPr>
        <w:t>ظلت</w:t>
      </w:r>
      <w:r>
        <w:rPr>
          <w:rtl/>
        </w:rPr>
        <w:t xml:space="preserve"> </w:t>
      </w:r>
      <w:r>
        <w:rPr>
          <w:rFonts w:hint="eastAsia"/>
          <w:rtl/>
        </w:rPr>
        <w:t>نفقات</w:t>
      </w:r>
      <w:r>
        <w:rPr>
          <w:rtl/>
        </w:rPr>
        <w:t xml:space="preserve"> الضمان الاجتماعي، خلال</w:t>
      </w:r>
      <w:r>
        <w:rPr>
          <w:rFonts w:hint="cs"/>
          <w:rtl/>
        </w:rPr>
        <w:t xml:space="preserve"> ال‍ </w:t>
      </w:r>
      <w:r>
        <w:rPr>
          <w:rtl/>
        </w:rPr>
        <w:t>10 سنوات الماضية، ثابتة</w:t>
      </w:r>
      <w:r>
        <w:rPr>
          <w:rFonts w:hint="cs"/>
          <w:rtl/>
        </w:rPr>
        <w:t xml:space="preserve"> تماما</w:t>
      </w:r>
      <w:r>
        <w:rPr>
          <w:rtl/>
        </w:rPr>
        <w:t>. لكن، و</w:t>
      </w:r>
      <w:r>
        <w:rPr>
          <w:rtl/>
        </w:rPr>
        <w:t xml:space="preserve">بسبب الانكماش </w:t>
      </w:r>
      <w:r>
        <w:rPr>
          <w:rFonts w:hint="eastAsia"/>
          <w:rtl/>
        </w:rPr>
        <w:t>الاقتصادي</w:t>
      </w:r>
      <w:r>
        <w:rPr>
          <w:rtl/>
        </w:rPr>
        <w:t xml:space="preserve"> </w:t>
      </w:r>
      <w:r>
        <w:rPr>
          <w:rFonts w:hint="cs"/>
          <w:rtl/>
        </w:rPr>
        <w:t xml:space="preserve">الذي شهدته مقاطعة ماكاو </w:t>
      </w:r>
      <w:r>
        <w:rPr>
          <w:rtl/>
        </w:rPr>
        <w:t xml:space="preserve">خلال السنوات الأخيرة، ارتفعت </w:t>
      </w:r>
      <w:r>
        <w:rPr>
          <w:rFonts w:hint="cs"/>
          <w:rtl/>
        </w:rPr>
        <w:t xml:space="preserve">النفقات </w:t>
      </w:r>
      <w:r>
        <w:rPr>
          <w:rtl/>
        </w:rPr>
        <w:t xml:space="preserve">ارتفاعاً مفاجئاً خلال الفترة 2000-2001. </w:t>
      </w:r>
      <w:r>
        <w:rPr>
          <w:rFonts w:hint="eastAsia"/>
          <w:rtl/>
        </w:rPr>
        <w:t>ونتيجة</w:t>
      </w:r>
      <w:r>
        <w:rPr>
          <w:rtl/>
        </w:rPr>
        <w:t xml:space="preserve"> لذلك، تلقى صندوق الضمان الاجتماعي مساعدات خاصة قدمتها لـه حكومة </w:t>
      </w:r>
      <w:r>
        <w:rPr>
          <w:rFonts w:hint="cs"/>
          <w:rtl/>
        </w:rPr>
        <w:t>ال</w:t>
      </w:r>
      <w:r>
        <w:rPr>
          <w:rtl/>
        </w:rPr>
        <w:t xml:space="preserve">مقاطعة </w:t>
      </w:r>
      <w:r>
        <w:rPr>
          <w:rFonts w:hint="cs"/>
          <w:rtl/>
        </w:rPr>
        <w:t>لتنفيذ</w:t>
      </w:r>
      <w:r>
        <w:rPr>
          <w:rtl/>
        </w:rPr>
        <w:t xml:space="preserve"> عدد من برامج إغاثة لفائدة العاطلين عن العمل.</w:t>
      </w:r>
    </w:p>
    <w:p w:rsidR="00000000" w:rsidRDefault="00443EC1">
      <w:pPr>
        <w:spacing w:line="380" w:lineRule="exact"/>
        <w:jc w:val="both"/>
        <w:rPr>
          <w:b/>
          <w:bCs/>
          <w:rtl/>
          <w:lang w:val="fr-CH"/>
        </w:rPr>
      </w:pPr>
      <w:r>
        <w:rPr>
          <w:rFonts w:hint="eastAsia"/>
          <w:b/>
          <w:bCs/>
          <w:rtl/>
          <w:lang w:val="fr-CH"/>
        </w:rPr>
        <w:t>حصة</w:t>
      </w:r>
      <w:r>
        <w:rPr>
          <w:b/>
          <w:bCs/>
          <w:rtl/>
          <w:lang w:val="fr-CH"/>
        </w:rPr>
        <w:t xml:space="preserve"> نفقات الضمان الاجتماعي من ميزانية مقاطعة ماكاو (بآلاف الباتاكات)</w:t>
      </w:r>
    </w:p>
    <w:tbl>
      <w:tblPr>
        <w:bidiVisual/>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695"/>
        <w:gridCol w:w="1512"/>
        <w:gridCol w:w="1344"/>
        <w:gridCol w:w="1470"/>
        <w:gridCol w:w="1244"/>
      </w:tblGrid>
      <w:tr w:rsidR="00443EC1" w:rsidTr="00443EC1">
        <w:trPr>
          <w:jc w:val="center"/>
        </w:trPr>
        <w:tc>
          <w:tcPr>
            <w:tcW w:w="3695" w:type="dxa"/>
            <w:tcBorders>
              <w:top w:val="single" w:sz="4" w:space="0" w:color="auto"/>
              <w:left w:val="single" w:sz="4" w:space="0" w:color="auto"/>
              <w:bottom w:val="single" w:sz="4" w:space="0" w:color="auto"/>
              <w:right w:val="single" w:sz="4" w:space="0" w:color="auto"/>
            </w:tcBorders>
          </w:tcPr>
          <w:p w:rsidR="00443EC1" w:rsidRDefault="00443EC1">
            <w:pPr>
              <w:spacing w:before="0" w:after="100" w:line="320" w:lineRule="exact"/>
              <w:jc w:val="center"/>
              <w:rPr>
                <w:sz w:val="26"/>
                <w:szCs w:val="26"/>
                <w:lang w:val="fr-CH"/>
              </w:rPr>
            </w:pPr>
            <w:r>
              <w:rPr>
                <w:rFonts w:hint="eastAsia"/>
                <w:sz w:val="26"/>
                <w:szCs w:val="26"/>
                <w:rtl/>
                <w:lang w:val="fr-CH"/>
              </w:rPr>
              <w:t>الأعوام</w:t>
            </w:r>
          </w:p>
        </w:tc>
        <w:tc>
          <w:tcPr>
            <w:tcW w:w="1512" w:type="dxa"/>
            <w:tcBorders>
              <w:top w:val="single" w:sz="4" w:space="0" w:color="auto"/>
              <w:left w:val="single" w:sz="4" w:space="0" w:color="auto"/>
              <w:bottom w:val="single" w:sz="4" w:space="0" w:color="auto"/>
              <w:right w:val="single" w:sz="4" w:space="0" w:color="auto"/>
            </w:tcBorders>
          </w:tcPr>
          <w:p w:rsidR="00443EC1" w:rsidRDefault="00443EC1">
            <w:pPr>
              <w:spacing w:before="0" w:after="100" w:line="320" w:lineRule="exact"/>
              <w:jc w:val="center"/>
              <w:rPr>
                <w:sz w:val="26"/>
                <w:szCs w:val="26"/>
                <w:lang w:val="fr-CH"/>
              </w:rPr>
            </w:pPr>
            <w:r>
              <w:rPr>
                <w:sz w:val="26"/>
                <w:szCs w:val="26"/>
                <w:rtl/>
                <w:lang w:val="fr-CH"/>
              </w:rPr>
              <w:t>1999</w:t>
            </w:r>
          </w:p>
        </w:tc>
        <w:tc>
          <w:tcPr>
            <w:tcW w:w="1344" w:type="dxa"/>
            <w:tcBorders>
              <w:top w:val="single" w:sz="4" w:space="0" w:color="auto"/>
              <w:left w:val="single" w:sz="4" w:space="0" w:color="auto"/>
              <w:bottom w:val="single" w:sz="4" w:space="0" w:color="auto"/>
              <w:right w:val="single" w:sz="4" w:space="0" w:color="auto"/>
            </w:tcBorders>
          </w:tcPr>
          <w:p w:rsidR="00443EC1" w:rsidRDefault="00443EC1">
            <w:pPr>
              <w:spacing w:before="0" w:after="100" w:line="320" w:lineRule="exact"/>
              <w:jc w:val="center"/>
              <w:rPr>
                <w:sz w:val="26"/>
                <w:szCs w:val="26"/>
                <w:lang w:val="fr-CH"/>
              </w:rPr>
            </w:pPr>
            <w:r>
              <w:rPr>
                <w:sz w:val="26"/>
                <w:szCs w:val="26"/>
                <w:rtl/>
                <w:lang w:val="fr-CH"/>
              </w:rPr>
              <w:t>2000</w:t>
            </w:r>
          </w:p>
        </w:tc>
        <w:tc>
          <w:tcPr>
            <w:tcW w:w="1470" w:type="dxa"/>
            <w:tcBorders>
              <w:top w:val="single" w:sz="4" w:space="0" w:color="auto"/>
              <w:left w:val="single" w:sz="4" w:space="0" w:color="auto"/>
              <w:bottom w:val="single" w:sz="4" w:space="0" w:color="auto"/>
              <w:right w:val="single" w:sz="4" w:space="0" w:color="auto"/>
            </w:tcBorders>
          </w:tcPr>
          <w:p w:rsidR="00443EC1" w:rsidRDefault="00443EC1">
            <w:pPr>
              <w:spacing w:before="0" w:after="100" w:line="320" w:lineRule="exact"/>
              <w:jc w:val="center"/>
              <w:rPr>
                <w:sz w:val="26"/>
                <w:szCs w:val="26"/>
                <w:lang w:val="fr-CH"/>
              </w:rPr>
            </w:pPr>
            <w:r>
              <w:rPr>
                <w:sz w:val="26"/>
                <w:szCs w:val="26"/>
                <w:rtl/>
                <w:lang w:val="fr-CH"/>
              </w:rPr>
              <w:t>2001</w:t>
            </w:r>
          </w:p>
        </w:tc>
        <w:tc>
          <w:tcPr>
            <w:tcW w:w="1244" w:type="dxa"/>
            <w:tcBorders>
              <w:top w:val="single" w:sz="4" w:space="0" w:color="auto"/>
              <w:left w:val="single" w:sz="4" w:space="0" w:color="auto"/>
              <w:bottom w:val="single" w:sz="4" w:space="0" w:color="auto"/>
              <w:right w:val="single" w:sz="4" w:space="0" w:color="auto"/>
            </w:tcBorders>
          </w:tcPr>
          <w:p w:rsidR="00443EC1" w:rsidRDefault="00443EC1">
            <w:pPr>
              <w:spacing w:before="0" w:after="100" w:line="320" w:lineRule="exact"/>
              <w:jc w:val="center"/>
              <w:rPr>
                <w:sz w:val="26"/>
                <w:szCs w:val="26"/>
                <w:lang w:val="fr-CH"/>
              </w:rPr>
            </w:pPr>
            <w:r>
              <w:rPr>
                <w:sz w:val="26"/>
                <w:szCs w:val="26"/>
                <w:rtl/>
                <w:lang w:val="fr-CH"/>
              </w:rPr>
              <w:t>2002</w:t>
            </w:r>
          </w:p>
        </w:tc>
      </w:tr>
      <w:tr w:rsidR="00443EC1" w:rsidTr="00443EC1">
        <w:trPr>
          <w:jc w:val="center"/>
        </w:trPr>
        <w:tc>
          <w:tcPr>
            <w:tcW w:w="3695" w:type="dxa"/>
            <w:tcBorders>
              <w:top w:val="single" w:sz="4" w:space="0" w:color="auto"/>
              <w:left w:val="single" w:sz="4" w:space="0" w:color="auto"/>
              <w:bottom w:val="nil"/>
              <w:right w:val="single" w:sz="4" w:space="0" w:color="auto"/>
            </w:tcBorders>
          </w:tcPr>
          <w:p w:rsidR="00443EC1" w:rsidRDefault="00443EC1">
            <w:pPr>
              <w:spacing w:before="0" w:after="100" w:line="320" w:lineRule="exact"/>
              <w:jc w:val="both"/>
              <w:rPr>
                <w:sz w:val="26"/>
                <w:szCs w:val="26"/>
                <w:lang w:val="fr-CH"/>
              </w:rPr>
            </w:pPr>
            <w:r>
              <w:rPr>
                <w:rFonts w:hint="eastAsia"/>
                <w:sz w:val="26"/>
                <w:szCs w:val="26"/>
                <w:rtl/>
                <w:lang w:val="fr-CH"/>
              </w:rPr>
              <w:t>نفقات</w:t>
            </w:r>
            <w:r>
              <w:rPr>
                <w:sz w:val="26"/>
                <w:szCs w:val="26"/>
                <w:rtl/>
                <w:lang w:val="fr-CH"/>
              </w:rPr>
              <w:t xml:space="preserve"> الضمان الاجتماعي</w:t>
            </w:r>
          </w:p>
        </w:tc>
        <w:tc>
          <w:tcPr>
            <w:tcW w:w="1512" w:type="dxa"/>
            <w:tcBorders>
              <w:top w:val="single" w:sz="4" w:space="0" w:color="auto"/>
              <w:left w:val="single" w:sz="4" w:space="0" w:color="auto"/>
              <w:bottom w:val="nil"/>
              <w:right w:val="single" w:sz="4" w:space="0" w:color="auto"/>
            </w:tcBorders>
          </w:tcPr>
          <w:p w:rsidR="00443EC1" w:rsidRDefault="00443EC1">
            <w:pPr>
              <w:spacing w:before="0" w:after="100" w:line="320" w:lineRule="exact"/>
              <w:ind w:left="153" w:hanging="153"/>
              <w:jc w:val="both"/>
              <w:rPr>
                <w:rFonts w:hint="cs"/>
                <w:sz w:val="26"/>
                <w:szCs w:val="26"/>
                <w:lang w:val="fr-CH"/>
              </w:rPr>
            </w:pPr>
            <w:r>
              <w:rPr>
                <w:rFonts w:hint="cs"/>
                <w:sz w:val="26"/>
                <w:szCs w:val="26"/>
                <w:rtl/>
                <w:lang w:val="fr-CH"/>
              </w:rPr>
              <w:t>577 349</w:t>
            </w:r>
          </w:p>
        </w:tc>
        <w:tc>
          <w:tcPr>
            <w:tcW w:w="1344" w:type="dxa"/>
            <w:tcBorders>
              <w:top w:val="single" w:sz="4" w:space="0" w:color="auto"/>
              <w:left w:val="single" w:sz="4" w:space="0" w:color="auto"/>
              <w:bottom w:val="nil"/>
              <w:right w:val="single" w:sz="4" w:space="0" w:color="auto"/>
            </w:tcBorders>
          </w:tcPr>
          <w:p w:rsidR="00443EC1" w:rsidRDefault="00443EC1">
            <w:pPr>
              <w:spacing w:before="0" w:after="100" w:line="320" w:lineRule="exact"/>
              <w:ind w:left="116" w:hanging="116"/>
              <w:jc w:val="both"/>
              <w:rPr>
                <w:rFonts w:hint="cs"/>
                <w:sz w:val="26"/>
                <w:szCs w:val="26"/>
                <w:lang w:val="fr-CH"/>
              </w:rPr>
            </w:pPr>
            <w:r>
              <w:rPr>
                <w:rFonts w:hint="cs"/>
                <w:sz w:val="26"/>
                <w:szCs w:val="26"/>
                <w:rtl/>
                <w:lang w:val="fr-CH"/>
              </w:rPr>
              <w:t>803 382</w:t>
            </w:r>
          </w:p>
        </w:tc>
        <w:tc>
          <w:tcPr>
            <w:tcW w:w="1470" w:type="dxa"/>
            <w:tcBorders>
              <w:top w:val="single" w:sz="4" w:space="0" w:color="auto"/>
              <w:left w:val="single" w:sz="4" w:space="0" w:color="auto"/>
              <w:bottom w:val="nil"/>
              <w:right w:val="single" w:sz="4" w:space="0" w:color="auto"/>
            </w:tcBorders>
          </w:tcPr>
          <w:p w:rsidR="00443EC1" w:rsidRDefault="00443EC1">
            <w:pPr>
              <w:spacing w:before="0" w:after="100" w:line="320" w:lineRule="exact"/>
              <w:ind w:left="224" w:hanging="102"/>
              <w:jc w:val="both"/>
              <w:rPr>
                <w:rFonts w:hint="cs"/>
                <w:sz w:val="26"/>
                <w:szCs w:val="26"/>
                <w:lang w:val="fr-CH"/>
              </w:rPr>
            </w:pPr>
            <w:r>
              <w:rPr>
                <w:rFonts w:hint="cs"/>
                <w:sz w:val="26"/>
                <w:szCs w:val="26"/>
                <w:rtl/>
                <w:lang w:val="fr-CH"/>
              </w:rPr>
              <w:t>485 519</w:t>
            </w:r>
          </w:p>
        </w:tc>
        <w:tc>
          <w:tcPr>
            <w:tcW w:w="1244" w:type="dxa"/>
            <w:tcBorders>
              <w:top w:val="single" w:sz="4" w:space="0" w:color="auto"/>
              <w:left w:val="single" w:sz="4" w:space="0" w:color="auto"/>
              <w:bottom w:val="nil"/>
              <w:right w:val="single" w:sz="4" w:space="0" w:color="auto"/>
            </w:tcBorders>
          </w:tcPr>
          <w:p w:rsidR="00443EC1" w:rsidRDefault="00443EC1">
            <w:pPr>
              <w:spacing w:before="0" w:after="100" w:line="320" w:lineRule="exact"/>
              <w:ind w:firstLine="122"/>
              <w:jc w:val="both"/>
              <w:rPr>
                <w:rFonts w:hint="cs"/>
                <w:sz w:val="26"/>
                <w:szCs w:val="26"/>
                <w:lang w:val="fr-CH"/>
              </w:rPr>
            </w:pPr>
            <w:r>
              <w:rPr>
                <w:rFonts w:hint="cs"/>
                <w:sz w:val="26"/>
                <w:szCs w:val="26"/>
                <w:rtl/>
                <w:lang w:val="fr-CH"/>
              </w:rPr>
              <w:t>347 483</w:t>
            </w:r>
          </w:p>
        </w:tc>
      </w:tr>
      <w:tr w:rsidR="00443EC1" w:rsidTr="00443EC1">
        <w:trPr>
          <w:jc w:val="center"/>
        </w:trPr>
        <w:tc>
          <w:tcPr>
            <w:tcW w:w="3695" w:type="dxa"/>
            <w:tcBorders>
              <w:top w:val="nil"/>
              <w:left w:val="single" w:sz="4" w:space="0" w:color="auto"/>
              <w:bottom w:val="single" w:sz="4" w:space="0" w:color="auto"/>
              <w:right w:val="single" w:sz="4" w:space="0" w:color="auto"/>
            </w:tcBorders>
          </w:tcPr>
          <w:p w:rsidR="00443EC1" w:rsidRDefault="00443EC1">
            <w:pPr>
              <w:spacing w:before="0" w:after="100" w:line="320" w:lineRule="exact"/>
              <w:jc w:val="both"/>
              <w:rPr>
                <w:sz w:val="26"/>
                <w:szCs w:val="26"/>
                <w:lang w:val="fr-CH"/>
              </w:rPr>
            </w:pPr>
            <w:r>
              <w:rPr>
                <w:rFonts w:hint="eastAsia"/>
                <w:sz w:val="26"/>
                <w:szCs w:val="26"/>
                <w:rtl/>
                <w:lang w:val="fr-CH"/>
              </w:rPr>
              <w:t>مشاركة</w:t>
            </w:r>
            <w:r>
              <w:rPr>
                <w:sz w:val="26"/>
                <w:szCs w:val="26"/>
                <w:rtl/>
                <w:lang w:val="fr-CH"/>
              </w:rPr>
              <w:t xml:space="preserve"> الحكومة في صندوق </w:t>
            </w:r>
            <w:r>
              <w:rPr>
                <w:rFonts w:hint="cs"/>
                <w:sz w:val="26"/>
                <w:szCs w:val="26"/>
                <w:rtl/>
                <w:lang w:val="fr-CH"/>
              </w:rPr>
              <w:t>المعاش</w:t>
            </w:r>
            <w:r>
              <w:rPr>
                <w:sz w:val="26"/>
                <w:szCs w:val="26"/>
                <w:rtl/>
                <w:lang w:val="fr-CH"/>
              </w:rPr>
              <w:t xml:space="preserve"> التقاعدي</w:t>
            </w:r>
          </w:p>
        </w:tc>
        <w:tc>
          <w:tcPr>
            <w:tcW w:w="1512" w:type="dxa"/>
            <w:tcBorders>
              <w:top w:val="nil"/>
              <w:left w:val="single" w:sz="4" w:space="0" w:color="auto"/>
              <w:bottom w:val="single" w:sz="4" w:space="0" w:color="auto"/>
              <w:right w:val="single" w:sz="4" w:space="0" w:color="auto"/>
            </w:tcBorders>
          </w:tcPr>
          <w:p w:rsidR="00443EC1" w:rsidRDefault="00443EC1">
            <w:pPr>
              <w:spacing w:before="0" w:after="100" w:line="320" w:lineRule="exact"/>
              <w:ind w:left="153" w:hanging="153"/>
              <w:jc w:val="both"/>
              <w:rPr>
                <w:rFonts w:hint="cs"/>
                <w:sz w:val="26"/>
                <w:szCs w:val="26"/>
                <w:lang w:val="fr-CH"/>
              </w:rPr>
            </w:pPr>
            <w:r>
              <w:rPr>
                <w:rFonts w:hint="cs"/>
                <w:sz w:val="26"/>
                <w:szCs w:val="26"/>
                <w:rtl/>
                <w:lang w:val="fr-CH"/>
              </w:rPr>
              <w:t>076 318</w:t>
            </w:r>
          </w:p>
        </w:tc>
        <w:tc>
          <w:tcPr>
            <w:tcW w:w="1344" w:type="dxa"/>
            <w:tcBorders>
              <w:top w:val="nil"/>
              <w:left w:val="single" w:sz="4" w:space="0" w:color="auto"/>
              <w:bottom w:val="single" w:sz="4" w:space="0" w:color="auto"/>
              <w:right w:val="single" w:sz="4" w:space="0" w:color="auto"/>
            </w:tcBorders>
          </w:tcPr>
          <w:p w:rsidR="00443EC1" w:rsidRDefault="00443EC1">
            <w:pPr>
              <w:spacing w:before="0" w:after="100" w:line="320" w:lineRule="exact"/>
              <w:ind w:left="116" w:hanging="116"/>
              <w:jc w:val="both"/>
              <w:rPr>
                <w:rFonts w:hint="cs"/>
                <w:sz w:val="26"/>
                <w:szCs w:val="26"/>
                <w:lang w:val="fr-CH"/>
              </w:rPr>
            </w:pPr>
            <w:r>
              <w:rPr>
                <w:rFonts w:hint="cs"/>
                <w:sz w:val="26"/>
                <w:szCs w:val="26"/>
                <w:rtl/>
                <w:lang w:val="fr-CH"/>
              </w:rPr>
              <w:t>617 316</w:t>
            </w:r>
          </w:p>
        </w:tc>
        <w:tc>
          <w:tcPr>
            <w:tcW w:w="1470" w:type="dxa"/>
            <w:tcBorders>
              <w:top w:val="nil"/>
              <w:left w:val="single" w:sz="4" w:space="0" w:color="auto"/>
              <w:bottom w:val="single" w:sz="4" w:space="0" w:color="auto"/>
              <w:right w:val="single" w:sz="4" w:space="0" w:color="auto"/>
            </w:tcBorders>
          </w:tcPr>
          <w:p w:rsidR="00443EC1" w:rsidRDefault="00443EC1">
            <w:pPr>
              <w:spacing w:before="0" w:after="100" w:line="320" w:lineRule="exact"/>
              <w:ind w:left="224" w:hanging="102"/>
              <w:jc w:val="both"/>
              <w:rPr>
                <w:rFonts w:hint="cs"/>
                <w:sz w:val="26"/>
                <w:szCs w:val="26"/>
                <w:lang w:val="fr-CH"/>
              </w:rPr>
            </w:pPr>
            <w:r>
              <w:rPr>
                <w:rFonts w:hint="cs"/>
                <w:sz w:val="26"/>
                <w:szCs w:val="26"/>
                <w:rtl/>
                <w:lang w:val="fr-CH"/>
              </w:rPr>
              <w:t>420 323</w:t>
            </w:r>
          </w:p>
        </w:tc>
        <w:tc>
          <w:tcPr>
            <w:tcW w:w="1244" w:type="dxa"/>
            <w:tcBorders>
              <w:top w:val="nil"/>
              <w:left w:val="single" w:sz="4" w:space="0" w:color="auto"/>
              <w:bottom w:val="single" w:sz="4" w:space="0" w:color="auto"/>
              <w:right w:val="single" w:sz="4" w:space="0" w:color="auto"/>
            </w:tcBorders>
          </w:tcPr>
          <w:p w:rsidR="00443EC1" w:rsidRDefault="00443EC1">
            <w:pPr>
              <w:spacing w:before="0" w:after="100" w:line="320" w:lineRule="exact"/>
              <w:ind w:firstLine="122"/>
              <w:jc w:val="both"/>
              <w:rPr>
                <w:rFonts w:hint="cs"/>
                <w:sz w:val="26"/>
                <w:szCs w:val="26"/>
                <w:lang w:val="fr-CH"/>
              </w:rPr>
            </w:pPr>
            <w:r>
              <w:rPr>
                <w:rFonts w:hint="cs"/>
                <w:sz w:val="26"/>
                <w:szCs w:val="26"/>
                <w:rtl/>
                <w:lang w:val="fr-CH"/>
              </w:rPr>
              <w:t>723 332</w:t>
            </w:r>
          </w:p>
        </w:tc>
      </w:tr>
      <w:tr w:rsidR="00443EC1" w:rsidTr="00443EC1">
        <w:trPr>
          <w:jc w:val="center"/>
        </w:trPr>
        <w:tc>
          <w:tcPr>
            <w:tcW w:w="3695" w:type="dxa"/>
            <w:tcBorders>
              <w:top w:val="single" w:sz="4" w:space="0" w:color="auto"/>
              <w:left w:val="single" w:sz="4" w:space="0" w:color="auto"/>
              <w:bottom w:val="single" w:sz="4" w:space="0" w:color="auto"/>
              <w:right w:val="single" w:sz="4" w:space="0" w:color="auto"/>
            </w:tcBorders>
          </w:tcPr>
          <w:p w:rsidR="00443EC1" w:rsidRDefault="00443EC1">
            <w:pPr>
              <w:spacing w:before="0" w:after="100" w:line="320" w:lineRule="exact"/>
              <w:jc w:val="both"/>
              <w:rPr>
                <w:sz w:val="26"/>
                <w:szCs w:val="26"/>
                <w:lang w:val="fr-CH"/>
              </w:rPr>
            </w:pPr>
            <w:r>
              <w:rPr>
                <w:sz w:val="26"/>
                <w:szCs w:val="26"/>
                <w:rtl/>
                <w:lang w:val="fr-CH"/>
              </w:rPr>
              <w:tab/>
            </w:r>
            <w:r>
              <w:rPr>
                <w:rFonts w:hint="eastAsia"/>
                <w:sz w:val="26"/>
                <w:szCs w:val="26"/>
                <w:rtl/>
                <w:lang w:val="fr-CH"/>
              </w:rPr>
              <w:t>المجموع</w:t>
            </w:r>
          </w:p>
        </w:tc>
        <w:tc>
          <w:tcPr>
            <w:tcW w:w="1512" w:type="dxa"/>
            <w:tcBorders>
              <w:top w:val="single" w:sz="4" w:space="0" w:color="auto"/>
              <w:left w:val="single" w:sz="4" w:space="0" w:color="auto"/>
              <w:bottom w:val="single" w:sz="4" w:space="0" w:color="auto"/>
              <w:right w:val="single" w:sz="4" w:space="0" w:color="auto"/>
            </w:tcBorders>
          </w:tcPr>
          <w:p w:rsidR="00443EC1" w:rsidRDefault="00443EC1">
            <w:pPr>
              <w:spacing w:before="0" w:after="100" w:line="320" w:lineRule="exact"/>
              <w:ind w:left="153" w:hanging="153"/>
              <w:jc w:val="both"/>
              <w:rPr>
                <w:rFonts w:hint="cs"/>
                <w:sz w:val="26"/>
                <w:szCs w:val="26"/>
                <w:lang w:val="fr-CH"/>
              </w:rPr>
            </w:pPr>
            <w:r>
              <w:rPr>
                <w:rFonts w:hint="cs"/>
                <w:sz w:val="26"/>
                <w:szCs w:val="26"/>
                <w:rtl/>
                <w:lang w:val="fr-CH"/>
              </w:rPr>
              <w:t>653 667</w:t>
            </w:r>
          </w:p>
        </w:tc>
        <w:tc>
          <w:tcPr>
            <w:tcW w:w="1344" w:type="dxa"/>
            <w:tcBorders>
              <w:top w:val="single" w:sz="4" w:space="0" w:color="auto"/>
              <w:left w:val="single" w:sz="4" w:space="0" w:color="auto"/>
              <w:bottom w:val="single" w:sz="4" w:space="0" w:color="auto"/>
              <w:right w:val="single" w:sz="4" w:space="0" w:color="auto"/>
            </w:tcBorders>
          </w:tcPr>
          <w:p w:rsidR="00443EC1" w:rsidRDefault="00443EC1">
            <w:pPr>
              <w:spacing w:before="0" w:after="100" w:line="320" w:lineRule="exact"/>
              <w:ind w:left="116" w:hanging="116"/>
              <w:jc w:val="both"/>
              <w:rPr>
                <w:rFonts w:hint="cs"/>
                <w:sz w:val="26"/>
                <w:szCs w:val="26"/>
                <w:lang w:val="fr-CH"/>
              </w:rPr>
            </w:pPr>
            <w:r>
              <w:rPr>
                <w:rFonts w:hint="cs"/>
                <w:sz w:val="26"/>
                <w:szCs w:val="26"/>
                <w:rtl/>
                <w:lang w:val="fr-CH"/>
              </w:rPr>
              <w:t>420 699</w:t>
            </w:r>
          </w:p>
        </w:tc>
        <w:tc>
          <w:tcPr>
            <w:tcW w:w="1470" w:type="dxa"/>
            <w:tcBorders>
              <w:top w:val="single" w:sz="4" w:space="0" w:color="auto"/>
              <w:left w:val="single" w:sz="4" w:space="0" w:color="auto"/>
              <w:bottom w:val="single" w:sz="4" w:space="0" w:color="auto"/>
              <w:right w:val="single" w:sz="4" w:space="0" w:color="auto"/>
            </w:tcBorders>
          </w:tcPr>
          <w:p w:rsidR="00443EC1" w:rsidRDefault="00443EC1">
            <w:pPr>
              <w:spacing w:before="0" w:after="100" w:line="320" w:lineRule="exact"/>
              <w:ind w:left="224" w:hanging="102"/>
              <w:jc w:val="both"/>
              <w:rPr>
                <w:rFonts w:hint="cs"/>
                <w:sz w:val="26"/>
                <w:szCs w:val="26"/>
                <w:lang w:val="fr-CH"/>
              </w:rPr>
            </w:pPr>
            <w:r>
              <w:rPr>
                <w:rFonts w:hint="cs"/>
                <w:sz w:val="26"/>
                <w:szCs w:val="26"/>
                <w:rtl/>
                <w:lang w:val="fr-CH"/>
              </w:rPr>
              <w:t>905 842</w:t>
            </w:r>
          </w:p>
        </w:tc>
        <w:tc>
          <w:tcPr>
            <w:tcW w:w="1244" w:type="dxa"/>
            <w:tcBorders>
              <w:top w:val="single" w:sz="4" w:space="0" w:color="auto"/>
              <w:left w:val="single" w:sz="4" w:space="0" w:color="auto"/>
              <w:bottom w:val="single" w:sz="4" w:space="0" w:color="auto"/>
              <w:right w:val="single" w:sz="4" w:space="0" w:color="auto"/>
            </w:tcBorders>
          </w:tcPr>
          <w:p w:rsidR="00443EC1" w:rsidRDefault="00443EC1">
            <w:pPr>
              <w:spacing w:before="0" w:after="100" w:line="320" w:lineRule="exact"/>
              <w:ind w:firstLine="122"/>
              <w:jc w:val="both"/>
              <w:rPr>
                <w:rFonts w:hint="cs"/>
                <w:sz w:val="26"/>
                <w:szCs w:val="26"/>
                <w:lang w:val="fr-CH"/>
              </w:rPr>
            </w:pPr>
            <w:r>
              <w:rPr>
                <w:rFonts w:hint="cs"/>
                <w:sz w:val="26"/>
                <w:szCs w:val="26"/>
                <w:rtl/>
                <w:lang w:val="fr-CH"/>
              </w:rPr>
              <w:t>070 816</w:t>
            </w:r>
          </w:p>
        </w:tc>
      </w:tr>
      <w:tr w:rsidR="00443EC1" w:rsidTr="00443EC1">
        <w:trPr>
          <w:jc w:val="center"/>
        </w:trPr>
        <w:tc>
          <w:tcPr>
            <w:tcW w:w="3695" w:type="dxa"/>
            <w:tcBorders>
              <w:top w:val="single" w:sz="4" w:space="0" w:color="auto"/>
              <w:left w:val="single" w:sz="4" w:space="0" w:color="auto"/>
              <w:bottom w:val="single" w:sz="4" w:space="0" w:color="auto"/>
              <w:right w:val="single" w:sz="4" w:space="0" w:color="auto"/>
            </w:tcBorders>
          </w:tcPr>
          <w:p w:rsidR="00443EC1" w:rsidRDefault="00443EC1">
            <w:pPr>
              <w:spacing w:before="0" w:after="100" w:line="320" w:lineRule="exact"/>
              <w:jc w:val="both"/>
              <w:rPr>
                <w:sz w:val="26"/>
                <w:szCs w:val="26"/>
                <w:lang w:val="fr-CH"/>
              </w:rPr>
            </w:pPr>
            <w:r>
              <w:rPr>
                <w:rFonts w:hint="eastAsia"/>
                <w:sz w:val="26"/>
                <w:szCs w:val="26"/>
                <w:rtl/>
                <w:lang w:val="fr-CH"/>
              </w:rPr>
              <w:t>الحصة</w:t>
            </w:r>
            <w:r>
              <w:rPr>
                <w:sz w:val="26"/>
                <w:szCs w:val="26"/>
                <w:rtl/>
                <w:lang w:val="fr-CH"/>
              </w:rPr>
              <w:t xml:space="preserve"> </w:t>
            </w:r>
            <w:r>
              <w:rPr>
                <w:rFonts w:hint="cs"/>
                <w:sz w:val="26"/>
                <w:szCs w:val="26"/>
                <w:rtl/>
                <w:lang w:val="fr-CH"/>
              </w:rPr>
              <w:t>من</w:t>
            </w:r>
            <w:r>
              <w:rPr>
                <w:sz w:val="26"/>
                <w:szCs w:val="26"/>
                <w:rtl/>
                <w:lang w:val="fr-CH"/>
              </w:rPr>
              <w:t xml:space="preserve"> ميزانية مقاطعة ماكاو</w:t>
            </w:r>
          </w:p>
        </w:tc>
        <w:tc>
          <w:tcPr>
            <w:tcW w:w="1512" w:type="dxa"/>
            <w:tcBorders>
              <w:top w:val="single" w:sz="4" w:space="0" w:color="auto"/>
              <w:left w:val="single" w:sz="4" w:space="0" w:color="auto"/>
              <w:bottom w:val="single" w:sz="4" w:space="0" w:color="auto"/>
              <w:right w:val="single" w:sz="4" w:space="0" w:color="auto"/>
            </w:tcBorders>
          </w:tcPr>
          <w:p w:rsidR="00443EC1" w:rsidRDefault="00443EC1">
            <w:pPr>
              <w:spacing w:before="0" w:after="100" w:line="320" w:lineRule="exact"/>
              <w:ind w:left="153" w:hanging="153"/>
              <w:jc w:val="center"/>
              <w:rPr>
                <w:rFonts w:hint="cs"/>
                <w:sz w:val="26"/>
                <w:szCs w:val="26"/>
                <w:lang w:val="fr-CH"/>
              </w:rPr>
            </w:pPr>
            <w:r>
              <w:rPr>
                <w:rFonts w:hint="cs"/>
                <w:sz w:val="26"/>
                <w:szCs w:val="26"/>
                <w:rtl/>
                <w:lang w:val="fr-CH"/>
              </w:rPr>
              <w:t>6.81</w:t>
            </w:r>
            <w:r>
              <w:rPr>
                <w:rFonts w:cs="Mudir MT" w:hint="cs"/>
                <w:sz w:val="26"/>
                <w:szCs w:val="26"/>
                <w:rtl/>
                <w:lang w:val="fr-CH" w:eastAsia="en-US"/>
              </w:rPr>
              <w:t>%</w:t>
            </w:r>
          </w:p>
        </w:tc>
        <w:tc>
          <w:tcPr>
            <w:tcW w:w="1344" w:type="dxa"/>
            <w:tcBorders>
              <w:top w:val="single" w:sz="4" w:space="0" w:color="auto"/>
              <w:left w:val="single" w:sz="4" w:space="0" w:color="auto"/>
              <w:bottom w:val="single" w:sz="4" w:space="0" w:color="auto"/>
              <w:right w:val="single" w:sz="4" w:space="0" w:color="auto"/>
            </w:tcBorders>
          </w:tcPr>
          <w:p w:rsidR="00443EC1" w:rsidRDefault="00443EC1">
            <w:pPr>
              <w:spacing w:before="0" w:after="100" w:line="320" w:lineRule="exact"/>
              <w:ind w:left="116" w:hanging="116"/>
              <w:jc w:val="center"/>
              <w:rPr>
                <w:rFonts w:hint="cs"/>
                <w:sz w:val="26"/>
                <w:szCs w:val="26"/>
                <w:lang w:val="fr-CH"/>
              </w:rPr>
            </w:pPr>
            <w:r>
              <w:rPr>
                <w:rFonts w:hint="cs"/>
                <w:sz w:val="26"/>
                <w:szCs w:val="26"/>
                <w:rtl/>
                <w:lang w:val="fr-CH"/>
              </w:rPr>
              <w:t>7.98</w:t>
            </w:r>
            <w:r>
              <w:rPr>
                <w:rFonts w:cs="Mudir MT" w:hint="cs"/>
                <w:sz w:val="26"/>
                <w:szCs w:val="26"/>
                <w:rtl/>
                <w:lang w:val="fr-CH" w:eastAsia="en-US"/>
              </w:rPr>
              <w:t>%</w:t>
            </w:r>
          </w:p>
        </w:tc>
        <w:tc>
          <w:tcPr>
            <w:tcW w:w="1470" w:type="dxa"/>
            <w:tcBorders>
              <w:top w:val="single" w:sz="4" w:space="0" w:color="auto"/>
              <w:left w:val="single" w:sz="4" w:space="0" w:color="auto"/>
              <w:bottom w:val="single" w:sz="4" w:space="0" w:color="auto"/>
              <w:right w:val="single" w:sz="4" w:space="0" w:color="auto"/>
            </w:tcBorders>
          </w:tcPr>
          <w:p w:rsidR="00443EC1" w:rsidRDefault="00443EC1">
            <w:pPr>
              <w:spacing w:before="0" w:after="100" w:line="320" w:lineRule="exact"/>
              <w:ind w:left="224" w:hanging="102"/>
              <w:jc w:val="center"/>
              <w:rPr>
                <w:rFonts w:hint="cs"/>
                <w:sz w:val="26"/>
                <w:szCs w:val="26"/>
                <w:lang w:val="fr-CH"/>
              </w:rPr>
            </w:pPr>
            <w:r>
              <w:rPr>
                <w:rFonts w:hint="cs"/>
                <w:sz w:val="26"/>
                <w:szCs w:val="26"/>
                <w:rtl/>
                <w:lang w:val="fr-CH"/>
              </w:rPr>
              <w:t>8.9</w:t>
            </w:r>
            <w:r>
              <w:rPr>
                <w:rFonts w:cs="Mudir MT" w:hint="cs"/>
                <w:sz w:val="26"/>
                <w:szCs w:val="26"/>
                <w:rtl/>
                <w:lang w:val="fr-CH" w:eastAsia="en-US"/>
              </w:rPr>
              <w:t>%</w:t>
            </w:r>
          </w:p>
        </w:tc>
        <w:tc>
          <w:tcPr>
            <w:tcW w:w="1244" w:type="dxa"/>
            <w:tcBorders>
              <w:top w:val="single" w:sz="4" w:space="0" w:color="auto"/>
              <w:left w:val="single" w:sz="4" w:space="0" w:color="auto"/>
              <w:bottom w:val="single" w:sz="4" w:space="0" w:color="auto"/>
              <w:right w:val="single" w:sz="4" w:space="0" w:color="auto"/>
            </w:tcBorders>
          </w:tcPr>
          <w:p w:rsidR="00443EC1" w:rsidRDefault="00443EC1">
            <w:pPr>
              <w:spacing w:before="0" w:after="100" w:line="320" w:lineRule="exact"/>
              <w:ind w:firstLine="122"/>
              <w:jc w:val="center"/>
              <w:rPr>
                <w:rFonts w:hint="cs"/>
                <w:sz w:val="26"/>
                <w:szCs w:val="26"/>
                <w:lang w:val="fr-CH"/>
              </w:rPr>
            </w:pPr>
            <w:r>
              <w:rPr>
                <w:rFonts w:hint="cs"/>
                <w:sz w:val="26"/>
                <w:szCs w:val="26"/>
                <w:rtl/>
                <w:lang w:val="fr-CH"/>
              </w:rPr>
              <w:t>8.5</w:t>
            </w:r>
            <w:r>
              <w:rPr>
                <w:rFonts w:cs="Mudir MT" w:hint="cs"/>
                <w:sz w:val="26"/>
                <w:szCs w:val="26"/>
                <w:rtl/>
                <w:lang w:val="fr-CH" w:eastAsia="en-US"/>
              </w:rPr>
              <w:t>%</w:t>
            </w:r>
          </w:p>
        </w:tc>
      </w:tr>
    </w:tbl>
    <w:p w:rsidR="00000000" w:rsidRDefault="00443EC1">
      <w:pPr>
        <w:spacing w:line="380" w:lineRule="exact"/>
        <w:jc w:val="both"/>
        <w:rPr>
          <w:rtl/>
        </w:rPr>
      </w:pPr>
      <w:r>
        <w:rPr>
          <w:rFonts w:hint="cs"/>
          <w:rtl/>
        </w:rPr>
        <w:tab/>
      </w:r>
      <w:r>
        <w:rPr>
          <w:rFonts w:hint="eastAsia"/>
          <w:i/>
          <w:iCs/>
          <w:rtl/>
        </w:rPr>
        <w:t>المصدر</w:t>
      </w:r>
      <w:r>
        <w:rPr>
          <w:rtl/>
        </w:rPr>
        <w:t>:</w:t>
      </w:r>
      <w:r>
        <w:rPr>
          <w:rFonts w:hint="cs"/>
          <w:rtl/>
        </w:rPr>
        <w:t xml:space="preserve"> </w:t>
      </w:r>
      <w:r>
        <w:rPr>
          <w:rFonts w:hint="eastAsia"/>
          <w:rtl/>
        </w:rPr>
        <w:t>وزارة</w:t>
      </w:r>
      <w:r>
        <w:rPr>
          <w:rtl/>
        </w:rPr>
        <w:t xml:space="preserve"> المالية، 2003.</w:t>
      </w:r>
    </w:p>
    <w:p w:rsidR="00000000" w:rsidRDefault="00443EC1">
      <w:pPr>
        <w:spacing w:line="380" w:lineRule="exact"/>
        <w:jc w:val="both"/>
        <w:rPr>
          <w:b/>
          <w:bCs/>
          <w:rtl/>
        </w:rPr>
      </w:pPr>
      <w:r>
        <w:rPr>
          <w:rFonts w:hint="eastAsia"/>
          <w:b/>
          <w:bCs/>
          <w:rtl/>
        </w:rPr>
        <w:t>الإعانات</w:t>
      </w:r>
      <w:r>
        <w:rPr>
          <w:b/>
          <w:bCs/>
          <w:rtl/>
        </w:rPr>
        <w:t xml:space="preserve"> المقدمة </w:t>
      </w:r>
      <w:r>
        <w:rPr>
          <w:rFonts w:hint="eastAsia"/>
          <w:b/>
          <w:bCs/>
          <w:rtl/>
        </w:rPr>
        <w:t>لصندوق</w:t>
      </w:r>
      <w:r>
        <w:rPr>
          <w:b/>
          <w:bCs/>
          <w:rtl/>
        </w:rPr>
        <w:t xml:space="preserve"> الضمان الاجتماعي (بآلاف الباتاكات)</w:t>
      </w:r>
    </w:p>
    <w:tbl>
      <w:tblPr>
        <w:bidiVisual/>
        <w:tblW w:w="0" w:type="auto"/>
        <w:jc w:val="center"/>
        <w:tblInd w:w="-1133"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737"/>
        <w:gridCol w:w="1498"/>
        <w:gridCol w:w="1344"/>
        <w:gridCol w:w="1481"/>
        <w:gridCol w:w="1260"/>
      </w:tblGrid>
      <w:tr w:rsidR="00443EC1" w:rsidTr="00443EC1">
        <w:trPr>
          <w:jc w:val="center"/>
        </w:trPr>
        <w:tc>
          <w:tcPr>
            <w:tcW w:w="3737" w:type="dxa"/>
            <w:tcBorders>
              <w:top w:val="single" w:sz="4" w:space="0" w:color="auto"/>
              <w:left w:val="single" w:sz="4" w:space="0" w:color="auto"/>
              <w:bottom w:val="single" w:sz="4" w:space="0" w:color="auto"/>
              <w:right w:val="single" w:sz="4" w:space="0" w:color="auto"/>
            </w:tcBorders>
          </w:tcPr>
          <w:p w:rsidR="00443EC1" w:rsidRDefault="00443EC1">
            <w:pPr>
              <w:spacing w:before="0" w:after="0" w:line="380" w:lineRule="exact"/>
              <w:jc w:val="center"/>
              <w:rPr>
                <w:sz w:val="26"/>
                <w:szCs w:val="26"/>
                <w:lang w:val="fr-CH"/>
              </w:rPr>
            </w:pPr>
            <w:r>
              <w:rPr>
                <w:rFonts w:hint="eastAsia"/>
                <w:sz w:val="26"/>
                <w:szCs w:val="26"/>
                <w:rtl/>
                <w:lang w:val="fr-CH"/>
              </w:rPr>
              <w:t>الأعوام</w:t>
            </w:r>
          </w:p>
        </w:tc>
        <w:tc>
          <w:tcPr>
            <w:tcW w:w="1498" w:type="dxa"/>
            <w:tcBorders>
              <w:top w:val="single" w:sz="4" w:space="0" w:color="auto"/>
              <w:left w:val="single" w:sz="4" w:space="0" w:color="auto"/>
              <w:bottom w:val="single" w:sz="4" w:space="0" w:color="auto"/>
              <w:right w:val="single" w:sz="4" w:space="0" w:color="auto"/>
            </w:tcBorders>
          </w:tcPr>
          <w:p w:rsidR="00443EC1" w:rsidRDefault="00443EC1">
            <w:pPr>
              <w:spacing w:before="0" w:after="0" w:line="380" w:lineRule="exact"/>
              <w:jc w:val="center"/>
              <w:rPr>
                <w:sz w:val="26"/>
                <w:szCs w:val="26"/>
                <w:lang w:val="fr-CH"/>
              </w:rPr>
            </w:pPr>
            <w:r>
              <w:rPr>
                <w:sz w:val="26"/>
                <w:szCs w:val="26"/>
                <w:rtl/>
                <w:lang w:val="fr-CH"/>
              </w:rPr>
              <w:t>1999</w:t>
            </w:r>
          </w:p>
        </w:tc>
        <w:tc>
          <w:tcPr>
            <w:tcW w:w="1344" w:type="dxa"/>
            <w:tcBorders>
              <w:top w:val="single" w:sz="4" w:space="0" w:color="auto"/>
              <w:left w:val="single" w:sz="4" w:space="0" w:color="auto"/>
              <w:bottom w:val="single" w:sz="4" w:space="0" w:color="auto"/>
              <w:right w:val="single" w:sz="4" w:space="0" w:color="auto"/>
            </w:tcBorders>
          </w:tcPr>
          <w:p w:rsidR="00443EC1" w:rsidRDefault="00443EC1">
            <w:pPr>
              <w:spacing w:before="0" w:after="0" w:line="380" w:lineRule="exact"/>
              <w:jc w:val="center"/>
              <w:rPr>
                <w:sz w:val="26"/>
                <w:szCs w:val="26"/>
                <w:lang w:val="fr-CH"/>
              </w:rPr>
            </w:pPr>
            <w:r>
              <w:rPr>
                <w:sz w:val="26"/>
                <w:szCs w:val="26"/>
                <w:rtl/>
                <w:lang w:val="fr-CH"/>
              </w:rPr>
              <w:t>2000</w:t>
            </w:r>
          </w:p>
        </w:tc>
        <w:tc>
          <w:tcPr>
            <w:tcW w:w="1481" w:type="dxa"/>
            <w:tcBorders>
              <w:top w:val="single" w:sz="4" w:space="0" w:color="auto"/>
              <w:left w:val="single" w:sz="4" w:space="0" w:color="auto"/>
              <w:bottom w:val="single" w:sz="4" w:space="0" w:color="auto"/>
              <w:right w:val="single" w:sz="4" w:space="0" w:color="auto"/>
            </w:tcBorders>
          </w:tcPr>
          <w:p w:rsidR="00443EC1" w:rsidRDefault="00443EC1">
            <w:pPr>
              <w:spacing w:before="0" w:after="0" w:line="380" w:lineRule="exact"/>
              <w:jc w:val="center"/>
              <w:rPr>
                <w:sz w:val="26"/>
                <w:szCs w:val="26"/>
                <w:lang w:val="fr-CH"/>
              </w:rPr>
            </w:pPr>
            <w:r>
              <w:rPr>
                <w:sz w:val="26"/>
                <w:szCs w:val="26"/>
                <w:rtl/>
                <w:lang w:val="fr-CH"/>
              </w:rPr>
              <w:t>2001</w:t>
            </w:r>
          </w:p>
        </w:tc>
        <w:tc>
          <w:tcPr>
            <w:tcW w:w="1260" w:type="dxa"/>
            <w:tcBorders>
              <w:top w:val="single" w:sz="4" w:space="0" w:color="auto"/>
              <w:left w:val="single" w:sz="4" w:space="0" w:color="auto"/>
              <w:bottom w:val="single" w:sz="4" w:space="0" w:color="auto"/>
              <w:right w:val="single" w:sz="4" w:space="0" w:color="auto"/>
            </w:tcBorders>
          </w:tcPr>
          <w:p w:rsidR="00443EC1" w:rsidRDefault="00443EC1">
            <w:pPr>
              <w:spacing w:before="0" w:after="0" w:line="380" w:lineRule="exact"/>
              <w:jc w:val="center"/>
              <w:rPr>
                <w:sz w:val="26"/>
                <w:szCs w:val="26"/>
                <w:lang w:val="fr-CH"/>
              </w:rPr>
            </w:pPr>
            <w:r>
              <w:rPr>
                <w:sz w:val="26"/>
                <w:szCs w:val="26"/>
                <w:rtl/>
                <w:lang w:val="fr-CH"/>
              </w:rPr>
              <w:t>2002</w:t>
            </w:r>
          </w:p>
        </w:tc>
      </w:tr>
      <w:tr w:rsidR="00443EC1" w:rsidTr="00443EC1">
        <w:trPr>
          <w:jc w:val="center"/>
        </w:trPr>
        <w:tc>
          <w:tcPr>
            <w:tcW w:w="3737" w:type="dxa"/>
            <w:tcBorders>
              <w:top w:val="single" w:sz="4" w:space="0" w:color="auto"/>
              <w:left w:val="single" w:sz="4" w:space="0" w:color="auto"/>
              <w:bottom w:val="nil"/>
              <w:right w:val="single" w:sz="4" w:space="0" w:color="auto"/>
            </w:tcBorders>
          </w:tcPr>
          <w:p w:rsidR="00443EC1" w:rsidRDefault="00443EC1">
            <w:pPr>
              <w:spacing w:before="0" w:after="0" w:line="380" w:lineRule="exact"/>
              <w:jc w:val="both"/>
              <w:rPr>
                <w:sz w:val="26"/>
                <w:szCs w:val="26"/>
                <w:lang w:val="fr-CH"/>
              </w:rPr>
            </w:pPr>
            <w:r>
              <w:rPr>
                <w:rFonts w:hint="eastAsia"/>
                <w:sz w:val="26"/>
                <w:szCs w:val="26"/>
                <w:rtl/>
                <w:lang w:val="fr-CH"/>
              </w:rPr>
              <w:t>حصة</w:t>
            </w:r>
            <w:r>
              <w:rPr>
                <w:sz w:val="26"/>
                <w:szCs w:val="26"/>
                <w:rtl/>
                <w:lang w:val="fr-CH"/>
              </w:rPr>
              <w:t xml:space="preserve"> </w:t>
            </w:r>
            <w:r>
              <w:rPr>
                <w:rFonts w:hint="cs"/>
                <w:sz w:val="26"/>
                <w:szCs w:val="26"/>
                <w:rtl/>
                <w:lang w:val="fr-CH"/>
              </w:rPr>
              <w:t xml:space="preserve">1 </w:t>
            </w:r>
            <w:r>
              <w:rPr>
                <w:sz w:val="26"/>
                <w:szCs w:val="26"/>
                <w:rtl/>
                <w:lang w:val="fr-CH"/>
              </w:rPr>
              <w:t xml:space="preserve">في المائة </w:t>
            </w:r>
            <w:r>
              <w:rPr>
                <w:rFonts w:hint="cs"/>
                <w:sz w:val="26"/>
                <w:szCs w:val="26"/>
                <w:rtl/>
                <w:lang w:val="fr-CH"/>
              </w:rPr>
              <w:t>من</w:t>
            </w:r>
            <w:r>
              <w:rPr>
                <w:sz w:val="26"/>
                <w:szCs w:val="26"/>
                <w:rtl/>
                <w:lang w:val="fr-CH"/>
              </w:rPr>
              <w:t xml:space="preserve"> ميزانية مقاطعة ماكاو</w:t>
            </w:r>
          </w:p>
        </w:tc>
        <w:tc>
          <w:tcPr>
            <w:tcW w:w="1498" w:type="dxa"/>
            <w:tcBorders>
              <w:top w:val="single" w:sz="4" w:space="0" w:color="auto"/>
              <w:left w:val="single" w:sz="4" w:space="0" w:color="auto"/>
              <w:bottom w:val="nil"/>
              <w:right w:val="single" w:sz="4" w:space="0" w:color="auto"/>
            </w:tcBorders>
          </w:tcPr>
          <w:p w:rsidR="00443EC1" w:rsidRDefault="00443EC1">
            <w:pPr>
              <w:spacing w:before="0" w:after="0" w:line="380" w:lineRule="exact"/>
              <w:ind w:firstLine="72"/>
              <w:jc w:val="both"/>
              <w:rPr>
                <w:rFonts w:hint="cs"/>
                <w:sz w:val="26"/>
                <w:szCs w:val="26"/>
                <w:lang w:val="fr-CH"/>
              </w:rPr>
            </w:pPr>
            <w:r>
              <w:rPr>
                <w:rFonts w:hint="cs"/>
                <w:sz w:val="26"/>
                <w:szCs w:val="26"/>
                <w:rtl/>
                <w:lang w:val="fr-CH"/>
              </w:rPr>
              <w:t>746 81</w:t>
            </w:r>
          </w:p>
        </w:tc>
        <w:tc>
          <w:tcPr>
            <w:tcW w:w="1344" w:type="dxa"/>
            <w:tcBorders>
              <w:top w:val="single" w:sz="4" w:space="0" w:color="auto"/>
              <w:left w:val="single" w:sz="4" w:space="0" w:color="auto"/>
              <w:bottom w:val="nil"/>
              <w:right w:val="single" w:sz="4" w:space="0" w:color="auto"/>
            </w:tcBorders>
          </w:tcPr>
          <w:p w:rsidR="00443EC1" w:rsidRDefault="00443EC1">
            <w:pPr>
              <w:spacing w:before="0" w:after="0" w:line="380" w:lineRule="exact"/>
              <w:ind w:firstLine="72"/>
              <w:jc w:val="both"/>
              <w:rPr>
                <w:rFonts w:hint="cs"/>
                <w:sz w:val="26"/>
                <w:szCs w:val="26"/>
                <w:lang w:val="fr-CH"/>
              </w:rPr>
            </w:pPr>
            <w:r>
              <w:rPr>
                <w:rFonts w:hint="cs"/>
                <w:sz w:val="26"/>
                <w:szCs w:val="26"/>
                <w:rtl/>
                <w:lang w:val="fr-CH"/>
              </w:rPr>
              <w:t>571 84</w:t>
            </w:r>
          </w:p>
        </w:tc>
        <w:tc>
          <w:tcPr>
            <w:tcW w:w="1481" w:type="dxa"/>
            <w:tcBorders>
              <w:top w:val="single" w:sz="4" w:space="0" w:color="auto"/>
              <w:left w:val="single" w:sz="4" w:space="0" w:color="auto"/>
              <w:bottom w:val="nil"/>
              <w:right w:val="single" w:sz="4" w:space="0" w:color="auto"/>
            </w:tcBorders>
          </w:tcPr>
          <w:p w:rsidR="00443EC1" w:rsidRDefault="00443EC1">
            <w:pPr>
              <w:spacing w:before="0" w:after="0" w:line="380" w:lineRule="exact"/>
              <w:ind w:firstLine="44"/>
              <w:jc w:val="both"/>
              <w:rPr>
                <w:rFonts w:hint="cs"/>
                <w:sz w:val="26"/>
                <w:szCs w:val="26"/>
                <w:lang w:val="fr-CH"/>
              </w:rPr>
            </w:pPr>
            <w:r>
              <w:rPr>
                <w:rFonts w:hint="cs"/>
                <w:sz w:val="26"/>
                <w:szCs w:val="26"/>
                <w:rtl/>
                <w:lang w:val="fr-CH"/>
              </w:rPr>
              <w:t>553 78</w:t>
            </w:r>
          </w:p>
        </w:tc>
        <w:tc>
          <w:tcPr>
            <w:tcW w:w="1260" w:type="dxa"/>
            <w:tcBorders>
              <w:top w:val="single" w:sz="4" w:space="0" w:color="auto"/>
              <w:left w:val="single" w:sz="4" w:space="0" w:color="auto"/>
              <w:bottom w:val="nil"/>
              <w:right w:val="single" w:sz="4" w:space="0" w:color="auto"/>
            </w:tcBorders>
          </w:tcPr>
          <w:p w:rsidR="00443EC1" w:rsidRDefault="00443EC1">
            <w:pPr>
              <w:spacing w:before="0" w:after="0" w:line="380" w:lineRule="exact"/>
              <w:ind w:firstLine="115"/>
              <w:jc w:val="both"/>
              <w:rPr>
                <w:rFonts w:hint="cs"/>
                <w:sz w:val="26"/>
                <w:szCs w:val="26"/>
                <w:lang w:val="fr-CH"/>
              </w:rPr>
            </w:pPr>
            <w:r>
              <w:rPr>
                <w:rFonts w:hint="cs"/>
                <w:sz w:val="26"/>
                <w:szCs w:val="26"/>
                <w:rtl/>
                <w:lang w:val="fr-CH"/>
              </w:rPr>
              <w:t>000 78</w:t>
            </w:r>
          </w:p>
        </w:tc>
      </w:tr>
      <w:tr w:rsidR="00443EC1" w:rsidTr="00443EC1">
        <w:trPr>
          <w:jc w:val="center"/>
        </w:trPr>
        <w:tc>
          <w:tcPr>
            <w:tcW w:w="3737" w:type="dxa"/>
            <w:tcBorders>
              <w:top w:val="nil"/>
              <w:left w:val="single" w:sz="4" w:space="0" w:color="auto"/>
              <w:bottom w:val="single" w:sz="4" w:space="0" w:color="auto"/>
              <w:right w:val="single" w:sz="4" w:space="0" w:color="auto"/>
            </w:tcBorders>
          </w:tcPr>
          <w:p w:rsidR="00443EC1" w:rsidRDefault="00443EC1">
            <w:pPr>
              <w:spacing w:before="0" w:after="0" w:line="380" w:lineRule="exact"/>
              <w:jc w:val="both"/>
              <w:rPr>
                <w:sz w:val="26"/>
                <w:szCs w:val="26"/>
                <w:lang w:val="fr-CH"/>
              </w:rPr>
            </w:pPr>
            <w:r>
              <w:rPr>
                <w:rFonts w:hint="eastAsia"/>
                <w:sz w:val="26"/>
                <w:szCs w:val="26"/>
                <w:rtl/>
                <w:lang w:val="fr-CH"/>
              </w:rPr>
              <w:t>إعانات</w:t>
            </w:r>
            <w:r>
              <w:rPr>
                <w:sz w:val="26"/>
                <w:szCs w:val="26"/>
                <w:rtl/>
                <w:lang w:val="fr-CH"/>
              </w:rPr>
              <w:t xml:space="preserve"> خاصة</w:t>
            </w:r>
          </w:p>
        </w:tc>
        <w:tc>
          <w:tcPr>
            <w:tcW w:w="1498" w:type="dxa"/>
            <w:tcBorders>
              <w:top w:val="nil"/>
              <w:left w:val="single" w:sz="4" w:space="0" w:color="auto"/>
              <w:bottom w:val="single" w:sz="4" w:space="0" w:color="auto"/>
              <w:right w:val="single" w:sz="4" w:space="0" w:color="auto"/>
            </w:tcBorders>
          </w:tcPr>
          <w:p w:rsidR="00443EC1" w:rsidRDefault="00443EC1">
            <w:pPr>
              <w:spacing w:before="0" w:after="0" w:line="380" w:lineRule="exact"/>
              <w:ind w:firstLine="72"/>
              <w:jc w:val="both"/>
              <w:rPr>
                <w:rFonts w:hint="cs"/>
                <w:sz w:val="26"/>
                <w:szCs w:val="26"/>
                <w:lang w:val="fr-CH"/>
              </w:rPr>
            </w:pPr>
            <w:r>
              <w:rPr>
                <w:rFonts w:hint="cs"/>
                <w:sz w:val="26"/>
                <w:szCs w:val="26"/>
                <w:rtl/>
                <w:lang w:val="fr-CH"/>
              </w:rPr>
              <w:t>-</w:t>
            </w:r>
          </w:p>
        </w:tc>
        <w:tc>
          <w:tcPr>
            <w:tcW w:w="1344" w:type="dxa"/>
            <w:tcBorders>
              <w:top w:val="nil"/>
              <w:left w:val="single" w:sz="4" w:space="0" w:color="auto"/>
              <w:bottom w:val="single" w:sz="4" w:space="0" w:color="auto"/>
              <w:right w:val="single" w:sz="4" w:space="0" w:color="auto"/>
            </w:tcBorders>
          </w:tcPr>
          <w:p w:rsidR="00443EC1" w:rsidRDefault="00443EC1">
            <w:pPr>
              <w:spacing w:before="0" w:after="0" w:line="380" w:lineRule="exact"/>
              <w:ind w:firstLine="72"/>
              <w:jc w:val="both"/>
              <w:rPr>
                <w:rFonts w:hint="cs"/>
                <w:sz w:val="26"/>
                <w:szCs w:val="26"/>
                <w:lang w:val="fr-CH"/>
              </w:rPr>
            </w:pPr>
            <w:r>
              <w:rPr>
                <w:rFonts w:hint="cs"/>
                <w:sz w:val="26"/>
                <w:szCs w:val="26"/>
                <w:rtl/>
                <w:lang w:val="fr-CH"/>
              </w:rPr>
              <w:t>000 12</w:t>
            </w:r>
          </w:p>
        </w:tc>
        <w:tc>
          <w:tcPr>
            <w:tcW w:w="1481" w:type="dxa"/>
            <w:tcBorders>
              <w:top w:val="nil"/>
              <w:left w:val="single" w:sz="4" w:space="0" w:color="auto"/>
              <w:bottom w:val="single" w:sz="4" w:space="0" w:color="auto"/>
              <w:right w:val="single" w:sz="4" w:space="0" w:color="auto"/>
            </w:tcBorders>
          </w:tcPr>
          <w:p w:rsidR="00443EC1" w:rsidRDefault="00443EC1">
            <w:pPr>
              <w:spacing w:before="0" w:after="0" w:line="380" w:lineRule="exact"/>
              <w:ind w:firstLine="44"/>
              <w:jc w:val="both"/>
              <w:rPr>
                <w:rFonts w:hint="cs"/>
                <w:sz w:val="26"/>
                <w:szCs w:val="26"/>
                <w:lang w:val="fr-CH"/>
              </w:rPr>
            </w:pPr>
            <w:r>
              <w:rPr>
                <w:rFonts w:hint="cs"/>
                <w:sz w:val="26"/>
                <w:szCs w:val="26"/>
                <w:rtl/>
                <w:lang w:val="fr-CH"/>
              </w:rPr>
              <w:t>540 122</w:t>
            </w:r>
          </w:p>
        </w:tc>
        <w:tc>
          <w:tcPr>
            <w:tcW w:w="1260" w:type="dxa"/>
            <w:tcBorders>
              <w:top w:val="nil"/>
              <w:left w:val="single" w:sz="4" w:space="0" w:color="auto"/>
              <w:bottom w:val="single" w:sz="4" w:space="0" w:color="auto"/>
              <w:right w:val="single" w:sz="4" w:space="0" w:color="auto"/>
            </w:tcBorders>
          </w:tcPr>
          <w:p w:rsidR="00443EC1" w:rsidRDefault="00443EC1">
            <w:pPr>
              <w:spacing w:before="0" w:after="0" w:line="380" w:lineRule="exact"/>
              <w:ind w:firstLine="115"/>
              <w:jc w:val="both"/>
              <w:rPr>
                <w:rFonts w:hint="cs"/>
                <w:sz w:val="26"/>
                <w:szCs w:val="26"/>
                <w:lang w:val="fr-CH"/>
              </w:rPr>
            </w:pPr>
            <w:r>
              <w:rPr>
                <w:rFonts w:hint="cs"/>
                <w:sz w:val="26"/>
                <w:szCs w:val="26"/>
                <w:rtl/>
                <w:lang w:val="fr-CH"/>
              </w:rPr>
              <w:t>372 224</w:t>
            </w:r>
          </w:p>
        </w:tc>
      </w:tr>
      <w:tr w:rsidR="00443EC1" w:rsidTr="00443EC1">
        <w:trPr>
          <w:jc w:val="center"/>
        </w:trPr>
        <w:tc>
          <w:tcPr>
            <w:tcW w:w="3737" w:type="dxa"/>
            <w:tcBorders>
              <w:top w:val="single" w:sz="4" w:space="0" w:color="auto"/>
              <w:left w:val="single" w:sz="4" w:space="0" w:color="auto"/>
              <w:bottom w:val="single" w:sz="4" w:space="0" w:color="auto"/>
              <w:right w:val="single" w:sz="4" w:space="0" w:color="auto"/>
            </w:tcBorders>
          </w:tcPr>
          <w:p w:rsidR="00443EC1" w:rsidRDefault="00443EC1">
            <w:pPr>
              <w:spacing w:before="0" w:after="0" w:line="380" w:lineRule="exact"/>
              <w:jc w:val="both"/>
              <w:rPr>
                <w:sz w:val="26"/>
                <w:szCs w:val="26"/>
                <w:lang w:val="fr-CH"/>
              </w:rPr>
            </w:pPr>
            <w:r>
              <w:rPr>
                <w:sz w:val="26"/>
                <w:szCs w:val="26"/>
                <w:rtl/>
                <w:lang w:val="fr-CH"/>
              </w:rPr>
              <w:tab/>
            </w:r>
            <w:r>
              <w:rPr>
                <w:rFonts w:hint="eastAsia"/>
                <w:sz w:val="26"/>
                <w:szCs w:val="26"/>
                <w:rtl/>
                <w:lang w:val="fr-CH"/>
              </w:rPr>
              <w:t>المجموع</w:t>
            </w:r>
          </w:p>
        </w:tc>
        <w:tc>
          <w:tcPr>
            <w:tcW w:w="1498" w:type="dxa"/>
            <w:tcBorders>
              <w:top w:val="single" w:sz="4" w:space="0" w:color="auto"/>
              <w:left w:val="single" w:sz="4" w:space="0" w:color="auto"/>
              <w:bottom w:val="single" w:sz="4" w:space="0" w:color="auto"/>
              <w:right w:val="single" w:sz="4" w:space="0" w:color="auto"/>
            </w:tcBorders>
          </w:tcPr>
          <w:p w:rsidR="00443EC1" w:rsidRDefault="00443EC1">
            <w:pPr>
              <w:spacing w:before="0" w:after="0" w:line="380" w:lineRule="exact"/>
              <w:ind w:firstLine="72"/>
              <w:jc w:val="both"/>
              <w:rPr>
                <w:rFonts w:hint="cs"/>
                <w:sz w:val="26"/>
                <w:szCs w:val="26"/>
                <w:lang w:val="fr-CH"/>
              </w:rPr>
            </w:pPr>
            <w:r>
              <w:rPr>
                <w:rFonts w:hint="cs"/>
                <w:sz w:val="26"/>
                <w:szCs w:val="26"/>
                <w:rtl/>
                <w:lang w:val="fr-CH"/>
              </w:rPr>
              <w:t>746 81</w:t>
            </w:r>
          </w:p>
        </w:tc>
        <w:tc>
          <w:tcPr>
            <w:tcW w:w="1344" w:type="dxa"/>
            <w:tcBorders>
              <w:top w:val="single" w:sz="4" w:space="0" w:color="auto"/>
              <w:left w:val="single" w:sz="4" w:space="0" w:color="auto"/>
              <w:bottom w:val="single" w:sz="4" w:space="0" w:color="auto"/>
              <w:right w:val="single" w:sz="4" w:space="0" w:color="auto"/>
            </w:tcBorders>
          </w:tcPr>
          <w:p w:rsidR="00443EC1" w:rsidRDefault="00443EC1">
            <w:pPr>
              <w:spacing w:before="0" w:after="0" w:line="380" w:lineRule="exact"/>
              <w:ind w:firstLine="72"/>
              <w:jc w:val="both"/>
              <w:rPr>
                <w:rFonts w:hint="cs"/>
                <w:sz w:val="26"/>
                <w:szCs w:val="26"/>
                <w:lang w:val="fr-CH"/>
              </w:rPr>
            </w:pPr>
            <w:r>
              <w:rPr>
                <w:rFonts w:hint="cs"/>
                <w:sz w:val="26"/>
                <w:szCs w:val="26"/>
                <w:rtl/>
                <w:lang w:val="fr-CH"/>
              </w:rPr>
              <w:t>571 96</w:t>
            </w:r>
          </w:p>
        </w:tc>
        <w:tc>
          <w:tcPr>
            <w:tcW w:w="1481" w:type="dxa"/>
            <w:tcBorders>
              <w:top w:val="single" w:sz="4" w:space="0" w:color="auto"/>
              <w:left w:val="single" w:sz="4" w:space="0" w:color="auto"/>
              <w:bottom w:val="single" w:sz="4" w:space="0" w:color="auto"/>
              <w:right w:val="single" w:sz="4" w:space="0" w:color="auto"/>
            </w:tcBorders>
          </w:tcPr>
          <w:p w:rsidR="00443EC1" w:rsidRDefault="00443EC1">
            <w:pPr>
              <w:spacing w:before="0" w:after="0" w:line="380" w:lineRule="exact"/>
              <w:ind w:firstLine="44"/>
              <w:jc w:val="both"/>
              <w:rPr>
                <w:rFonts w:hint="cs"/>
                <w:sz w:val="26"/>
                <w:szCs w:val="26"/>
                <w:lang w:val="fr-CH"/>
              </w:rPr>
            </w:pPr>
            <w:r>
              <w:rPr>
                <w:rFonts w:hint="cs"/>
                <w:sz w:val="26"/>
                <w:szCs w:val="26"/>
                <w:rtl/>
                <w:lang w:val="fr-CH"/>
              </w:rPr>
              <w:t>093 201</w:t>
            </w:r>
          </w:p>
        </w:tc>
        <w:tc>
          <w:tcPr>
            <w:tcW w:w="1260" w:type="dxa"/>
            <w:tcBorders>
              <w:top w:val="single" w:sz="4" w:space="0" w:color="auto"/>
              <w:left w:val="single" w:sz="4" w:space="0" w:color="auto"/>
              <w:bottom w:val="single" w:sz="4" w:space="0" w:color="auto"/>
              <w:right w:val="single" w:sz="4" w:space="0" w:color="auto"/>
            </w:tcBorders>
          </w:tcPr>
          <w:p w:rsidR="00443EC1" w:rsidRDefault="00443EC1">
            <w:pPr>
              <w:spacing w:before="0" w:after="0" w:line="380" w:lineRule="exact"/>
              <w:ind w:firstLine="115"/>
              <w:jc w:val="both"/>
              <w:rPr>
                <w:rFonts w:hint="cs"/>
                <w:sz w:val="26"/>
                <w:szCs w:val="26"/>
                <w:lang w:val="fr-CH"/>
              </w:rPr>
            </w:pPr>
            <w:r>
              <w:rPr>
                <w:rFonts w:hint="cs"/>
                <w:sz w:val="26"/>
                <w:szCs w:val="26"/>
                <w:rtl/>
                <w:lang w:val="fr-CH"/>
              </w:rPr>
              <w:t>372 302</w:t>
            </w:r>
          </w:p>
        </w:tc>
      </w:tr>
    </w:tbl>
    <w:p w:rsidR="00000000" w:rsidRDefault="00443EC1">
      <w:pPr>
        <w:spacing w:before="0" w:after="0" w:line="380" w:lineRule="exact"/>
        <w:ind w:left="-6" w:firstLine="180"/>
        <w:jc w:val="both"/>
        <w:rPr>
          <w:sz w:val="32"/>
          <w:rtl/>
          <w:lang w:val="fr-CH"/>
        </w:rPr>
      </w:pPr>
      <w:r>
        <w:rPr>
          <w:rFonts w:hint="cs"/>
          <w:i/>
          <w:iCs/>
          <w:sz w:val="32"/>
          <w:rtl/>
          <w:lang w:val="fr-CH"/>
        </w:rPr>
        <w:tab/>
      </w:r>
      <w:r>
        <w:rPr>
          <w:rFonts w:hint="eastAsia"/>
          <w:i/>
          <w:iCs/>
          <w:sz w:val="32"/>
          <w:rtl/>
          <w:lang w:val="fr-CH"/>
        </w:rPr>
        <w:t>المصدر</w:t>
      </w:r>
      <w:r>
        <w:rPr>
          <w:sz w:val="32"/>
          <w:rtl/>
          <w:lang w:val="fr-CH"/>
        </w:rPr>
        <w:t>:</w:t>
      </w:r>
      <w:r>
        <w:rPr>
          <w:rFonts w:hint="cs"/>
          <w:sz w:val="32"/>
          <w:rtl/>
          <w:lang w:val="fr-CH"/>
        </w:rPr>
        <w:t xml:space="preserve"> </w:t>
      </w:r>
      <w:r>
        <w:rPr>
          <w:rFonts w:hint="eastAsia"/>
          <w:sz w:val="32"/>
          <w:rtl/>
          <w:lang w:val="fr-CH"/>
        </w:rPr>
        <w:t>وزارة</w:t>
      </w:r>
      <w:r>
        <w:rPr>
          <w:sz w:val="32"/>
          <w:rtl/>
          <w:lang w:val="fr-CH"/>
        </w:rPr>
        <w:t xml:space="preserve"> المالية، 2003.</w:t>
      </w:r>
    </w:p>
    <w:p w:rsidR="00000000" w:rsidRDefault="00443EC1">
      <w:pPr>
        <w:spacing w:line="380" w:lineRule="exact"/>
        <w:jc w:val="center"/>
        <w:rPr>
          <w:b/>
          <w:bCs/>
          <w:rtl/>
        </w:rPr>
      </w:pPr>
      <w:r>
        <w:rPr>
          <w:rFonts w:hint="eastAsia"/>
          <w:b/>
          <w:bCs/>
          <w:rtl/>
        </w:rPr>
        <w:t>دال</w:t>
      </w:r>
      <w:r>
        <w:rPr>
          <w:b/>
          <w:bCs/>
          <w:rtl/>
        </w:rPr>
        <w:t xml:space="preserve"> - ترتيبات تكميلية لخطط الضمان الاجتماعي العامة</w:t>
      </w:r>
    </w:p>
    <w:p w:rsidR="00000000" w:rsidRDefault="00443EC1">
      <w:pPr>
        <w:spacing w:line="380" w:lineRule="exact"/>
        <w:jc w:val="both"/>
        <w:rPr>
          <w:b/>
          <w:rtl/>
        </w:rPr>
      </w:pPr>
      <w:r>
        <w:rPr>
          <w:b/>
          <w:rtl/>
        </w:rPr>
        <w:t>917-</w:t>
      </w:r>
      <w:r>
        <w:rPr>
          <w:b/>
          <w:rtl/>
        </w:rPr>
        <w:tab/>
      </w:r>
      <w:r>
        <w:rPr>
          <w:rFonts w:hint="eastAsia"/>
          <w:b/>
          <w:rtl/>
        </w:rPr>
        <w:t>يوفر</w:t>
      </w:r>
      <w:r>
        <w:rPr>
          <w:b/>
          <w:rtl/>
        </w:rPr>
        <w:t xml:space="preserve"> صندوق الضمان الاجتماعي خطط ضمان اجتماعي </w:t>
      </w:r>
      <w:r>
        <w:rPr>
          <w:rFonts w:hint="eastAsia"/>
          <w:b/>
          <w:rtl/>
        </w:rPr>
        <w:t>لفائدة</w:t>
      </w:r>
      <w:r>
        <w:rPr>
          <w:b/>
          <w:rtl/>
        </w:rPr>
        <w:t xml:space="preserve"> العاملين. ورغم ذلك، فإنه بإمكان أصحاب العم</w:t>
      </w:r>
      <w:r>
        <w:rPr>
          <w:b/>
          <w:rtl/>
        </w:rPr>
        <w:t xml:space="preserve">ل أيضاً </w:t>
      </w:r>
      <w:r>
        <w:rPr>
          <w:rFonts w:hint="cs"/>
          <w:b/>
          <w:rtl/>
        </w:rPr>
        <w:t>أن</w:t>
      </w:r>
      <w:r>
        <w:rPr>
          <w:b/>
          <w:rtl/>
        </w:rPr>
        <w:t xml:space="preserve"> ينشئوا صناديق </w:t>
      </w:r>
      <w:r>
        <w:rPr>
          <w:rFonts w:hint="eastAsia"/>
          <w:b/>
          <w:rtl/>
        </w:rPr>
        <w:t>الادخار</w:t>
      </w:r>
      <w:r>
        <w:rPr>
          <w:b/>
          <w:rtl/>
        </w:rPr>
        <w:t xml:space="preserve"> الخاصة بهم لفائدة </w:t>
      </w:r>
      <w:r>
        <w:rPr>
          <w:rFonts w:hint="cs"/>
          <w:b/>
          <w:rtl/>
        </w:rPr>
        <w:t>ال</w:t>
      </w:r>
      <w:r>
        <w:rPr>
          <w:b/>
          <w:rtl/>
        </w:rPr>
        <w:t>عاملي</w:t>
      </w:r>
      <w:r>
        <w:rPr>
          <w:rFonts w:hint="cs"/>
          <w:b/>
          <w:rtl/>
        </w:rPr>
        <w:t>ن لديهم</w:t>
      </w:r>
      <w:r>
        <w:rPr>
          <w:b/>
          <w:rtl/>
        </w:rPr>
        <w:t xml:space="preserve"> (</w:t>
      </w:r>
      <w:r>
        <w:rPr>
          <w:rFonts w:hint="cs"/>
          <w:b/>
          <w:rtl/>
        </w:rPr>
        <w:t>المرسوم بقان</w:t>
      </w:r>
      <w:r>
        <w:rPr>
          <w:b/>
          <w:rtl/>
        </w:rPr>
        <w:t xml:space="preserve">ون 6/99/م المؤرخ 8 شباط/فبراير </w:t>
      </w:r>
      <w:r>
        <w:rPr>
          <w:rFonts w:hint="eastAsia"/>
          <w:b/>
          <w:rtl/>
        </w:rPr>
        <w:t>بصيغته</w:t>
      </w:r>
      <w:r>
        <w:rPr>
          <w:b/>
          <w:rtl/>
        </w:rPr>
        <w:t xml:space="preserve"> المنقحة بالقانون 10/2002 المؤرخ 2 تموز/يوليه). ومن جهة أخرى، يمكن </w:t>
      </w:r>
      <w:r>
        <w:rPr>
          <w:rFonts w:hint="eastAsia"/>
          <w:b/>
          <w:rtl/>
        </w:rPr>
        <w:t>للعاملين</w:t>
      </w:r>
      <w:r>
        <w:rPr>
          <w:b/>
          <w:rtl/>
        </w:rPr>
        <w:t xml:space="preserve"> أن يختاروا شراء خطط معاش تقاعدي من شركات التأمين لتمديد تغطية </w:t>
      </w:r>
      <w:r>
        <w:rPr>
          <w:rFonts w:hint="eastAsia"/>
          <w:b/>
          <w:rtl/>
        </w:rPr>
        <w:t>اس</w:t>
      </w:r>
      <w:r>
        <w:rPr>
          <w:rFonts w:hint="eastAsia"/>
          <w:b/>
          <w:rtl/>
        </w:rPr>
        <w:t>تحقاقاتهم</w:t>
      </w:r>
      <w:r>
        <w:rPr>
          <w:b/>
          <w:rtl/>
        </w:rPr>
        <w:t>.</w:t>
      </w:r>
    </w:p>
    <w:p w:rsidR="00000000" w:rsidRDefault="00443EC1">
      <w:pPr>
        <w:spacing w:line="380" w:lineRule="exact"/>
        <w:jc w:val="center"/>
        <w:rPr>
          <w:b/>
          <w:bCs/>
          <w:rtl/>
        </w:rPr>
      </w:pPr>
      <w:r>
        <w:rPr>
          <w:rFonts w:hint="eastAsia"/>
          <w:b/>
          <w:bCs/>
          <w:rtl/>
        </w:rPr>
        <w:t>هاء</w:t>
      </w:r>
      <w:r>
        <w:rPr>
          <w:b/>
          <w:bCs/>
          <w:rtl/>
        </w:rPr>
        <w:t xml:space="preserve"> - عدم التمتع بالحق في الضمان الاجتماعي</w:t>
      </w:r>
    </w:p>
    <w:p w:rsidR="00000000" w:rsidRDefault="00443EC1">
      <w:pPr>
        <w:spacing w:line="380" w:lineRule="exact"/>
        <w:jc w:val="both"/>
        <w:rPr>
          <w:rtl/>
        </w:rPr>
      </w:pPr>
      <w:r>
        <w:rPr>
          <w:rtl/>
        </w:rPr>
        <w:t>918-</w:t>
      </w:r>
      <w:r>
        <w:rPr>
          <w:rtl/>
        </w:rPr>
        <w:tab/>
      </w:r>
      <w:r>
        <w:rPr>
          <w:rFonts w:hint="eastAsia"/>
          <w:rtl/>
        </w:rPr>
        <w:t>استحقاقات</w:t>
      </w:r>
      <w:r>
        <w:rPr>
          <w:rtl/>
        </w:rPr>
        <w:t xml:space="preserve"> </w:t>
      </w:r>
      <w:r>
        <w:rPr>
          <w:rFonts w:hint="eastAsia"/>
          <w:rtl/>
        </w:rPr>
        <w:t>الضمان</w:t>
      </w:r>
      <w:r>
        <w:rPr>
          <w:rtl/>
        </w:rPr>
        <w:t xml:space="preserve"> الاجتماعي متوفرة لجميع المقيمين في مقاطعة ماكاو وهي خالية من أي تمييز </w:t>
      </w:r>
      <w:r>
        <w:rPr>
          <w:rFonts w:hint="eastAsia"/>
          <w:rtl/>
        </w:rPr>
        <w:t>على</w:t>
      </w:r>
      <w:r>
        <w:rPr>
          <w:rtl/>
        </w:rPr>
        <w:t xml:space="preserve"> أساس نوع الجنس أو العرق.</w:t>
      </w:r>
    </w:p>
    <w:p w:rsidR="00000000" w:rsidRDefault="00443EC1">
      <w:pPr>
        <w:spacing w:line="380" w:lineRule="exact"/>
        <w:jc w:val="both"/>
        <w:rPr>
          <w:rFonts w:hint="cs"/>
          <w:rtl/>
        </w:rPr>
      </w:pPr>
      <w:r>
        <w:rPr>
          <w:rtl/>
        </w:rPr>
        <w:t>919-</w:t>
      </w:r>
      <w:r>
        <w:rPr>
          <w:rtl/>
        </w:rPr>
        <w:tab/>
      </w:r>
      <w:r>
        <w:rPr>
          <w:rFonts w:hint="eastAsia"/>
          <w:rtl/>
        </w:rPr>
        <w:t>والاشتراك</w:t>
      </w:r>
      <w:r>
        <w:rPr>
          <w:rtl/>
        </w:rPr>
        <w:t xml:space="preserve"> </w:t>
      </w:r>
      <w:r>
        <w:rPr>
          <w:rFonts w:hint="eastAsia"/>
          <w:rtl/>
        </w:rPr>
        <w:t>في</w:t>
      </w:r>
      <w:r>
        <w:rPr>
          <w:rtl/>
        </w:rPr>
        <w:t xml:space="preserve"> صندوق الضمان الاجتماعي إجباري لجميع العمال في القطاع العام غير </w:t>
      </w:r>
      <w:r>
        <w:rPr>
          <w:rtl/>
        </w:rPr>
        <w:t xml:space="preserve">المسجلين في </w:t>
      </w:r>
      <w:r>
        <w:rPr>
          <w:rFonts w:hint="eastAsia"/>
          <w:rtl/>
        </w:rPr>
        <w:t>صندوق</w:t>
      </w:r>
      <w:r>
        <w:rPr>
          <w:rtl/>
        </w:rPr>
        <w:t xml:space="preserve"> المعاشات التقاعدية لماكاو (</w:t>
      </w:r>
      <w:r>
        <w:rPr>
          <w:rFonts w:hint="cs"/>
          <w:rtl/>
        </w:rPr>
        <w:t>المادة 259</w:t>
      </w:r>
      <w:r>
        <w:rPr>
          <w:rtl/>
        </w:rPr>
        <w:t>(9)</w:t>
      </w:r>
      <w:r>
        <w:rPr>
          <w:rFonts w:hint="cs"/>
          <w:rtl/>
        </w:rPr>
        <w:t xml:space="preserve"> من </w:t>
      </w:r>
      <w:r>
        <w:rPr>
          <w:rFonts w:hint="eastAsia"/>
          <w:rtl/>
        </w:rPr>
        <w:t>قانون</w:t>
      </w:r>
      <w:r>
        <w:t xml:space="preserve"> </w:t>
      </w:r>
      <w:r>
        <w:rPr>
          <w:rtl/>
        </w:rPr>
        <w:t xml:space="preserve">موظفي الإدارة </w:t>
      </w:r>
      <w:r>
        <w:rPr>
          <w:rFonts w:hint="eastAsia"/>
          <w:rtl/>
        </w:rPr>
        <w:t>العامة</w:t>
      </w:r>
      <w:r>
        <w:rPr>
          <w:rFonts w:hint="cs"/>
          <w:rtl/>
        </w:rPr>
        <w:t>).</w:t>
      </w:r>
    </w:p>
    <w:p w:rsidR="00000000" w:rsidRDefault="00443EC1">
      <w:pPr>
        <w:spacing w:line="380" w:lineRule="exact"/>
        <w:jc w:val="both"/>
        <w:rPr>
          <w:rtl/>
        </w:rPr>
      </w:pPr>
      <w:r>
        <w:rPr>
          <w:rtl/>
        </w:rPr>
        <w:t>920-</w:t>
      </w:r>
      <w:r>
        <w:rPr>
          <w:rtl/>
        </w:rPr>
        <w:tab/>
      </w:r>
      <w:r>
        <w:rPr>
          <w:rFonts w:hint="eastAsia"/>
          <w:rtl/>
        </w:rPr>
        <w:t>وبموجب</w:t>
      </w:r>
      <w:r>
        <w:rPr>
          <w:rtl/>
        </w:rPr>
        <w:t xml:space="preserve"> </w:t>
      </w:r>
      <w:r>
        <w:rPr>
          <w:rFonts w:hint="eastAsia"/>
          <w:rtl/>
        </w:rPr>
        <w:t>أمر</w:t>
      </w:r>
      <w:r>
        <w:rPr>
          <w:rFonts w:hint="cs"/>
          <w:rtl/>
        </w:rPr>
        <w:t xml:space="preserve"> صادر عن</w:t>
      </w:r>
      <w:r>
        <w:rPr>
          <w:rtl/>
        </w:rPr>
        <w:t xml:space="preserve"> رئيس السلطة التنفيذية 227/2002 المؤرخ 15 تشرين الأول/أكتوبر، </w:t>
      </w:r>
      <w:r>
        <w:rPr>
          <w:rFonts w:hint="cs"/>
          <w:rtl/>
        </w:rPr>
        <w:t xml:space="preserve">تم توسيع </w:t>
      </w:r>
      <w:r>
        <w:rPr>
          <w:rtl/>
        </w:rPr>
        <w:t xml:space="preserve">خطة </w:t>
      </w:r>
      <w:r>
        <w:rPr>
          <w:rFonts w:hint="eastAsia"/>
          <w:rtl/>
        </w:rPr>
        <w:t>الضمان</w:t>
      </w:r>
      <w:r>
        <w:rPr>
          <w:rtl/>
        </w:rPr>
        <w:t xml:space="preserve"> الاجتماعي لتشمل العاملين لحسابهم </w:t>
      </w:r>
      <w:r>
        <w:rPr>
          <w:rFonts w:hint="cs"/>
          <w:rtl/>
        </w:rPr>
        <w:t>الخاص توخيا</w:t>
      </w:r>
      <w:r>
        <w:rPr>
          <w:rtl/>
        </w:rPr>
        <w:t xml:space="preserve"> </w:t>
      </w:r>
      <w:r>
        <w:rPr>
          <w:rFonts w:hint="cs"/>
          <w:rtl/>
        </w:rPr>
        <w:t>ل</w:t>
      </w:r>
      <w:r>
        <w:rPr>
          <w:rtl/>
        </w:rPr>
        <w:t>تحقيق هدف مقاط</w:t>
      </w:r>
      <w:r>
        <w:rPr>
          <w:rtl/>
        </w:rPr>
        <w:t xml:space="preserve">عة ماكاو </w:t>
      </w:r>
      <w:r>
        <w:rPr>
          <w:rFonts w:hint="eastAsia"/>
          <w:rtl/>
        </w:rPr>
        <w:t>القاضي</w:t>
      </w:r>
      <w:r>
        <w:rPr>
          <w:rtl/>
        </w:rPr>
        <w:t xml:space="preserve"> بتوفير </w:t>
      </w:r>
      <w:r>
        <w:rPr>
          <w:rFonts w:hint="cs"/>
          <w:rtl/>
        </w:rPr>
        <w:t>المنافع</w:t>
      </w:r>
      <w:r>
        <w:rPr>
          <w:rtl/>
        </w:rPr>
        <w:t xml:space="preserve"> لجميع العاملين والعاملين لحسابهم</w:t>
      </w:r>
      <w:r>
        <w:rPr>
          <w:rFonts w:hint="cs"/>
          <w:rtl/>
        </w:rPr>
        <w:t xml:space="preserve"> الخاص</w:t>
      </w:r>
      <w:r>
        <w:rPr>
          <w:rtl/>
        </w:rPr>
        <w:t>.</w:t>
      </w:r>
    </w:p>
    <w:p w:rsidR="00000000" w:rsidRDefault="00443EC1">
      <w:pPr>
        <w:spacing w:line="380" w:lineRule="exact"/>
        <w:jc w:val="center"/>
        <w:rPr>
          <w:b/>
          <w:bCs/>
          <w:sz w:val="32"/>
          <w:rtl/>
        </w:rPr>
      </w:pPr>
      <w:r>
        <w:rPr>
          <w:rFonts w:hint="eastAsia"/>
          <w:b/>
          <w:bCs/>
          <w:sz w:val="32"/>
          <w:rtl/>
        </w:rPr>
        <w:t>المادة</w:t>
      </w:r>
      <w:r>
        <w:rPr>
          <w:b/>
          <w:bCs/>
          <w:sz w:val="32"/>
          <w:rtl/>
        </w:rPr>
        <w:t xml:space="preserve"> 10</w:t>
      </w:r>
    </w:p>
    <w:p w:rsidR="00000000" w:rsidRDefault="00443EC1">
      <w:pPr>
        <w:spacing w:line="380" w:lineRule="exact"/>
        <w:jc w:val="center"/>
        <w:rPr>
          <w:b/>
          <w:bCs/>
          <w:rtl/>
        </w:rPr>
      </w:pPr>
      <w:r>
        <w:rPr>
          <w:rFonts w:hint="eastAsia"/>
          <w:b/>
          <w:bCs/>
          <w:rtl/>
        </w:rPr>
        <w:t>حماية</w:t>
      </w:r>
      <w:r>
        <w:rPr>
          <w:b/>
          <w:bCs/>
          <w:rtl/>
        </w:rPr>
        <w:t xml:space="preserve"> </w:t>
      </w:r>
      <w:r>
        <w:rPr>
          <w:rFonts w:hint="eastAsia"/>
          <w:b/>
          <w:bCs/>
          <w:rtl/>
        </w:rPr>
        <w:t>الأسرة</w:t>
      </w:r>
    </w:p>
    <w:p w:rsidR="00000000" w:rsidRDefault="00443EC1">
      <w:pPr>
        <w:spacing w:line="380" w:lineRule="exact"/>
        <w:jc w:val="center"/>
        <w:rPr>
          <w:b/>
          <w:bCs/>
          <w:rtl/>
        </w:rPr>
      </w:pPr>
      <w:r>
        <w:rPr>
          <w:rFonts w:hint="eastAsia"/>
          <w:b/>
          <w:bCs/>
          <w:rtl/>
        </w:rPr>
        <w:t>ألف</w:t>
      </w:r>
      <w:r>
        <w:rPr>
          <w:b/>
          <w:bCs/>
          <w:rtl/>
        </w:rPr>
        <w:t xml:space="preserve"> - الإطار القانوني</w:t>
      </w:r>
    </w:p>
    <w:p w:rsidR="00000000" w:rsidRDefault="00443EC1">
      <w:pPr>
        <w:spacing w:line="380" w:lineRule="exact"/>
        <w:jc w:val="both"/>
        <w:rPr>
          <w:rtl/>
        </w:rPr>
      </w:pPr>
      <w:r>
        <w:rPr>
          <w:rtl/>
        </w:rPr>
        <w:t>921-</w:t>
      </w:r>
      <w:r>
        <w:rPr>
          <w:rtl/>
        </w:rPr>
        <w:tab/>
      </w:r>
      <w:r>
        <w:rPr>
          <w:rFonts w:hint="eastAsia"/>
          <w:rtl/>
        </w:rPr>
        <w:t>تعتبر</w:t>
      </w:r>
      <w:r>
        <w:rPr>
          <w:rtl/>
        </w:rPr>
        <w:t xml:space="preserve"> </w:t>
      </w:r>
      <w:r>
        <w:rPr>
          <w:rFonts w:hint="eastAsia"/>
          <w:rtl/>
        </w:rPr>
        <w:t>الأسرة،</w:t>
      </w:r>
      <w:r>
        <w:rPr>
          <w:rtl/>
        </w:rPr>
        <w:t xml:space="preserve"> في مقاطعة ماكاو، الوحدة الأساسية في المجتمع. ويعتبر الرجال والنساء </w:t>
      </w:r>
      <w:r>
        <w:rPr>
          <w:rFonts w:hint="eastAsia"/>
          <w:rtl/>
        </w:rPr>
        <w:t>متساوين</w:t>
      </w:r>
      <w:r>
        <w:rPr>
          <w:rtl/>
        </w:rPr>
        <w:t xml:space="preserve"> في </w:t>
      </w:r>
      <w:r>
        <w:rPr>
          <w:rFonts w:hint="cs"/>
          <w:rtl/>
        </w:rPr>
        <w:t xml:space="preserve">إقامة </w:t>
      </w:r>
      <w:r>
        <w:rPr>
          <w:rtl/>
        </w:rPr>
        <w:t>الزواج ولهم الحق في أن يعقدوه برضاء ا</w:t>
      </w:r>
      <w:r>
        <w:rPr>
          <w:rtl/>
        </w:rPr>
        <w:t xml:space="preserve">لطرفين وموافقتهما. وتشكل </w:t>
      </w:r>
      <w:r>
        <w:rPr>
          <w:rFonts w:hint="eastAsia"/>
          <w:rtl/>
        </w:rPr>
        <w:t>الأمومة</w:t>
      </w:r>
      <w:r>
        <w:rPr>
          <w:rtl/>
        </w:rPr>
        <w:t xml:space="preserve"> والأبوة </w:t>
      </w:r>
      <w:r>
        <w:rPr>
          <w:rFonts w:hint="cs"/>
          <w:rtl/>
        </w:rPr>
        <w:t xml:space="preserve">قيمتين من بشريتين واجتماعيتين </w:t>
      </w:r>
      <w:r>
        <w:rPr>
          <w:rtl/>
        </w:rPr>
        <w:t>ينص القانون على احترامه</w:t>
      </w:r>
      <w:r>
        <w:rPr>
          <w:rFonts w:hint="cs"/>
          <w:rtl/>
        </w:rPr>
        <w:t>م</w:t>
      </w:r>
      <w:r>
        <w:rPr>
          <w:rtl/>
        </w:rPr>
        <w:t>ا وضمانه</w:t>
      </w:r>
      <w:r>
        <w:rPr>
          <w:rFonts w:hint="cs"/>
          <w:rtl/>
        </w:rPr>
        <w:t>م</w:t>
      </w:r>
      <w:r>
        <w:rPr>
          <w:rtl/>
        </w:rPr>
        <w:t>ا.</w:t>
      </w:r>
    </w:p>
    <w:p w:rsidR="00000000" w:rsidRDefault="00443EC1">
      <w:pPr>
        <w:spacing w:line="380" w:lineRule="exact"/>
        <w:jc w:val="both"/>
        <w:rPr>
          <w:rtl/>
        </w:rPr>
      </w:pPr>
      <w:r>
        <w:rPr>
          <w:rtl/>
        </w:rPr>
        <w:t>922-</w:t>
      </w:r>
      <w:r>
        <w:rPr>
          <w:rtl/>
        </w:rPr>
        <w:tab/>
      </w:r>
      <w:r>
        <w:rPr>
          <w:rFonts w:hint="eastAsia"/>
          <w:rtl/>
        </w:rPr>
        <w:t>وتنص</w:t>
      </w:r>
      <w:r>
        <w:rPr>
          <w:rtl/>
        </w:rPr>
        <w:t xml:space="preserve"> </w:t>
      </w:r>
      <w:r>
        <w:rPr>
          <w:rFonts w:hint="eastAsia"/>
          <w:rtl/>
        </w:rPr>
        <w:t>المادة</w:t>
      </w:r>
      <w:r>
        <w:rPr>
          <w:rtl/>
        </w:rPr>
        <w:t xml:space="preserve"> 38(1) من القانون الأساسي على حرية عقد الزواج بين المقيمين و</w:t>
      </w:r>
      <w:r>
        <w:rPr>
          <w:rFonts w:hint="cs"/>
          <w:rtl/>
        </w:rPr>
        <w:t xml:space="preserve">على </w:t>
      </w:r>
      <w:r>
        <w:rPr>
          <w:rtl/>
        </w:rPr>
        <w:t xml:space="preserve">حقهم في حرية </w:t>
      </w:r>
      <w:r>
        <w:rPr>
          <w:rFonts w:hint="eastAsia"/>
          <w:rtl/>
        </w:rPr>
        <w:t>تكوين</w:t>
      </w:r>
      <w:r>
        <w:rPr>
          <w:rtl/>
        </w:rPr>
        <w:t xml:space="preserve"> أسرة. ومن جهة أخرى، تقضي المادة </w:t>
      </w:r>
      <w:r>
        <w:rPr>
          <w:rFonts w:hint="cs"/>
          <w:rtl/>
        </w:rPr>
        <w:t>103</w:t>
      </w:r>
      <w:r>
        <w:rPr>
          <w:rtl/>
        </w:rPr>
        <w:t xml:space="preserve"> بمنح الأفراد و</w:t>
      </w:r>
      <w:r>
        <w:rPr>
          <w:rtl/>
        </w:rPr>
        <w:t xml:space="preserve">الأشخاص </w:t>
      </w:r>
      <w:r>
        <w:rPr>
          <w:rFonts w:hint="cs"/>
          <w:rtl/>
        </w:rPr>
        <w:t>الاعتباريين</w:t>
      </w:r>
      <w:r>
        <w:rPr>
          <w:rtl/>
        </w:rPr>
        <w:t xml:space="preserve"> الحق </w:t>
      </w:r>
      <w:r>
        <w:rPr>
          <w:rFonts w:hint="eastAsia"/>
          <w:rtl/>
        </w:rPr>
        <w:t>في</w:t>
      </w:r>
      <w:r>
        <w:rPr>
          <w:rtl/>
        </w:rPr>
        <w:t xml:space="preserve"> اكتساب الملكية والاستفادة منها </w:t>
      </w:r>
      <w:r>
        <w:rPr>
          <w:rFonts w:hint="cs"/>
          <w:rtl/>
        </w:rPr>
        <w:t xml:space="preserve">والتفويت فيها </w:t>
      </w:r>
      <w:r>
        <w:rPr>
          <w:rtl/>
        </w:rPr>
        <w:t>وإرثها.</w:t>
      </w:r>
    </w:p>
    <w:p w:rsidR="00000000" w:rsidRDefault="00443EC1">
      <w:pPr>
        <w:spacing w:line="380" w:lineRule="exact"/>
        <w:jc w:val="both"/>
      </w:pPr>
      <w:r>
        <w:rPr>
          <w:rtl/>
        </w:rPr>
        <w:t>923-</w:t>
      </w:r>
      <w:r>
        <w:rPr>
          <w:rtl/>
        </w:rPr>
        <w:tab/>
      </w:r>
      <w:r>
        <w:rPr>
          <w:rFonts w:hint="eastAsia"/>
          <w:rtl/>
        </w:rPr>
        <w:t>وينظم</w:t>
      </w:r>
      <w:r>
        <w:rPr>
          <w:rtl/>
        </w:rPr>
        <w:t xml:space="preserve"> القانون </w:t>
      </w:r>
      <w:r>
        <w:rPr>
          <w:rFonts w:hint="cs"/>
          <w:rtl/>
        </w:rPr>
        <w:t xml:space="preserve">بشأن </w:t>
      </w:r>
      <w:r>
        <w:rPr>
          <w:rFonts w:hint="eastAsia"/>
          <w:rtl/>
        </w:rPr>
        <w:t>الإطار</w:t>
      </w:r>
      <w:r>
        <w:rPr>
          <w:rtl/>
        </w:rPr>
        <w:t xml:space="preserve"> القانوني لسياسات الأسرة، وهو القانون 6/49/م المؤرخ 1 آب/أغسطس، الإطار </w:t>
      </w:r>
      <w:r>
        <w:rPr>
          <w:rFonts w:hint="eastAsia"/>
          <w:rtl/>
        </w:rPr>
        <w:t>الأساسي</w:t>
      </w:r>
      <w:r>
        <w:rPr>
          <w:rtl/>
        </w:rPr>
        <w:t xml:space="preserve"> لتلك السياسات، في حين ينظم القانون المدني لمقاطعة م</w:t>
      </w:r>
      <w:r>
        <w:rPr>
          <w:rFonts w:hint="cs"/>
          <w:rtl/>
        </w:rPr>
        <w:t>ا</w:t>
      </w:r>
      <w:r>
        <w:rPr>
          <w:rtl/>
        </w:rPr>
        <w:t>كاو حقوق الأسر</w:t>
      </w:r>
      <w:r>
        <w:rPr>
          <w:rtl/>
        </w:rPr>
        <w:t xml:space="preserve">ة. </w:t>
      </w:r>
      <w:r>
        <w:rPr>
          <w:rFonts w:hint="eastAsia"/>
          <w:rtl/>
        </w:rPr>
        <w:t>ويجدد</w:t>
      </w:r>
      <w:r>
        <w:rPr>
          <w:rtl/>
        </w:rPr>
        <w:t xml:space="preserve"> كلا القانونين الحق في تكوين أسرة وفي عقد الزواج في ظل المساواة </w:t>
      </w:r>
      <w:r>
        <w:rPr>
          <w:rFonts w:hint="cs"/>
          <w:rtl/>
        </w:rPr>
        <w:t>الكاملة</w:t>
      </w:r>
      <w:r>
        <w:rPr>
          <w:rtl/>
        </w:rPr>
        <w:t>.</w:t>
      </w:r>
    </w:p>
    <w:p w:rsidR="00000000" w:rsidRDefault="00443EC1">
      <w:pPr>
        <w:spacing w:line="380" w:lineRule="exact"/>
        <w:jc w:val="both"/>
        <w:rPr>
          <w:rtl/>
        </w:rPr>
      </w:pPr>
      <w:r>
        <w:rPr>
          <w:rtl/>
        </w:rPr>
        <w:t>924-</w:t>
      </w:r>
      <w:r>
        <w:rPr>
          <w:rtl/>
        </w:rPr>
        <w:tab/>
      </w:r>
      <w:r>
        <w:rPr>
          <w:rFonts w:hint="eastAsia"/>
          <w:rtl/>
        </w:rPr>
        <w:t>واستناداً</w:t>
      </w:r>
      <w:r>
        <w:rPr>
          <w:rtl/>
        </w:rPr>
        <w:t xml:space="preserve"> </w:t>
      </w:r>
      <w:r>
        <w:rPr>
          <w:rFonts w:hint="eastAsia"/>
          <w:rtl/>
        </w:rPr>
        <w:t>إلى</w:t>
      </w:r>
      <w:r>
        <w:rPr>
          <w:rtl/>
        </w:rPr>
        <w:t xml:space="preserve"> الإطار القانوني لسياسات الأسرة فإن أهداف تلك السياسات هي ما يلي: (أ) ضمان </w:t>
      </w:r>
      <w:r>
        <w:rPr>
          <w:rFonts w:hint="eastAsia"/>
          <w:rtl/>
        </w:rPr>
        <w:t>الحق</w:t>
      </w:r>
      <w:r>
        <w:rPr>
          <w:rtl/>
        </w:rPr>
        <w:t xml:space="preserve"> في تكوين أسرة، وحماية الأمومة والأبوة بوصفهما من القيم الإنسانية </w:t>
      </w:r>
      <w:r>
        <w:rPr>
          <w:rFonts w:hint="eastAsia"/>
          <w:rtl/>
        </w:rPr>
        <w:t>والاجتماعية</w:t>
      </w:r>
      <w:r>
        <w:rPr>
          <w:rtl/>
        </w:rPr>
        <w:t xml:space="preserve"> </w:t>
      </w:r>
      <w:r>
        <w:rPr>
          <w:rtl/>
        </w:rPr>
        <w:t xml:space="preserve">السامية؛ (ب) تأمين حماية الطفل ونمائه وحقه في التعليم؛ (ج) تهيئة </w:t>
      </w:r>
      <w:r>
        <w:rPr>
          <w:rFonts w:hint="eastAsia"/>
          <w:rtl/>
        </w:rPr>
        <w:t>الظروف</w:t>
      </w:r>
      <w:r>
        <w:rPr>
          <w:rtl/>
        </w:rPr>
        <w:t xml:space="preserve"> المعيشية المتعلقة بالسكن والصحة والتعليم، بغية </w:t>
      </w:r>
      <w:r>
        <w:rPr>
          <w:rFonts w:hint="cs"/>
          <w:rtl/>
        </w:rPr>
        <w:t>تيسير</w:t>
      </w:r>
      <w:r>
        <w:rPr>
          <w:rtl/>
        </w:rPr>
        <w:t xml:space="preserve"> النماء الكامل </w:t>
      </w:r>
      <w:r>
        <w:rPr>
          <w:rFonts w:hint="eastAsia"/>
          <w:rtl/>
        </w:rPr>
        <w:t>للأسرة</w:t>
      </w:r>
      <w:r>
        <w:rPr>
          <w:rtl/>
        </w:rPr>
        <w:t xml:space="preserve"> و</w:t>
      </w:r>
      <w:r>
        <w:rPr>
          <w:rFonts w:hint="cs"/>
          <w:rtl/>
        </w:rPr>
        <w:t>ل</w:t>
      </w:r>
      <w:r>
        <w:rPr>
          <w:rtl/>
        </w:rPr>
        <w:t>كل فرد من أفرادها؛ (د) توفير الدعم، ولا سيما الدعم الاقتصادي</w:t>
      </w:r>
      <w:r>
        <w:rPr>
          <w:rFonts w:hint="cs"/>
          <w:rtl/>
        </w:rPr>
        <w:t>،</w:t>
      </w:r>
      <w:r>
        <w:rPr>
          <w:rtl/>
        </w:rPr>
        <w:t xml:space="preserve"> للأسر </w:t>
      </w:r>
      <w:r>
        <w:rPr>
          <w:rFonts w:hint="cs"/>
          <w:rtl/>
        </w:rPr>
        <w:t>التي تواجه تحديات</w:t>
      </w:r>
      <w:r>
        <w:rPr>
          <w:rFonts w:hint="eastAsia"/>
          <w:rtl/>
        </w:rPr>
        <w:t>،</w:t>
      </w:r>
      <w:r>
        <w:rPr>
          <w:rtl/>
        </w:rPr>
        <w:t xml:space="preserve"> فضلاً عن الأسر الوحيد</w:t>
      </w:r>
      <w:r>
        <w:rPr>
          <w:rtl/>
        </w:rPr>
        <w:t xml:space="preserve">ة الوالد؛ (ه‍) التعاون مع الوالدين </w:t>
      </w:r>
      <w:r>
        <w:rPr>
          <w:rFonts w:hint="cs"/>
          <w:rtl/>
        </w:rPr>
        <w:t>على</w:t>
      </w:r>
      <w:r>
        <w:rPr>
          <w:rtl/>
        </w:rPr>
        <w:t xml:space="preserve"> تربية </w:t>
      </w:r>
      <w:r>
        <w:rPr>
          <w:rFonts w:hint="eastAsia"/>
          <w:rtl/>
        </w:rPr>
        <w:t>أبنائهم،</w:t>
      </w:r>
      <w:r>
        <w:rPr>
          <w:rtl/>
        </w:rPr>
        <w:t xml:space="preserve"> وتعزيز ممارسة حقوقهما الكاملة داخل الأسر</w:t>
      </w:r>
      <w:r>
        <w:rPr>
          <w:rFonts w:hint="cs"/>
          <w:rtl/>
        </w:rPr>
        <w:t>ة</w:t>
      </w:r>
      <w:r>
        <w:rPr>
          <w:rtl/>
        </w:rPr>
        <w:t xml:space="preserve"> </w:t>
      </w:r>
      <w:r>
        <w:rPr>
          <w:rFonts w:hint="cs"/>
          <w:rtl/>
        </w:rPr>
        <w:t>فيما يتعلّق</w:t>
      </w:r>
      <w:r>
        <w:rPr>
          <w:rtl/>
        </w:rPr>
        <w:t xml:space="preserve"> بالتربية؛ (و) دعم </w:t>
      </w:r>
      <w:r>
        <w:rPr>
          <w:rFonts w:hint="eastAsia"/>
          <w:rtl/>
        </w:rPr>
        <w:t>اندماج</w:t>
      </w:r>
      <w:r>
        <w:rPr>
          <w:rtl/>
        </w:rPr>
        <w:t xml:space="preserve"> المسنين ومشاركتهم في حياة الأسرة وتعزيز التضامن والدعم المتبادل بين </w:t>
      </w:r>
      <w:r>
        <w:rPr>
          <w:rFonts w:hint="eastAsia"/>
          <w:rtl/>
        </w:rPr>
        <w:t>مختلف</w:t>
      </w:r>
      <w:r>
        <w:rPr>
          <w:rtl/>
        </w:rPr>
        <w:t xml:space="preserve"> الأجيال؛ (ز) تأمين المشاركة الفعلية والتمثيل العض</w:t>
      </w:r>
      <w:r>
        <w:rPr>
          <w:rtl/>
        </w:rPr>
        <w:t xml:space="preserve">وي للأسر في اتخاذ </w:t>
      </w:r>
      <w:r>
        <w:rPr>
          <w:rFonts w:hint="eastAsia"/>
          <w:rtl/>
        </w:rPr>
        <w:t>القرارات</w:t>
      </w:r>
      <w:r>
        <w:rPr>
          <w:rtl/>
        </w:rPr>
        <w:t xml:space="preserve"> التي تؤثر في وجودهم الأدبي والمادي؛ (ح) النهوض بمشاركة الأسر في تنمية </w:t>
      </w:r>
      <w:r>
        <w:rPr>
          <w:rFonts w:hint="eastAsia"/>
          <w:rtl/>
        </w:rPr>
        <w:t>المجتمعات</w:t>
      </w:r>
      <w:r>
        <w:rPr>
          <w:rtl/>
        </w:rPr>
        <w:t xml:space="preserve"> المحلية.</w:t>
      </w:r>
    </w:p>
    <w:p w:rsidR="00000000" w:rsidRDefault="00443EC1">
      <w:pPr>
        <w:spacing w:line="380" w:lineRule="exact"/>
        <w:jc w:val="both"/>
        <w:rPr>
          <w:rtl/>
        </w:rPr>
      </w:pPr>
      <w:r>
        <w:rPr>
          <w:rtl/>
        </w:rPr>
        <w:t>925-</w:t>
      </w:r>
      <w:r>
        <w:rPr>
          <w:rtl/>
        </w:rPr>
        <w:tab/>
      </w:r>
      <w:r>
        <w:rPr>
          <w:rFonts w:hint="eastAsia"/>
          <w:rtl/>
        </w:rPr>
        <w:t>ويمكن</w:t>
      </w:r>
      <w:r>
        <w:rPr>
          <w:rtl/>
        </w:rPr>
        <w:t xml:space="preserve"> </w:t>
      </w:r>
      <w:r>
        <w:rPr>
          <w:rFonts w:hint="eastAsia"/>
          <w:rtl/>
        </w:rPr>
        <w:t>للفظ</w:t>
      </w:r>
      <w:r>
        <w:rPr>
          <w:rtl/>
        </w:rPr>
        <w:t xml:space="preserve"> "</w:t>
      </w:r>
      <w:r>
        <w:rPr>
          <w:rFonts w:hint="eastAsia"/>
          <w:rtl/>
        </w:rPr>
        <w:t>أسرة</w:t>
      </w:r>
      <w:r>
        <w:rPr>
          <w:rtl/>
        </w:rPr>
        <w:t xml:space="preserve">" </w:t>
      </w:r>
      <w:r>
        <w:rPr>
          <w:rFonts w:hint="eastAsia"/>
          <w:rtl/>
        </w:rPr>
        <w:t>أن</w:t>
      </w:r>
      <w:r>
        <w:rPr>
          <w:rtl/>
        </w:rPr>
        <w:t xml:space="preserve"> </w:t>
      </w:r>
      <w:r>
        <w:rPr>
          <w:rFonts w:hint="cs"/>
          <w:rtl/>
        </w:rPr>
        <w:t xml:space="preserve">يتضّمن </w:t>
      </w:r>
      <w:r>
        <w:rPr>
          <w:rtl/>
        </w:rPr>
        <w:t>عدة معان</w:t>
      </w:r>
      <w:r>
        <w:rPr>
          <w:rFonts w:hint="cs"/>
          <w:rtl/>
        </w:rPr>
        <w:t xml:space="preserve"> لعلّ</w:t>
      </w:r>
      <w:r>
        <w:rPr>
          <w:rtl/>
        </w:rPr>
        <w:t xml:space="preserve"> أكثرها شيوعاً </w:t>
      </w:r>
      <w:r>
        <w:rPr>
          <w:rFonts w:hint="cs"/>
          <w:rtl/>
        </w:rPr>
        <w:t>ا</w:t>
      </w:r>
      <w:r>
        <w:rPr>
          <w:rtl/>
        </w:rPr>
        <w:t xml:space="preserve">لعلاقة الناتجة عن </w:t>
      </w:r>
      <w:r>
        <w:rPr>
          <w:rFonts w:hint="eastAsia"/>
          <w:rtl/>
        </w:rPr>
        <w:t>الزواج</w:t>
      </w:r>
      <w:r>
        <w:rPr>
          <w:rtl/>
        </w:rPr>
        <w:t xml:space="preserve"> والتبني. غير أنه بإمكان اللفظ أن </w:t>
      </w:r>
      <w:r>
        <w:rPr>
          <w:rFonts w:hint="cs"/>
          <w:rtl/>
        </w:rPr>
        <w:t>يدلّ</w:t>
      </w:r>
      <w:r>
        <w:rPr>
          <w:rtl/>
        </w:rPr>
        <w:t xml:space="preserve"> أيضاً </w:t>
      </w:r>
      <w:r>
        <w:rPr>
          <w:rFonts w:hint="cs"/>
          <w:rtl/>
        </w:rPr>
        <w:t xml:space="preserve">على </w:t>
      </w:r>
      <w:r>
        <w:rPr>
          <w:rtl/>
        </w:rPr>
        <w:t>مجموع</w:t>
      </w:r>
      <w:r>
        <w:rPr>
          <w:rtl/>
        </w:rPr>
        <w:t xml:space="preserve">ة من الأشخاص </w:t>
      </w:r>
      <w:r>
        <w:rPr>
          <w:rFonts w:hint="eastAsia"/>
          <w:rtl/>
        </w:rPr>
        <w:t>يعيشون</w:t>
      </w:r>
      <w:r>
        <w:rPr>
          <w:rtl/>
        </w:rPr>
        <w:t xml:space="preserve"> تحت سقف</w:t>
      </w:r>
      <w:r>
        <w:rPr>
          <w:rFonts w:hint="cs"/>
          <w:rtl/>
        </w:rPr>
        <w:t xml:space="preserve"> واحد</w:t>
      </w:r>
      <w:r>
        <w:rPr>
          <w:rtl/>
        </w:rPr>
        <w:t xml:space="preserve"> و/أو </w:t>
      </w:r>
      <w:r>
        <w:rPr>
          <w:rFonts w:hint="cs"/>
          <w:rtl/>
        </w:rPr>
        <w:t>ي</w:t>
      </w:r>
      <w:r>
        <w:rPr>
          <w:rtl/>
        </w:rPr>
        <w:t>تقاسم</w:t>
      </w:r>
      <w:r>
        <w:rPr>
          <w:rFonts w:hint="cs"/>
          <w:rtl/>
        </w:rPr>
        <w:t>ون</w:t>
      </w:r>
      <w:r>
        <w:rPr>
          <w:rtl/>
        </w:rPr>
        <w:t xml:space="preserve"> نفس البيئة الاقتصادية، و</w:t>
      </w:r>
      <w:r>
        <w:rPr>
          <w:rFonts w:hint="cs"/>
          <w:rtl/>
        </w:rPr>
        <w:t xml:space="preserve">على </w:t>
      </w:r>
      <w:r>
        <w:rPr>
          <w:rtl/>
        </w:rPr>
        <w:t>زواج فعلي وأطفا</w:t>
      </w:r>
      <w:r>
        <w:rPr>
          <w:rFonts w:hint="cs"/>
          <w:rtl/>
        </w:rPr>
        <w:t>ل</w:t>
      </w:r>
      <w:r>
        <w:rPr>
          <w:rtl/>
        </w:rPr>
        <w:t xml:space="preserve"> </w:t>
      </w:r>
      <w:r>
        <w:rPr>
          <w:rFonts w:hint="eastAsia"/>
          <w:rtl/>
        </w:rPr>
        <w:t>و</w:t>
      </w:r>
      <w:r>
        <w:rPr>
          <w:rFonts w:hint="cs"/>
          <w:rtl/>
        </w:rPr>
        <w:t xml:space="preserve">على أسر </w:t>
      </w:r>
      <w:r>
        <w:rPr>
          <w:rFonts w:hint="eastAsia"/>
          <w:rtl/>
        </w:rPr>
        <w:t>وحيدة</w:t>
      </w:r>
      <w:r>
        <w:rPr>
          <w:rtl/>
        </w:rPr>
        <w:t xml:space="preserve"> الوالد.</w:t>
      </w:r>
    </w:p>
    <w:p w:rsidR="00000000" w:rsidRDefault="00443EC1">
      <w:pPr>
        <w:spacing w:line="380" w:lineRule="exact"/>
        <w:jc w:val="both"/>
        <w:rPr>
          <w:rtl/>
        </w:rPr>
      </w:pPr>
      <w:r>
        <w:rPr>
          <w:rtl/>
        </w:rPr>
        <w:t>926-</w:t>
      </w:r>
      <w:r>
        <w:rPr>
          <w:rtl/>
        </w:rPr>
        <w:tab/>
      </w:r>
      <w:r>
        <w:rPr>
          <w:rFonts w:hint="eastAsia"/>
          <w:rtl/>
        </w:rPr>
        <w:t>ولكلا</w:t>
      </w:r>
      <w:r>
        <w:rPr>
          <w:rtl/>
        </w:rPr>
        <w:t xml:space="preserve"> </w:t>
      </w:r>
      <w:r>
        <w:rPr>
          <w:rFonts w:hint="eastAsia"/>
          <w:rtl/>
        </w:rPr>
        <w:t>الزوجين</w:t>
      </w:r>
      <w:r>
        <w:rPr>
          <w:rtl/>
        </w:rPr>
        <w:t xml:space="preserve"> مسؤولية إدارة شؤون الأسرة والاتفاق </w:t>
      </w:r>
      <w:r>
        <w:rPr>
          <w:rFonts w:hint="cs"/>
          <w:rtl/>
        </w:rPr>
        <w:t>على</w:t>
      </w:r>
      <w:r>
        <w:rPr>
          <w:rtl/>
        </w:rPr>
        <w:t xml:space="preserve"> </w:t>
      </w:r>
      <w:r>
        <w:rPr>
          <w:rFonts w:hint="cs"/>
          <w:rtl/>
        </w:rPr>
        <w:t>نمط عيشها</w:t>
      </w:r>
      <w:r>
        <w:rPr>
          <w:rFonts w:hint="eastAsia"/>
          <w:rtl/>
        </w:rPr>
        <w:t>،</w:t>
      </w:r>
      <w:r>
        <w:rPr>
          <w:rtl/>
        </w:rPr>
        <w:t xml:space="preserve"> مع مراعاة رفاه أفرادها ومصلحة كل منهم (المادة 1532(2) من القانون المدني </w:t>
      </w:r>
      <w:r>
        <w:rPr>
          <w:rFonts w:hint="eastAsia"/>
          <w:rtl/>
        </w:rPr>
        <w:t>والمادة</w:t>
      </w:r>
      <w:r>
        <w:rPr>
          <w:rtl/>
        </w:rPr>
        <w:t xml:space="preserve"> 2 من القانون 6/94/م).</w:t>
      </w:r>
    </w:p>
    <w:p w:rsidR="00000000" w:rsidRDefault="00443EC1">
      <w:pPr>
        <w:spacing w:line="380" w:lineRule="exact"/>
        <w:jc w:val="both"/>
        <w:rPr>
          <w:rtl/>
        </w:rPr>
      </w:pPr>
      <w:r>
        <w:rPr>
          <w:rtl/>
        </w:rPr>
        <w:t>927-</w:t>
      </w:r>
      <w:r>
        <w:rPr>
          <w:rtl/>
        </w:rPr>
        <w:tab/>
      </w:r>
      <w:r>
        <w:rPr>
          <w:rFonts w:hint="eastAsia"/>
          <w:rtl/>
        </w:rPr>
        <w:t>ويحدد</w:t>
      </w:r>
      <w:r>
        <w:rPr>
          <w:rtl/>
        </w:rPr>
        <w:t xml:space="preserve"> </w:t>
      </w:r>
      <w:r>
        <w:rPr>
          <w:rFonts w:hint="eastAsia"/>
          <w:rtl/>
        </w:rPr>
        <w:t>القانون</w:t>
      </w:r>
      <w:r>
        <w:rPr>
          <w:rtl/>
        </w:rPr>
        <w:t xml:space="preserve"> المدني سن الرشد القانونية ب‍ 18 عاماً (المادة 118). لكن، كلما عقد قاصر </w:t>
      </w:r>
      <w:r>
        <w:rPr>
          <w:rFonts w:hint="eastAsia"/>
          <w:rtl/>
        </w:rPr>
        <w:t>زواجاً،</w:t>
      </w:r>
      <w:r>
        <w:rPr>
          <w:rtl/>
        </w:rPr>
        <w:t xml:space="preserve"> يصبح </w:t>
      </w:r>
      <w:r>
        <w:rPr>
          <w:rFonts w:hint="cs"/>
          <w:rtl/>
        </w:rPr>
        <w:t>الرشد</w:t>
      </w:r>
      <w:r>
        <w:rPr>
          <w:rtl/>
        </w:rPr>
        <w:t xml:space="preserve"> آلياً بموجب المادة 120 من القانون المدني.</w:t>
      </w:r>
    </w:p>
    <w:p w:rsidR="00000000" w:rsidRDefault="00443EC1">
      <w:pPr>
        <w:spacing w:line="380" w:lineRule="exact"/>
        <w:jc w:val="both"/>
        <w:rPr>
          <w:rtl/>
        </w:rPr>
      </w:pPr>
      <w:r>
        <w:rPr>
          <w:rtl/>
        </w:rPr>
        <w:t>928-</w:t>
      </w:r>
      <w:r>
        <w:rPr>
          <w:rtl/>
        </w:rPr>
        <w:tab/>
      </w:r>
      <w:r>
        <w:rPr>
          <w:rFonts w:hint="eastAsia"/>
          <w:rtl/>
        </w:rPr>
        <w:t>ومبدئياً،</w:t>
      </w:r>
      <w:r>
        <w:rPr>
          <w:rtl/>
        </w:rPr>
        <w:t xml:space="preserve"> </w:t>
      </w:r>
      <w:r>
        <w:rPr>
          <w:rFonts w:hint="eastAsia"/>
          <w:rtl/>
        </w:rPr>
        <w:t>فإن</w:t>
      </w:r>
      <w:r>
        <w:rPr>
          <w:rtl/>
        </w:rPr>
        <w:t xml:space="preserve"> ال</w:t>
      </w:r>
      <w:r>
        <w:rPr>
          <w:rFonts w:hint="cs"/>
          <w:rtl/>
        </w:rPr>
        <w:t>حد الأدنى لل</w:t>
      </w:r>
      <w:r>
        <w:rPr>
          <w:rtl/>
        </w:rPr>
        <w:t xml:space="preserve">سن القانونية للزواج </w:t>
      </w:r>
      <w:r>
        <w:rPr>
          <w:rFonts w:hint="cs"/>
          <w:rtl/>
        </w:rPr>
        <w:t>ي</w:t>
      </w:r>
      <w:r>
        <w:rPr>
          <w:rtl/>
        </w:rPr>
        <w:t>تطابق مع سن الرشد الق</w:t>
      </w:r>
      <w:r>
        <w:rPr>
          <w:rtl/>
        </w:rPr>
        <w:t>انونية. لكن</w:t>
      </w:r>
      <w:r>
        <w:rPr>
          <w:rFonts w:hint="cs"/>
          <w:rtl/>
        </w:rPr>
        <w:t>،</w:t>
      </w:r>
      <w:r>
        <w:rPr>
          <w:rtl/>
        </w:rPr>
        <w:t xml:space="preserve"> بإمكان شخص </w:t>
      </w:r>
      <w:r>
        <w:rPr>
          <w:rFonts w:hint="eastAsia"/>
          <w:rtl/>
        </w:rPr>
        <w:t>يتراوح</w:t>
      </w:r>
      <w:r>
        <w:rPr>
          <w:rtl/>
        </w:rPr>
        <w:t xml:space="preserve"> عمره بين 16 و18 عاماً أن يتزوج طالما وافق على ذلك والداه</w:t>
      </w:r>
      <w:r>
        <w:rPr>
          <w:rFonts w:hint="cs"/>
          <w:rtl/>
        </w:rPr>
        <w:t xml:space="preserve"> أو أولياء أمره </w:t>
      </w:r>
      <w:r>
        <w:rPr>
          <w:rtl/>
        </w:rPr>
        <w:t xml:space="preserve">(المادة 1487 من القانون المدني). وفي غياب موافقة الوالدين أو </w:t>
      </w:r>
      <w:r>
        <w:rPr>
          <w:rFonts w:hint="cs"/>
          <w:rtl/>
        </w:rPr>
        <w:t xml:space="preserve">الأولياء، </w:t>
      </w:r>
      <w:r>
        <w:rPr>
          <w:rtl/>
        </w:rPr>
        <w:t xml:space="preserve">يمكن </w:t>
      </w:r>
      <w:r>
        <w:rPr>
          <w:rFonts w:hint="eastAsia"/>
          <w:rtl/>
        </w:rPr>
        <w:t>للمحكمة</w:t>
      </w:r>
      <w:r>
        <w:rPr>
          <w:rtl/>
        </w:rPr>
        <w:t xml:space="preserve"> أن تصدر إذناً يمكّن القاصر من الزواج. ويتوقف قرار المحكمة على وجود </w:t>
      </w:r>
      <w:r>
        <w:rPr>
          <w:rFonts w:hint="eastAsia"/>
          <w:rtl/>
        </w:rPr>
        <w:t>أس</w:t>
      </w:r>
      <w:r>
        <w:rPr>
          <w:rFonts w:hint="eastAsia"/>
          <w:rtl/>
        </w:rPr>
        <w:t>باب</w:t>
      </w:r>
      <w:r>
        <w:rPr>
          <w:rtl/>
        </w:rPr>
        <w:t xml:space="preserve"> جدية لعقد الزواج وإثبات قدرة القاصر على </w:t>
      </w:r>
      <w:r>
        <w:rPr>
          <w:rFonts w:hint="cs"/>
          <w:rtl/>
        </w:rPr>
        <w:t>إدارة شؤون</w:t>
      </w:r>
      <w:r>
        <w:rPr>
          <w:rtl/>
        </w:rPr>
        <w:t xml:space="preserve"> حياته بما يكفي من الرشد </w:t>
      </w:r>
      <w:r>
        <w:rPr>
          <w:rFonts w:hint="eastAsia"/>
          <w:rtl/>
        </w:rPr>
        <w:t>البدني</w:t>
      </w:r>
      <w:r>
        <w:rPr>
          <w:rtl/>
        </w:rPr>
        <w:t xml:space="preserve"> والذهني.</w:t>
      </w:r>
    </w:p>
    <w:p w:rsidR="00000000" w:rsidRDefault="00443EC1">
      <w:pPr>
        <w:spacing w:line="380" w:lineRule="exact"/>
        <w:jc w:val="center"/>
        <w:rPr>
          <w:b/>
          <w:bCs/>
          <w:rtl/>
        </w:rPr>
      </w:pPr>
      <w:r>
        <w:rPr>
          <w:rFonts w:hint="eastAsia"/>
          <w:b/>
          <w:bCs/>
          <w:rtl/>
        </w:rPr>
        <w:t>باء</w:t>
      </w:r>
      <w:r>
        <w:rPr>
          <w:b/>
          <w:bCs/>
          <w:rtl/>
        </w:rPr>
        <w:t xml:space="preserve"> - المعونة المقدمة للأسرة</w:t>
      </w:r>
    </w:p>
    <w:p w:rsidR="00000000" w:rsidRDefault="00443EC1">
      <w:pPr>
        <w:spacing w:line="380" w:lineRule="exact"/>
        <w:jc w:val="both"/>
        <w:rPr>
          <w:rtl/>
        </w:rPr>
      </w:pPr>
      <w:r>
        <w:rPr>
          <w:rtl/>
        </w:rPr>
        <w:t>929-</w:t>
      </w:r>
      <w:r>
        <w:rPr>
          <w:rtl/>
        </w:rPr>
        <w:tab/>
      </w:r>
      <w:r>
        <w:rPr>
          <w:rFonts w:hint="eastAsia"/>
          <w:rtl/>
        </w:rPr>
        <w:t>لحكومة</w:t>
      </w:r>
      <w:r>
        <w:rPr>
          <w:rtl/>
        </w:rPr>
        <w:t xml:space="preserve"> </w:t>
      </w:r>
      <w:r>
        <w:rPr>
          <w:rFonts w:hint="eastAsia"/>
          <w:rtl/>
        </w:rPr>
        <w:t>مقاطعة</w:t>
      </w:r>
      <w:r>
        <w:rPr>
          <w:rtl/>
        </w:rPr>
        <w:t xml:space="preserve"> </w:t>
      </w:r>
      <w:r>
        <w:rPr>
          <w:rFonts w:hint="cs"/>
          <w:rtl/>
        </w:rPr>
        <w:t>ل</w:t>
      </w:r>
      <w:r>
        <w:rPr>
          <w:rtl/>
        </w:rPr>
        <w:t>م</w:t>
      </w:r>
      <w:r>
        <w:rPr>
          <w:rFonts w:hint="cs"/>
          <w:rtl/>
        </w:rPr>
        <w:t>ا</w:t>
      </w:r>
      <w:r>
        <w:rPr>
          <w:rtl/>
        </w:rPr>
        <w:t xml:space="preserve">كاو، إلى جانب رابطات تعنى بشؤون الأسرة، مسؤولية </w:t>
      </w:r>
      <w:r>
        <w:rPr>
          <w:rFonts w:hint="cs"/>
          <w:rtl/>
        </w:rPr>
        <w:t>محدّدة</w:t>
      </w:r>
      <w:r>
        <w:rPr>
          <w:rtl/>
        </w:rPr>
        <w:t xml:space="preserve"> في النهوض بنوعية </w:t>
      </w:r>
      <w:r>
        <w:rPr>
          <w:rFonts w:hint="eastAsia"/>
          <w:rtl/>
        </w:rPr>
        <w:t>حياة</w:t>
      </w:r>
      <w:r>
        <w:rPr>
          <w:rtl/>
        </w:rPr>
        <w:t xml:space="preserve"> الأسرة ورفاه الأسر وأفرادها الماد</w:t>
      </w:r>
      <w:r>
        <w:rPr>
          <w:rtl/>
        </w:rPr>
        <w:t>ي والأدبي (المادة 1(2) من القانون 6/94/م).</w:t>
      </w:r>
    </w:p>
    <w:p w:rsidR="00000000" w:rsidRDefault="00443EC1">
      <w:pPr>
        <w:spacing w:line="380" w:lineRule="exact"/>
        <w:jc w:val="both"/>
        <w:rPr>
          <w:rtl/>
        </w:rPr>
      </w:pPr>
      <w:r>
        <w:rPr>
          <w:rtl/>
        </w:rPr>
        <w:t>930-</w:t>
      </w:r>
      <w:r>
        <w:rPr>
          <w:rtl/>
        </w:rPr>
        <w:tab/>
      </w:r>
      <w:r>
        <w:rPr>
          <w:rFonts w:hint="eastAsia"/>
          <w:rtl/>
        </w:rPr>
        <w:t>ولتحقيق</w:t>
      </w:r>
      <w:r>
        <w:rPr>
          <w:rtl/>
        </w:rPr>
        <w:t xml:space="preserve"> </w:t>
      </w:r>
      <w:r>
        <w:rPr>
          <w:rFonts w:hint="eastAsia"/>
          <w:rtl/>
        </w:rPr>
        <w:t>هذه</w:t>
      </w:r>
      <w:r>
        <w:rPr>
          <w:rtl/>
        </w:rPr>
        <w:t xml:space="preserve"> الغاية، أن</w:t>
      </w:r>
      <w:r>
        <w:rPr>
          <w:rFonts w:hint="eastAsia"/>
          <w:rtl/>
        </w:rPr>
        <w:t>شأت</w:t>
      </w:r>
      <w:r>
        <w:rPr>
          <w:rtl/>
        </w:rPr>
        <w:t xml:space="preserve"> حكومة المقاطعة، سواء كان ذلك بمفردها أو بالتعاون مع رابطات </w:t>
      </w:r>
      <w:r>
        <w:rPr>
          <w:rFonts w:hint="eastAsia"/>
          <w:rtl/>
        </w:rPr>
        <w:t>خاصة،</w:t>
      </w:r>
      <w:r>
        <w:rPr>
          <w:rtl/>
        </w:rPr>
        <w:t xml:space="preserve"> مراكز لدعم الأسرة تهدف إلى مساعدة الأسر </w:t>
      </w:r>
      <w:r>
        <w:rPr>
          <w:rFonts w:hint="cs"/>
          <w:rtl/>
        </w:rPr>
        <w:t>التي تمر بظروف استثنائية</w:t>
      </w:r>
      <w:r>
        <w:rPr>
          <w:rtl/>
        </w:rPr>
        <w:t xml:space="preserve">، كتوفير الملاجئ </w:t>
      </w:r>
      <w:r>
        <w:rPr>
          <w:rFonts w:hint="eastAsia"/>
          <w:rtl/>
        </w:rPr>
        <w:t>للنساء،</w:t>
      </w:r>
      <w:r>
        <w:rPr>
          <w:rtl/>
        </w:rPr>
        <w:t xml:space="preserve"> ومراكز تقديم الخدمات للأسر، </w:t>
      </w:r>
      <w:r>
        <w:rPr>
          <w:rtl/>
        </w:rPr>
        <w:t>ومراكز الرعاية النهارية.</w:t>
      </w:r>
    </w:p>
    <w:p w:rsidR="00000000" w:rsidRDefault="00443EC1">
      <w:pPr>
        <w:spacing w:line="380" w:lineRule="exact"/>
        <w:jc w:val="both"/>
        <w:rPr>
          <w:rtl/>
        </w:rPr>
      </w:pPr>
      <w:r>
        <w:rPr>
          <w:rtl/>
        </w:rPr>
        <w:t>931-</w:t>
      </w:r>
      <w:r>
        <w:rPr>
          <w:rtl/>
        </w:rPr>
        <w:tab/>
      </w:r>
      <w:r>
        <w:rPr>
          <w:rFonts w:hint="eastAsia"/>
          <w:rtl/>
        </w:rPr>
        <w:t>وتقدم</w:t>
      </w:r>
      <w:r>
        <w:rPr>
          <w:rtl/>
        </w:rPr>
        <w:t xml:space="preserve"> </w:t>
      </w:r>
      <w:r>
        <w:rPr>
          <w:rFonts w:hint="eastAsia"/>
          <w:rtl/>
        </w:rPr>
        <w:t>تلك</w:t>
      </w:r>
      <w:r>
        <w:rPr>
          <w:rtl/>
        </w:rPr>
        <w:t xml:space="preserve"> المراكز، </w:t>
      </w:r>
      <w:r>
        <w:rPr>
          <w:rFonts w:hint="cs"/>
          <w:rtl/>
        </w:rPr>
        <w:t>فيما تقدِّم</w:t>
      </w:r>
      <w:r>
        <w:rPr>
          <w:rtl/>
        </w:rPr>
        <w:t>، مساعدة خ</w:t>
      </w:r>
      <w:r>
        <w:rPr>
          <w:rFonts w:hint="cs"/>
          <w:rtl/>
        </w:rPr>
        <w:t>ا</w:t>
      </w:r>
      <w:r>
        <w:rPr>
          <w:rtl/>
        </w:rPr>
        <w:t>صة للأسر الوحيدة الوالد و</w:t>
      </w:r>
      <w:r>
        <w:rPr>
          <w:rFonts w:hint="cs"/>
          <w:rtl/>
        </w:rPr>
        <w:t>ل</w:t>
      </w:r>
      <w:r>
        <w:rPr>
          <w:rtl/>
        </w:rPr>
        <w:t xml:space="preserve">أسر السجناء </w:t>
      </w:r>
      <w:r>
        <w:rPr>
          <w:rFonts w:hint="eastAsia"/>
          <w:rtl/>
        </w:rPr>
        <w:t>وتستهدف</w:t>
      </w:r>
      <w:r>
        <w:rPr>
          <w:rtl/>
        </w:rPr>
        <w:t xml:space="preserve"> أيضاً استحداث آليات فعّالة لمعالجة الأزمات التي يتسبب فيها أي فرد من </w:t>
      </w:r>
      <w:r>
        <w:rPr>
          <w:rFonts w:hint="eastAsia"/>
          <w:rtl/>
        </w:rPr>
        <w:t>أفراد</w:t>
      </w:r>
      <w:r>
        <w:rPr>
          <w:rtl/>
        </w:rPr>
        <w:t xml:space="preserve"> الأسرة</w:t>
      </w:r>
      <w:r>
        <w:rPr>
          <w:rFonts w:hint="cs"/>
          <w:rtl/>
        </w:rPr>
        <w:t>،</w:t>
      </w:r>
      <w:r>
        <w:rPr>
          <w:rtl/>
        </w:rPr>
        <w:t xml:space="preserve"> لا سيما الأزمات الناتجة عن انحلال رو</w:t>
      </w:r>
      <w:r>
        <w:rPr>
          <w:rFonts w:hint="cs"/>
          <w:rtl/>
        </w:rPr>
        <w:t>ا</w:t>
      </w:r>
      <w:r>
        <w:rPr>
          <w:rtl/>
        </w:rPr>
        <w:t>بط الزواج أو الأسرة</w:t>
      </w:r>
      <w:r>
        <w:rPr>
          <w:rtl/>
        </w:rPr>
        <w:t xml:space="preserve"> والعنف </w:t>
      </w:r>
      <w:r>
        <w:rPr>
          <w:rFonts w:hint="eastAsia"/>
          <w:rtl/>
        </w:rPr>
        <w:t>المنزلي،</w:t>
      </w:r>
      <w:r>
        <w:rPr>
          <w:rtl/>
        </w:rPr>
        <w:t xml:space="preserve"> عندما يطال الأطفال</w:t>
      </w:r>
      <w:r>
        <w:rPr>
          <w:rFonts w:hint="cs"/>
          <w:rtl/>
        </w:rPr>
        <w:t xml:space="preserve"> بالخصوص</w:t>
      </w:r>
      <w:r>
        <w:rPr>
          <w:rtl/>
        </w:rPr>
        <w:t>.</w:t>
      </w:r>
    </w:p>
    <w:p w:rsidR="00000000" w:rsidRDefault="00443EC1">
      <w:pPr>
        <w:spacing w:line="380" w:lineRule="exact"/>
        <w:jc w:val="both"/>
        <w:rPr>
          <w:rtl/>
        </w:rPr>
      </w:pPr>
      <w:r>
        <w:rPr>
          <w:rtl/>
        </w:rPr>
        <w:t>932-</w:t>
      </w:r>
      <w:r>
        <w:rPr>
          <w:rtl/>
        </w:rPr>
        <w:tab/>
      </w:r>
      <w:r>
        <w:rPr>
          <w:rFonts w:hint="eastAsia"/>
          <w:rtl/>
        </w:rPr>
        <w:t>وفي</w:t>
      </w:r>
      <w:r>
        <w:rPr>
          <w:rtl/>
        </w:rPr>
        <w:t xml:space="preserve"> </w:t>
      </w:r>
      <w:r>
        <w:rPr>
          <w:rFonts w:hint="eastAsia"/>
          <w:rtl/>
        </w:rPr>
        <w:t>تشرين</w:t>
      </w:r>
      <w:r>
        <w:rPr>
          <w:rtl/>
        </w:rPr>
        <w:t xml:space="preserve"> الثاني/نوفمبر 1998، أنشئت شعبة جديدة تابعة ل‍</w:t>
      </w:r>
      <w:r>
        <w:rPr>
          <w:rFonts w:hint="eastAsia"/>
          <w:rtl/>
        </w:rPr>
        <w:t>معهد</w:t>
      </w:r>
      <w:r>
        <w:rPr>
          <w:rFonts w:hint="cs"/>
          <w:rtl/>
        </w:rPr>
        <w:t xml:space="preserve"> </w:t>
      </w:r>
      <w:r>
        <w:rPr>
          <w:rtl/>
        </w:rPr>
        <w:t xml:space="preserve">الرعاية </w:t>
      </w:r>
      <w:r>
        <w:rPr>
          <w:rFonts w:hint="eastAsia"/>
          <w:rtl/>
        </w:rPr>
        <w:t>الاجتماعية</w:t>
      </w:r>
      <w:r>
        <w:rPr>
          <w:rFonts w:hint="cs"/>
          <w:rtl/>
        </w:rPr>
        <w:t xml:space="preserve">، </w:t>
      </w:r>
      <w:r>
        <w:rPr>
          <w:rFonts w:hint="eastAsia"/>
          <w:rtl/>
        </w:rPr>
        <w:t>وهي</w:t>
      </w:r>
      <w:r>
        <w:rPr>
          <w:rtl/>
        </w:rPr>
        <w:t xml:space="preserve"> مكتب العمل </w:t>
      </w:r>
      <w:r>
        <w:rPr>
          <w:rFonts w:hint="cs"/>
          <w:rtl/>
        </w:rPr>
        <w:t xml:space="preserve">من أجل </w:t>
      </w:r>
      <w:r>
        <w:rPr>
          <w:rtl/>
        </w:rPr>
        <w:t xml:space="preserve">الأسرة، بهدف دعم </w:t>
      </w:r>
      <w:r>
        <w:rPr>
          <w:rFonts w:hint="eastAsia"/>
          <w:rtl/>
        </w:rPr>
        <w:t>الأسر</w:t>
      </w:r>
      <w:r>
        <w:rPr>
          <w:rtl/>
        </w:rPr>
        <w:t xml:space="preserve"> التي تعاني من مشاكل </w:t>
      </w:r>
      <w:r>
        <w:rPr>
          <w:rFonts w:hint="cs"/>
          <w:rtl/>
        </w:rPr>
        <w:t>أ</w:t>
      </w:r>
      <w:r>
        <w:rPr>
          <w:rtl/>
        </w:rPr>
        <w:t>و</w:t>
      </w:r>
      <w:r>
        <w:rPr>
          <w:rFonts w:hint="cs"/>
          <w:rtl/>
        </w:rPr>
        <w:t xml:space="preserve"> المعرضة للخطر</w:t>
      </w:r>
      <w:r>
        <w:rPr>
          <w:rtl/>
        </w:rPr>
        <w:t xml:space="preserve">. ولهذه الشعبة فريق من الموظفين </w:t>
      </w:r>
      <w:r>
        <w:rPr>
          <w:rFonts w:hint="eastAsia"/>
          <w:rtl/>
        </w:rPr>
        <w:t>الفنيين</w:t>
      </w:r>
      <w:r>
        <w:rPr>
          <w:rtl/>
        </w:rPr>
        <w:t xml:space="preserve"> المتخ</w:t>
      </w:r>
      <w:r>
        <w:rPr>
          <w:rtl/>
        </w:rPr>
        <w:t>صصين، مثل ا</w:t>
      </w:r>
      <w:r>
        <w:rPr>
          <w:rFonts w:hint="cs"/>
          <w:rtl/>
        </w:rPr>
        <w:t>لأ</w:t>
      </w:r>
      <w:r>
        <w:rPr>
          <w:rtl/>
        </w:rPr>
        <w:t xml:space="preserve">خصائيين الاجتماعيين وعلماء النفس ومعلمي الحضانات </w:t>
      </w:r>
      <w:r>
        <w:rPr>
          <w:rFonts w:hint="eastAsia"/>
          <w:rtl/>
        </w:rPr>
        <w:t>ومستشارين</w:t>
      </w:r>
      <w:r>
        <w:rPr>
          <w:rtl/>
        </w:rPr>
        <w:t xml:space="preserve"> قانونيين وما إليهم.</w:t>
      </w:r>
    </w:p>
    <w:p w:rsidR="00000000" w:rsidRDefault="00443EC1">
      <w:pPr>
        <w:spacing w:line="380" w:lineRule="exact"/>
        <w:jc w:val="both"/>
        <w:rPr>
          <w:rtl/>
        </w:rPr>
      </w:pPr>
      <w:r>
        <w:rPr>
          <w:rtl/>
        </w:rPr>
        <w:t>933-</w:t>
      </w:r>
      <w:r>
        <w:rPr>
          <w:rtl/>
        </w:rPr>
        <w:tab/>
      </w:r>
      <w:r>
        <w:rPr>
          <w:rFonts w:hint="cs"/>
          <w:rtl/>
        </w:rPr>
        <w:t>ويقدم</w:t>
      </w:r>
      <w:r>
        <w:rPr>
          <w:rFonts w:hint="eastAsia"/>
          <w:rtl/>
        </w:rPr>
        <w:t xml:space="preserve"> معهد</w:t>
      </w:r>
      <w:r>
        <w:rPr>
          <w:rFonts w:hint="cs"/>
          <w:rtl/>
        </w:rPr>
        <w:t xml:space="preserve"> </w:t>
      </w:r>
      <w:r>
        <w:rPr>
          <w:rtl/>
        </w:rPr>
        <w:t xml:space="preserve">الرعاية </w:t>
      </w:r>
      <w:r>
        <w:rPr>
          <w:rFonts w:hint="eastAsia"/>
          <w:rtl/>
        </w:rPr>
        <w:t>الاجتماعية</w:t>
      </w:r>
      <w:r>
        <w:rPr>
          <w:rtl/>
        </w:rPr>
        <w:t xml:space="preserve"> </w:t>
      </w:r>
      <w:r>
        <w:rPr>
          <w:rFonts w:hint="eastAsia"/>
          <w:rtl/>
        </w:rPr>
        <w:t>خدمات</w:t>
      </w:r>
      <w:r>
        <w:rPr>
          <w:rtl/>
        </w:rPr>
        <w:t xml:space="preserve"> دعم عديدة للأسر التي تحتاج إليها أو إلى الأسر الضعيفة أو الأسر </w:t>
      </w:r>
      <w:r>
        <w:rPr>
          <w:rFonts w:hint="cs"/>
          <w:rtl/>
        </w:rPr>
        <w:t>المعرضة للخطر</w:t>
      </w:r>
      <w:r>
        <w:rPr>
          <w:rtl/>
        </w:rPr>
        <w:t>، مثل المساعدة الاقتصادية، و</w:t>
      </w:r>
      <w:r>
        <w:rPr>
          <w:rFonts w:hint="cs"/>
          <w:rtl/>
        </w:rPr>
        <w:t xml:space="preserve">تقديم </w:t>
      </w:r>
      <w:r>
        <w:rPr>
          <w:rtl/>
        </w:rPr>
        <w:t xml:space="preserve">المشورة </w:t>
      </w:r>
      <w:r>
        <w:rPr>
          <w:rFonts w:hint="cs"/>
          <w:rtl/>
        </w:rPr>
        <w:t>عند ا</w:t>
      </w:r>
      <w:r>
        <w:rPr>
          <w:rtl/>
        </w:rPr>
        <w:t xml:space="preserve">لزواج، وتثقيف الأسرة </w:t>
      </w:r>
      <w:r>
        <w:rPr>
          <w:rFonts w:hint="eastAsia"/>
          <w:rtl/>
        </w:rPr>
        <w:t>وخدمات</w:t>
      </w:r>
      <w:r>
        <w:rPr>
          <w:rtl/>
        </w:rPr>
        <w:t xml:space="preserve"> تقديم وجبات </w:t>
      </w:r>
      <w:r>
        <w:rPr>
          <w:rFonts w:hint="cs"/>
          <w:rtl/>
        </w:rPr>
        <w:t>ال</w:t>
      </w:r>
      <w:r>
        <w:rPr>
          <w:rtl/>
        </w:rPr>
        <w:t>طعام.</w:t>
      </w:r>
    </w:p>
    <w:p w:rsidR="00000000" w:rsidRDefault="00443EC1">
      <w:pPr>
        <w:spacing w:line="380" w:lineRule="exact"/>
        <w:jc w:val="both"/>
        <w:rPr>
          <w:rtl/>
        </w:rPr>
      </w:pPr>
      <w:r>
        <w:rPr>
          <w:rtl/>
        </w:rPr>
        <w:t>934-</w:t>
      </w:r>
      <w:r>
        <w:rPr>
          <w:rtl/>
        </w:rPr>
        <w:tab/>
      </w:r>
      <w:r>
        <w:rPr>
          <w:rFonts w:hint="eastAsia"/>
          <w:rtl/>
        </w:rPr>
        <w:t>وتساعد</w:t>
      </w:r>
      <w:r>
        <w:rPr>
          <w:rtl/>
        </w:rPr>
        <w:t xml:space="preserve"> </w:t>
      </w:r>
      <w:r>
        <w:rPr>
          <w:rFonts w:hint="eastAsia"/>
          <w:rtl/>
        </w:rPr>
        <w:t>الأسر</w:t>
      </w:r>
      <w:r>
        <w:rPr>
          <w:rtl/>
        </w:rPr>
        <w:t xml:space="preserve"> التي </w:t>
      </w:r>
      <w:r>
        <w:rPr>
          <w:rFonts w:hint="cs"/>
          <w:rtl/>
        </w:rPr>
        <w:t>تتعرض ل</w:t>
      </w:r>
      <w:r>
        <w:rPr>
          <w:rtl/>
        </w:rPr>
        <w:t xml:space="preserve">صعوبات مالية بموجب نظام الضمان الاجتماعي كما ورد ذلك في هذا </w:t>
      </w:r>
      <w:r>
        <w:rPr>
          <w:rFonts w:hint="eastAsia"/>
          <w:rtl/>
        </w:rPr>
        <w:t>التقرير</w:t>
      </w:r>
      <w:r>
        <w:rPr>
          <w:rtl/>
        </w:rPr>
        <w:t xml:space="preserve"> </w:t>
      </w:r>
      <w:r>
        <w:rPr>
          <w:rFonts w:hint="cs"/>
          <w:rtl/>
        </w:rPr>
        <w:t>بص</w:t>
      </w:r>
      <w:r>
        <w:rPr>
          <w:rtl/>
        </w:rPr>
        <w:t>د</w:t>
      </w:r>
      <w:r>
        <w:rPr>
          <w:rFonts w:hint="cs"/>
          <w:rtl/>
        </w:rPr>
        <w:t>د</w:t>
      </w:r>
      <w:r>
        <w:rPr>
          <w:rtl/>
        </w:rPr>
        <w:t xml:space="preserve"> الحديث عن المادة 9.</w:t>
      </w:r>
    </w:p>
    <w:p w:rsidR="00000000" w:rsidRDefault="00443EC1">
      <w:pPr>
        <w:spacing w:line="380" w:lineRule="exact"/>
        <w:jc w:val="center"/>
        <w:rPr>
          <w:b/>
          <w:bCs/>
          <w:rtl/>
        </w:rPr>
      </w:pPr>
      <w:r>
        <w:rPr>
          <w:rFonts w:hint="eastAsia"/>
          <w:b/>
          <w:bCs/>
          <w:rtl/>
        </w:rPr>
        <w:t>جيم</w:t>
      </w:r>
      <w:r>
        <w:rPr>
          <w:b/>
          <w:bCs/>
          <w:rtl/>
        </w:rPr>
        <w:t xml:space="preserve"> - حماية الأم والطفل</w:t>
      </w:r>
    </w:p>
    <w:p w:rsidR="00000000" w:rsidRDefault="00443EC1">
      <w:pPr>
        <w:spacing w:line="380" w:lineRule="exact"/>
        <w:jc w:val="both"/>
        <w:rPr>
          <w:b/>
          <w:bCs/>
          <w:rtl/>
        </w:rPr>
      </w:pPr>
      <w:r>
        <w:rPr>
          <w:rFonts w:hint="eastAsia"/>
          <w:b/>
          <w:bCs/>
          <w:rtl/>
        </w:rPr>
        <w:t>نظام</w:t>
      </w:r>
      <w:r>
        <w:rPr>
          <w:b/>
          <w:bCs/>
          <w:rtl/>
        </w:rPr>
        <w:t xml:space="preserve"> حماية الأمومة</w:t>
      </w:r>
    </w:p>
    <w:p w:rsidR="00000000" w:rsidRDefault="00443EC1">
      <w:pPr>
        <w:spacing w:line="380" w:lineRule="exact"/>
        <w:jc w:val="both"/>
        <w:rPr>
          <w:rtl/>
        </w:rPr>
      </w:pPr>
      <w:r>
        <w:rPr>
          <w:rtl/>
        </w:rPr>
        <w:t>935-</w:t>
      </w:r>
      <w:r>
        <w:rPr>
          <w:rtl/>
        </w:rPr>
        <w:tab/>
      </w:r>
      <w:r>
        <w:rPr>
          <w:rFonts w:hint="eastAsia"/>
          <w:rtl/>
        </w:rPr>
        <w:t>يقدم</w:t>
      </w:r>
      <w:r>
        <w:rPr>
          <w:rtl/>
        </w:rPr>
        <w:t xml:space="preserve"> </w:t>
      </w:r>
      <w:r>
        <w:rPr>
          <w:rFonts w:hint="eastAsia"/>
          <w:rtl/>
        </w:rPr>
        <w:t>الموظفون</w:t>
      </w:r>
      <w:r>
        <w:rPr>
          <w:rtl/>
        </w:rPr>
        <w:t xml:space="preserve"> المتخصصون وأقسام الرعاي</w:t>
      </w:r>
      <w:r>
        <w:rPr>
          <w:rtl/>
        </w:rPr>
        <w:t xml:space="preserve">ة في المستشفيات العامة ومراكز الصحة خدمات رعاية </w:t>
      </w:r>
      <w:r>
        <w:rPr>
          <w:rFonts w:hint="eastAsia"/>
          <w:rtl/>
        </w:rPr>
        <w:t>صحية</w:t>
      </w:r>
      <w:r>
        <w:rPr>
          <w:rtl/>
        </w:rPr>
        <w:t xml:space="preserve"> عديدة للأم والطفل.</w:t>
      </w:r>
    </w:p>
    <w:p w:rsidR="00000000" w:rsidRDefault="00443EC1">
      <w:pPr>
        <w:spacing w:line="380" w:lineRule="exact"/>
        <w:jc w:val="both"/>
        <w:rPr>
          <w:rtl/>
        </w:rPr>
      </w:pPr>
      <w:r>
        <w:rPr>
          <w:rtl/>
        </w:rPr>
        <w:t>936-</w:t>
      </w:r>
      <w:r>
        <w:rPr>
          <w:rtl/>
        </w:rPr>
        <w:tab/>
      </w:r>
      <w:r>
        <w:rPr>
          <w:rFonts w:hint="eastAsia"/>
          <w:rtl/>
        </w:rPr>
        <w:t>وتقدم</w:t>
      </w:r>
      <w:r>
        <w:rPr>
          <w:rtl/>
        </w:rPr>
        <w:t xml:space="preserve"> </w:t>
      </w:r>
      <w:r>
        <w:rPr>
          <w:rFonts w:hint="eastAsia"/>
          <w:rtl/>
        </w:rPr>
        <w:t>قبل</w:t>
      </w:r>
      <w:r>
        <w:rPr>
          <w:rtl/>
        </w:rPr>
        <w:t xml:space="preserve"> الحمل </w:t>
      </w:r>
      <w:r>
        <w:rPr>
          <w:rFonts w:hint="cs"/>
          <w:rtl/>
        </w:rPr>
        <w:t>وأثناءه</w:t>
      </w:r>
      <w:r>
        <w:rPr>
          <w:rtl/>
        </w:rPr>
        <w:t xml:space="preserve"> معلومات وخدمات</w:t>
      </w:r>
      <w:r>
        <w:rPr>
          <w:rFonts w:hint="cs"/>
          <w:rtl/>
        </w:rPr>
        <w:t xml:space="preserve"> تتعلق ب</w:t>
      </w:r>
      <w:r>
        <w:rPr>
          <w:rtl/>
        </w:rPr>
        <w:t>تنظيم الأسرة، و</w:t>
      </w:r>
      <w:r>
        <w:rPr>
          <w:rFonts w:hint="cs"/>
          <w:rtl/>
        </w:rPr>
        <w:t>با</w:t>
      </w:r>
      <w:r>
        <w:rPr>
          <w:rtl/>
        </w:rPr>
        <w:t xml:space="preserve">لوقاية من الأمراض المنقولة عن </w:t>
      </w:r>
      <w:r>
        <w:rPr>
          <w:rFonts w:hint="eastAsia"/>
          <w:rtl/>
        </w:rPr>
        <w:t>طريق</w:t>
      </w:r>
      <w:r>
        <w:rPr>
          <w:rtl/>
        </w:rPr>
        <w:t xml:space="preserve"> الاتصال الجنسي، والتحصين ضد الكزاز؛ والتسجيل السابق للولادة، وما لا يقل عن </w:t>
      </w:r>
      <w:r>
        <w:rPr>
          <w:rFonts w:hint="cs"/>
          <w:rtl/>
        </w:rPr>
        <w:t>ست</w:t>
      </w:r>
      <w:r>
        <w:rPr>
          <w:rtl/>
        </w:rPr>
        <w:t xml:space="preserve"> عيا</w:t>
      </w:r>
      <w:r>
        <w:rPr>
          <w:rtl/>
        </w:rPr>
        <w:t xml:space="preserve">دات خلال الحمل، وتقديم </w:t>
      </w:r>
      <w:r>
        <w:rPr>
          <w:rFonts w:hint="cs"/>
          <w:rtl/>
        </w:rPr>
        <w:t>ال</w:t>
      </w:r>
      <w:r>
        <w:rPr>
          <w:rtl/>
        </w:rPr>
        <w:t xml:space="preserve">مشورة بشأن التغذية والنظام الغذائي </w:t>
      </w:r>
      <w:r>
        <w:rPr>
          <w:rFonts w:hint="cs"/>
          <w:rtl/>
        </w:rPr>
        <w:t>والتشخيص</w:t>
      </w:r>
      <w:r>
        <w:rPr>
          <w:rtl/>
        </w:rPr>
        <w:t xml:space="preserve"> </w:t>
      </w:r>
      <w:r>
        <w:rPr>
          <w:rFonts w:hint="eastAsia"/>
          <w:rtl/>
        </w:rPr>
        <w:t>المبكر</w:t>
      </w:r>
      <w:r>
        <w:rPr>
          <w:rtl/>
        </w:rPr>
        <w:t xml:space="preserve"> للمضاعفات وإدارتها. كما ت</w:t>
      </w:r>
      <w:r>
        <w:rPr>
          <w:rFonts w:hint="cs"/>
          <w:rtl/>
        </w:rPr>
        <w:t>ُ</w:t>
      </w:r>
      <w:r>
        <w:rPr>
          <w:rtl/>
        </w:rPr>
        <w:t>وف</w:t>
      </w:r>
      <w:r>
        <w:rPr>
          <w:rFonts w:hint="cs"/>
          <w:rtl/>
        </w:rPr>
        <w:t>َّ</w:t>
      </w:r>
      <w:r>
        <w:rPr>
          <w:rtl/>
        </w:rPr>
        <w:t>ر الولادة المأمونة في المستشفيات.</w:t>
      </w:r>
    </w:p>
    <w:p w:rsidR="00000000" w:rsidRDefault="00443EC1">
      <w:pPr>
        <w:spacing w:line="380" w:lineRule="exact"/>
        <w:jc w:val="both"/>
        <w:rPr>
          <w:rtl/>
        </w:rPr>
      </w:pPr>
      <w:r>
        <w:rPr>
          <w:rtl/>
        </w:rPr>
        <w:t>937-</w:t>
      </w:r>
      <w:r>
        <w:rPr>
          <w:rtl/>
        </w:rPr>
        <w:tab/>
      </w:r>
      <w:r>
        <w:rPr>
          <w:rFonts w:hint="cs"/>
          <w:rtl/>
        </w:rPr>
        <w:t>و</w:t>
      </w:r>
      <w:r>
        <w:rPr>
          <w:rFonts w:hint="eastAsia"/>
          <w:rtl/>
        </w:rPr>
        <w:t>تقدم</w:t>
      </w:r>
      <w:r>
        <w:rPr>
          <w:rtl/>
        </w:rPr>
        <w:t xml:space="preserve"> للأمهات بعد الولادة خدمات تتعلق بالتشخيص المبكر للمضاعفات اللاحقة للولادة </w:t>
      </w:r>
      <w:r>
        <w:rPr>
          <w:rFonts w:hint="eastAsia"/>
          <w:rtl/>
        </w:rPr>
        <w:t>في</w:t>
      </w:r>
      <w:r>
        <w:rPr>
          <w:rtl/>
        </w:rPr>
        <w:t xml:space="preserve"> المستشفيات/مراكز الرعاية الص</w:t>
      </w:r>
      <w:r>
        <w:rPr>
          <w:rtl/>
        </w:rPr>
        <w:t xml:space="preserve">حية؛ والعيادات والرعاية اللاحقة للولادة؛ والنهوض </w:t>
      </w:r>
      <w:r>
        <w:rPr>
          <w:rFonts w:hint="eastAsia"/>
          <w:rtl/>
        </w:rPr>
        <w:t>بالإرضاع</w:t>
      </w:r>
      <w:r>
        <w:rPr>
          <w:rtl/>
        </w:rPr>
        <w:t xml:space="preserve"> وإدارة مضاعفات أمراض الثدي؛ وتقد</w:t>
      </w:r>
      <w:r>
        <w:rPr>
          <w:rFonts w:hint="cs"/>
          <w:rtl/>
        </w:rPr>
        <w:t>َّ</w:t>
      </w:r>
      <w:r>
        <w:rPr>
          <w:rtl/>
        </w:rPr>
        <w:t xml:space="preserve">م </w:t>
      </w:r>
      <w:r>
        <w:rPr>
          <w:rFonts w:hint="cs"/>
          <w:rtl/>
        </w:rPr>
        <w:t xml:space="preserve">للأم بعد الوضع </w:t>
      </w:r>
      <w:r>
        <w:rPr>
          <w:rtl/>
        </w:rPr>
        <w:t xml:space="preserve">معلومات عن تنظيم الأسرة والتحصين ضد </w:t>
      </w:r>
      <w:r>
        <w:rPr>
          <w:rFonts w:hint="eastAsia"/>
          <w:rtl/>
        </w:rPr>
        <w:t>الكزاز</w:t>
      </w:r>
      <w:r>
        <w:rPr>
          <w:rtl/>
        </w:rPr>
        <w:t>.</w:t>
      </w:r>
    </w:p>
    <w:p w:rsidR="00000000" w:rsidRDefault="00443EC1">
      <w:pPr>
        <w:spacing w:line="380" w:lineRule="exact"/>
        <w:jc w:val="both"/>
        <w:rPr>
          <w:rtl/>
        </w:rPr>
      </w:pPr>
      <w:r>
        <w:rPr>
          <w:rtl/>
        </w:rPr>
        <w:t>938-</w:t>
      </w:r>
      <w:r>
        <w:rPr>
          <w:rtl/>
        </w:rPr>
        <w:tab/>
      </w:r>
      <w:r>
        <w:rPr>
          <w:rFonts w:hint="eastAsia"/>
          <w:rtl/>
        </w:rPr>
        <w:t>وفيما</w:t>
      </w:r>
      <w:r>
        <w:rPr>
          <w:rtl/>
        </w:rPr>
        <w:t xml:space="preserve"> </w:t>
      </w:r>
      <w:r>
        <w:rPr>
          <w:rFonts w:hint="eastAsia"/>
          <w:rtl/>
        </w:rPr>
        <w:t>يتعلق</w:t>
      </w:r>
      <w:r>
        <w:rPr>
          <w:rtl/>
        </w:rPr>
        <w:t xml:space="preserve"> بالوليد، </w:t>
      </w:r>
      <w:r>
        <w:rPr>
          <w:rFonts w:hint="cs"/>
          <w:rtl/>
        </w:rPr>
        <w:t>تُوفَّر</w:t>
      </w:r>
      <w:r>
        <w:rPr>
          <w:rtl/>
        </w:rPr>
        <w:t xml:space="preserve"> أيضاً خدمات التشخيص المبكر لعدوى الرضع والوقاية منها؛ </w:t>
      </w:r>
      <w:r>
        <w:rPr>
          <w:rFonts w:hint="eastAsia"/>
          <w:rtl/>
        </w:rPr>
        <w:t>والتحصين</w:t>
      </w:r>
      <w:r>
        <w:rPr>
          <w:rtl/>
        </w:rPr>
        <w:t xml:space="preserve"> ضد الس</w:t>
      </w:r>
      <w:r>
        <w:rPr>
          <w:rtl/>
        </w:rPr>
        <w:t xml:space="preserve">ل؛ وتقديم </w:t>
      </w:r>
      <w:r>
        <w:rPr>
          <w:rFonts w:hint="cs"/>
          <w:rtl/>
        </w:rPr>
        <w:t xml:space="preserve">المعلومات والدعم في وقت مبكّر وبشكل حصري عن الرضاعة الطبيعية؛ </w:t>
      </w:r>
      <w:r>
        <w:rPr>
          <w:rtl/>
        </w:rPr>
        <w:t xml:space="preserve">والعيادة </w:t>
      </w:r>
      <w:r>
        <w:rPr>
          <w:rFonts w:hint="eastAsia"/>
          <w:rtl/>
        </w:rPr>
        <w:t>المبكرة</w:t>
      </w:r>
      <w:r>
        <w:rPr>
          <w:rtl/>
        </w:rPr>
        <w:t xml:space="preserve"> في مراكز الرعاية الصحية للتسجيل من أجل التحصين؛ وخطط مراقبة الرضع.</w:t>
      </w:r>
    </w:p>
    <w:p w:rsidR="00000000" w:rsidRDefault="00443EC1">
      <w:pPr>
        <w:spacing w:line="380" w:lineRule="exact"/>
        <w:jc w:val="both"/>
        <w:rPr>
          <w:rtl/>
        </w:rPr>
      </w:pPr>
      <w:r>
        <w:rPr>
          <w:rtl/>
        </w:rPr>
        <w:t>939-</w:t>
      </w:r>
      <w:r>
        <w:rPr>
          <w:rtl/>
        </w:rPr>
        <w:tab/>
      </w:r>
      <w:r>
        <w:rPr>
          <w:rFonts w:hint="eastAsia"/>
          <w:rtl/>
        </w:rPr>
        <w:t>وفي</w:t>
      </w:r>
      <w:r>
        <w:rPr>
          <w:rtl/>
        </w:rPr>
        <w:t xml:space="preserve"> </w:t>
      </w:r>
      <w:r>
        <w:rPr>
          <w:rFonts w:hint="eastAsia"/>
          <w:rtl/>
        </w:rPr>
        <w:t>عام</w:t>
      </w:r>
      <w:r>
        <w:rPr>
          <w:rtl/>
        </w:rPr>
        <w:t xml:space="preserve"> 2001، شملت رعاية الأمومة في المراكز الصحية ثماني عيادات لكل امرأة حامل، </w:t>
      </w:r>
      <w:r>
        <w:rPr>
          <w:rFonts w:hint="cs"/>
          <w:rtl/>
        </w:rPr>
        <w:t>وبلغت</w:t>
      </w:r>
      <w:r>
        <w:rPr>
          <w:rtl/>
        </w:rPr>
        <w:t xml:space="preserve"> نسبة تغطي</w:t>
      </w:r>
      <w:r>
        <w:rPr>
          <w:rtl/>
        </w:rPr>
        <w:t xml:space="preserve">ة قدرها 72.8 في المائة من </w:t>
      </w:r>
      <w:r>
        <w:rPr>
          <w:rFonts w:hint="cs"/>
          <w:rtl/>
        </w:rPr>
        <w:t xml:space="preserve">إجمالي </w:t>
      </w:r>
      <w:r>
        <w:rPr>
          <w:rtl/>
        </w:rPr>
        <w:t>الإناث في سن الإنجاب.</w:t>
      </w:r>
    </w:p>
    <w:p w:rsidR="00000000" w:rsidRDefault="00443EC1">
      <w:pPr>
        <w:spacing w:line="380" w:lineRule="exact"/>
        <w:jc w:val="both"/>
        <w:rPr>
          <w:rtl/>
        </w:rPr>
      </w:pPr>
      <w:r>
        <w:rPr>
          <w:rtl/>
        </w:rPr>
        <w:t>940-</w:t>
      </w:r>
      <w:r>
        <w:rPr>
          <w:rtl/>
        </w:rPr>
        <w:tab/>
      </w:r>
      <w:r>
        <w:rPr>
          <w:rFonts w:hint="eastAsia"/>
          <w:rtl/>
        </w:rPr>
        <w:t>وتنهض</w:t>
      </w:r>
      <w:r>
        <w:rPr>
          <w:rtl/>
        </w:rPr>
        <w:t xml:space="preserve"> </w:t>
      </w:r>
      <w:r>
        <w:rPr>
          <w:rFonts w:hint="eastAsia"/>
          <w:rtl/>
        </w:rPr>
        <w:t>حكومة</w:t>
      </w:r>
      <w:r>
        <w:rPr>
          <w:rtl/>
        </w:rPr>
        <w:t xml:space="preserve"> مقاطعة م</w:t>
      </w:r>
      <w:r>
        <w:rPr>
          <w:rFonts w:hint="cs"/>
          <w:rtl/>
        </w:rPr>
        <w:t>ا</w:t>
      </w:r>
      <w:r>
        <w:rPr>
          <w:rtl/>
        </w:rPr>
        <w:t>كاو بإقامة وإدارة نظام شبكة الأم</w:t>
      </w:r>
      <w:r>
        <w:rPr>
          <w:rFonts w:hint="cs"/>
          <w:rtl/>
        </w:rPr>
        <w:t xml:space="preserve"> - </w:t>
      </w:r>
      <w:r>
        <w:rPr>
          <w:rtl/>
        </w:rPr>
        <w:t xml:space="preserve">الرضع والحضانات. وتقبل الحضانات </w:t>
      </w:r>
      <w:r>
        <w:rPr>
          <w:rFonts w:hint="eastAsia"/>
          <w:rtl/>
        </w:rPr>
        <w:t>الأطفال</w:t>
      </w:r>
      <w:r>
        <w:rPr>
          <w:rtl/>
        </w:rPr>
        <w:t xml:space="preserve"> الذين تتراوح أعمارهم بين ثلاثة شهور وثلاث سنوات، وتوفر الظروف المؤاتية </w:t>
      </w:r>
      <w:r>
        <w:rPr>
          <w:rFonts w:hint="eastAsia"/>
          <w:rtl/>
        </w:rPr>
        <w:t>لنماء</w:t>
      </w:r>
      <w:r>
        <w:rPr>
          <w:rtl/>
        </w:rPr>
        <w:t xml:space="preserve"> الطفل فضلاً عن </w:t>
      </w:r>
      <w:r>
        <w:rPr>
          <w:rFonts w:hint="cs"/>
          <w:rtl/>
        </w:rPr>
        <w:t xml:space="preserve">تقديم </w:t>
      </w:r>
      <w:r>
        <w:rPr>
          <w:rtl/>
        </w:rPr>
        <w:t>ال</w:t>
      </w:r>
      <w:r>
        <w:rPr>
          <w:rtl/>
        </w:rPr>
        <w:t>دعم الملائم للأسر</w:t>
      </w:r>
      <w:r>
        <w:rPr>
          <w:rFonts w:hint="cs"/>
          <w:rtl/>
        </w:rPr>
        <w:t>ة</w:t>
      </w:r>
      <w:r>
        <w:rPr>
          <w:rtl/>
        </w:rPr>
        <w:t xml:space="preserve"> (المادة 3</w:t>
      </w:r>
      <w:r>
        <w:rPr>
          <w:rFonts w:hint="cs"/>
          <w:rtl/>
        </w:rPr>
        <w:t>(1)</w:t>
      </w:r>
      <w:r>
        <w:rPr>
          <w:rtl/>
        </w:rPr>
        <w:t xml:space="preserve">(أ) من </w:t>
      </w:r>
      <w:r>
        <w:rPr>
          <w:rFonts w:hint="cs"/>
          <w:rtl/>
        </w:rPr>
        <w:t xml:space="preserve">المرسوم بقانون </w:t>
      </w:r>
      <w:r>
        <w:rPr>
          <w:rtl/>
        </w:rPr>
        <w:t>90/88/م المؤرخ 27 أيلول/سبتمبر</w:t>
      </w:r>
      <w:r>
        <w:rPr>
          <w:rFonts w:hint="cs"/>
          <w:rtl/>
        </w:rPr>
        <w:t>)</w:t>
      </w:r>
      <w:r>
        <w:rPr>
          <w:rtl/>
        </w:rPr>
        <w:t>.</w:t>
      </w:r>
    </w:p>
    <w:p w:rsidR="00000000" w:rsidRDefault="00443EC1">
      <w:pPr>
        <w:spacing w:line="380" w:lineRule="exact"/>
        <w:jc w:val="both"/>
        <w:rPr>
          <w:rtl/>
        </w:rPr>
      </w:pPr>
      <w:r>
        <w:rPr>
          <w:rtl/>
        </w:rPr>
        <w:t>941-</w:t>
      </w:r>
      <w:r>
        <w:rPr>
          <w:rtl/>
        </w:rPr>
        <w:tab/>
      </w:r>
      <w:r>
        <w:rPr>
          <w:rFonts w:hint="eastAsia"/>
          <w:rtl/>
        </w:rPr>
        <w:t>وتدعم</w:t>
      </w:r>
      <w:r>
        <w:rPr>
          <w:rtl/>
        </w:rPr>
        <w:t xml:space="preserve"> </w:t>
      </w:r>
      <w:r>
        <w:rPr>
          <w:rFonts w:hint="eastAsia"/>
          <w:rtl/>
        </w:rPr>
        <w:t>حكومة</w:t>
      </w:r>
      <w:r>
        <w:rPr>
          <w:rtl/>
        </w:rPr>
        <w:t xml:space="preserve"> مقاطعة </w:t>
      </w:r>
      <w:r>
        <w:rPr>
          <w:rFonts w:hint="cs"/>
          <w:rtl/>
        </w:rPr>
        <w:t xml:space="preserve">ماكاو </w:t>
      </w:r>
      <w:r>
        <w:rPr>
          <w:rtl/>
        </w:rPr>
        <w:t xml:space="preserve">دعماً كاملاً التدريب الملائم وتنظيم الأسرة اللذين يؤمنان </w:t>
      </w:r>
      <w:r>
        <w:rPr>
          <w:rFonts w:hint="eastAsia"/>
          <w:rtl/>
        </w:rPr>
        <w:t>ولادات</w:t>
      </w:r>
      <w:r>
        <w:rPr>
          <w:rtl/>
        </w:rPr>
        <w:t xml:space="preserve"> منظمة.</w:t>
      </w:r>
    </w:p>
    <w:p w:rsidR="00000000" w:rsidRDefault="00443EC1">
      <w:pPr>
        <w:spacing w:line="380" w:lineRule="exact"/>
        <w:jc w:val="both"/>
        <w:rPr>
          <w:rtl/>
        </w:rPr>
      </w:pPr>
      <w:r>
        <w:rPr>
          <w:rtl/>
        </w:rPr>
        <w:t>942-</w:t>
      </w:r>
      <w:r>
        <w:rPr>
          <w:rtl/>
        </w:rPr>
        <w:tab/>
      </w:r>
      <w:r>
        <w:rPr>
          <w:rFonts w:hint="eastAsia"/>
          <w:rtl/>
        </w:rPr>
        <w:t>ويهدف</w:t>
      </w:r>
      <w:r>
        <w:rPr>
          <w:rtl/>
        </w:rPr>
        <w:t xml:space="preserve"> </w:t>
      </w:r>
      <w:r>
        <w:rPr>
          <w:rFonts w:hint="eastAsia"/>
          <w:rtl/>
        </w:rPr>
        <w:t>تنظيم</w:t>
      </w:r>
      <w:r>
        <w:rPr>
          <w:rtl/>
        </w:rPr>
        <w:t xml:space="preserve"> الأسرة إلى تحسين صحة الأسرة ورفاهها، ويشمل تقديم معل</w:t>
      </w:r>
      <w:r>
        <w:rPr>
          <w:rtl/>
        </w:rPr>
        <w:t xml:space="preserve">ومات ومعارف ووسائل </w:t>
      </w:r>
      <w:r>
        <w:rPr>
          <w:rFonts w:hint="eastAsia"/>
          <w:rtl/>
        </w:rPr>
        <w:t>للأفراد</w:t>
      </w:r>
      <w:r>
        <w:rPr>
          <w:rtl/>
        </w:rPr>
        <w:t xml:space="preserve"> والأزواج تمكنهم من حرية ومسؤولية اتخاذ القرار بشأن عدد الأطفال الذي </w:t>
      </w:r>
      <w:r>
        <w:rPr>
          <w:rFonts w:hint="eastAsia"/>
          <w:rtl/>
        </w:rPr>
        <w:t>يرغبون</w:t>
      </w:r>
      <w:r>
        <w:rPr>
          <w:rtl/>
        </w:rPr>
        <w:t xml:space="preserve"> فيه وموعد ذلك. كما ت</w:t>
      </w:r>
      <w:r>
        <w:rPr>
          <w:rFonts w:hint="cs"/>
          <w:rtl/>
        </w:rPr>
        <w:t>ُ</w:t>
      </w:r>
      <w:r>
        <w:rPr>
          <w:rtl/>
        </w:rPr>
        <w:t>نظ</w:t>
      </w:r>
      <w:r>
        <w:rPr>
          <w:rFonts w:hint="cs"/>
          <w:rtl/>
        </w:rPr>
        <w:t>َّ</w:t>
      </w:r>
      <w:r>
        <w:rPr>
          <w:rtl/>
        </w:rPr>
        <w:t>م برامج استشارية عن تنظيم الأسر</w:t>
      </w:r>
      <w:r>
        <w:rPr>
          <w:rFonts w:hint="cs"/>
          <w:rtl/>
        </w:rPr>
        <w:t>ة</w:t>
      </w:r>
      <w:r>
        <w:rPr>
          <w:rtl/>
        </w:rPr>
        <w:t xml:space="preserve"> في المدارس </w:t>
      </w:r>
      <w:r>
        <w:rPr>
          <w:rFonts w:hint="eastAsia"/>
          <w:rtl/>
        </w:rPr>
        <w:t>و</w:t>
      </w:r>
      <w:r>
        <w:rPr>
          <w:rFonts w:hint="cs"/>
          <w:rtl/>
        </w:rPr>
        <w:t>جمعيات</w:t>
      </w:r>
      <w:r>
        <w:rPr>
          <w:rtl/>
        </w:rPr>
        <w:t xml:space="preserve"> المجتمعات المحلية. ويشمل تنظيم الأسرة تقديم المشورة السابقة لعقد الزواج </w:t>
      </w:r>
      <w:r>
        <w:rPr>
          <w:rFonts w:hint="cs"/>
          <w:rtl/>
        </w:rPr>
        <w:t>والجو</w:t>
      </w:r>
      <w:r>
        <w:rPr>
          <w:rFonts w:hint="cs"/>
          <w:rtl/>
        </w:rPr>
        <w:t>انب</w:t>
      </w:r>
      <w:r>
        <w:rPr>
          <w:rtl/>
        </w:rPr>
        <w:t xml:space="preserve"> الوراثية، و</w:t>
      </w:r>
      <w:r>
        <w:rPr>
          <w:rFonts w:hint="cs"/>
          <w:rtl/>
        </w:rPr>
        <w:t>ال</w:t>
      </w:r>
      <w:r>
        <w:rPr>
          <w:rtl/>
        </w:rPr>
        <w:t xml:space="preserve">معلومات عن أساليب التحكم في الولادات، ومعالجة العقم ومقاومة </w:t>
      </w:r>
      <w:r>
        <w:rPr>
          <w:rFonts w:hint="eastAsia"/>
          <w:rtl/>
        </w:rPr>
        <w:t>الأمراض</w:t>
      </w:r>
      <w:r>
        <w:rPr>
          <w:rtl/>
        </w:rPr>
        <w:t xml:space="preserve"> الوراثية والأمراض التي تنتقل عن طريق الاتصال الجنسي (المادة 10(2) من </w:t>
      </w:r>
      <w:r>
        <w:rPr>
          <w:rFonts w:hint="eastAsia"/>
          <w:rtl/>
        </w:rPr>
        <w:t>القانون</w:t>
      </w:r>
      <w:r>
        <w:rPr>
          <w:rtl/>
        </w:rPr>
        <w:t xml:space="preserve"> 6/94/م).</w:t>
      </w:r>
    </w:p>
    <w:p w:rsidR="00000000" w:rsidRDefault="00443EC1">
      <w:pPr>
        <w:spacing w:line="380" w:lineRule="exact"/>
        <w:jc w:val="both"/>
        <w:rPr>
          <w:rtl/>
        </w:rPr>
      </w:pPr>
      <w:r>
        <w:rPr>
          <w:rtl/>
        </w:rPr>
        <w:t>943-</w:t>
      </w:r>
      <w:r>
        <w:rPr>
          <w:rtl/>
        </w:rPr>
        <w:tab/>
      </w:r>
      <w:r>
        <w:rPr>
          <w:rFonts w:hint="eastAsia"/>
          <w:rtl/>
        </w:rPr>
        <w:t>وتقدم</w:t>
      </w:r>
      <w:r>
        <w:rPr>
          <w:rtl/>
        </w:rPr>
        <w:t xml:space="preserve"> </w:t>
      </w:r>
      <w:r>
        <w:rPr>
          <w:rFonts w:hint="eastAsia"/>
          <w:rtl/>
        </w:rPr>
        <w:t>مراكز</w:t>
      </w:r>
      <w:r>
        <w:rPr>
          <w:rtl/>
        </w:rPr>
        <w:t xml:space="preserve"> الرعاية الصحية برامج تنظيم الأسرة. و</w:t>
      </w:r>
      <w:r>
        <w:rPr>
          <w:rFonts w:hint="cs"/>
          <w:rtl/>
        </w:rPr>
        <w:t xml:space="preserve">تُوفَّر </w:t>
      </w:r>
      <w:r>
        <w:rPr>
          <w:rtl/>
        </w:rPr>
        <w:t>جميع الأدوية والمعدات ال</w:t>
      </w:r>
      <w:r>
        <w:rPr>
          <w:rtl/>
        </w:rPr>
        <w:t xml:space="preserve">مستخدمة في </w:t>
      </w:r>
      <w:r>
        <w:rPr>
          <w:rFonts w:hint="eastAsia"/>
          <w:rtl/>
        </w:rPr>
        <w:t>تنظيم</w:t>
      </w:r>
      <w:r>
        <w:rPr>
          <w:rtl/>
        </w:rPr>
        <w:t xml:space="preserve"> الأسرة مجان</w:t>
      </w:r>
      <w:r>
        <w:rPr>
          <w:rFonts w:hint="cs"/>
          <w:rtl/>
        </w:rPr>
        <w:t>ا</w:t>
      </w:r>
      <w:r>
        <w:rPr>
          <w:rtl/>
        </w:rPr>
        <w:t xml:space="preserve"> </w:t>
      </w:r>
      <w:r>
        <w:rPr>
          <w:rFonts w:hint="cs"/>
          <w:rtl/>
        </w:rPr>
        <w:t xml:space="preserve">وتتحمل </w:t>
      </w:r>
      <w:r>
        <w:rPr>
          <w:rtl/>
        </w:rPr>
        <w:t>الحكومة نفق</w:t>
      </w:r>
      <w:r>
        <w:rPr>
          <w:rFonts w:hint="cs"/>
          <w:rtl/>
        </w:rPr>
        <w:t>اتها</w:t>
      </w:r>
      <w:r>
        <w:rPr>
          <w:rtl/>
        </w:rPr>
        <w:t xml:space="preserve"> (المادتان 6(2) و7(1)(د) من </w:t>
      </w:r>
      <w:r>
        <w:rPr>
          <w:rFonts w:hint="cs"/>
          <w:rtl/>
        </w:rPr>
        <w:t xml:space="preserve">المرسوم بقانون </w:t>
      </w:r>
      <w:r>
        <w:rPr>
          <w:rtl/>
        </w:rPr>
        <w:t xml:space="preserve">24/86/م المؤرخ </w:t>
      </w:r>
      <w:r>
        <w:rPr>
          <w:rFonts w:hint="cs"/>
          <w:rtl/>
        </w:rPr>
        <w:t>15</w:t>
      </w:r>
      <w:r>
        <w:rPr>
          <w:rtl/>
        </w:rPr>
        <w:t>آذار/مارس).</w:t>
      </w:r>
    </w:p>
    <w:p w:rsidR="00000000" w:rsidRDefault="00443EC1">
      <w:pPr>
        <w:spacing w:line="380" w:lineRule="exact"/>
        <w:jc w:val="both"/>
        <w:rPr>
          <w:spacing w:val="0"/>
          <w:rtl/>
        </w:rPr>
      </w:pPr>
      <w:r>
        <w:rPr>
          <w:rtl/>
        </w:rPr>
        <w:t>944-</w:t>
      </w:r>
      <w:r>
        <w:rPr>
          <w:rtl/>
        </w:rPr>
        <w:tab/>
      </w:r>
      <w:r>
        <w:rPr>
          <w:rFonts w:hint="eastAsia"/>
          <w:rtl/>
        </w:rPr>
        <w:t>وفي</w:t>
      </w:r>
      <w:r>
        <w:rPr>
          <w:rtl/>
        </w:rPr>
        <w:t xml:space="preserve"> </w:t>
      </w:r>
      <w:r>
        <w:rPr>
          <w:rFonts w:hint="eastAsia"/>
          <w:rtl/>
        </w:rPr>
        <w:t>القطاع</w:t>
      </w:r>
      <w:r>
        <w:rPr>
          <w:rtl/>
        </w:rPr>
        <w:t xml:space="preserve"> الخاص، ينص قانون العمل على أنه يحق للمرأة</w:t>
      </w:r>
      <w:r>
        <w:rPr>
          <w:rFonts w:hint="cs"/>
          <w:rtl/>
        </w:rPr>
        <w:t xml:space="preserve"> الحامل</w:t>
      </w:r>
      <w:r>
        <w:rPr>
          <w:rtl/>
        </w:rPr>
        <w:t xml:space="preserve"> العاملة منذ ما يربو </w:t>
      </w:r>
      <w:r>
        <w:rPr>
          <w:rFonts w:hint="cs"/>
          <w:rtl/>
        </w:rPr>
        <w:t xml:space="preserve">على </w:t>
      </w:r>
      <w:r>
        <w:rPr>
          <w:rtl/>
        </w:rPr>
        <w:t xml:space="preserve">عام </w:t>
      </w:r>
      <w:r>
        <w:rPr>
          <w:rFonts w:hint="cs"/>
          <w:rtl/>
        </w:rPr>
        <w:t>التمتع ب</w:t>
      </w:r>
      <w:r>
        <w:rPr>
          <w:rtl/>
        </w:rPr>
        <w:t xml:space="preserve">إجازة أمومة </w:t>
      </w:r>
      <w:r>
        <w:rPr>
          <w:rFonts w:hint="cs"/>
          <w:rtl/>
        </w:rPr>
        <w:t>مدتها</w:t>
      </w:r>
      <w:r>
        <w:rPr>
          <w:rtl/>
        </w:rPr>
        <w:t xml:space="preserve"> 35 يوماً دون </w:t>
      </w:r>
      <w:r>
        <w:rPr>
          <w:rFonts w:hint="cs"/>
          <w:rtl/>
        </w:rPr>
        <w:t>فقدان أجرها</w:t>
      </w:r>
      <w:r>
        <w:rPr>
          <w:rtl/>
        </w:rPr>
        <w:t xml:space="preserve"> أو وظيفتها؛ ومن بين ال‍ 35 يوم</w:t>
      </w:r>
      <w:r>
        <w:rPr>
          <w:rFonts w:hint="cs"/>
          <w:rtl/>
        </w:rPr>
        <w:t>ا</w:t>
      </w:r>
      <w:r>
        <w:rPr>
          <w:rtl/>
        </w:rPr>
        <w:t xml:space="preserve"> السالفة الذكر، يجب أن تستفيد من 30 يوماً </w:t>
      </w:r>
      <w:r>
        <w:rPr>
          <w:rFonts w:hint="cs"/>
          <w:rtl/>
        </w:rPr>
        <w:t xml:space="preserve">منها </w:t>
      </w:r>
      <w:r>
        <w:rPr>
          <w:rtl/>
        </w:rPr>
        <w:t xml:space="preserve">بعد الولادة ويمكن أن تستفيد من </w:t>
      </w:r>
      <w:r>
        <w:rPr>
          <w:rFonts w:hint="cs"/>
          <w:rtl/>
        </w:rPr>
        <w:t xml:space="preserve">الأيام الخمسة </w:t>
      </w:r>
      <w:r>
        <w:rPr>
          <w:rtl/>
        </w:rPr>
        <w:t xml:space="preserve">الباقية إما قبل الوضع أو بعده. ويمكن أن </w:t>
      </w:r>
      <w:r>
        <w:rPr>
          <w:rFonts w:hint="cs"/>
          <w:rtl/>
        </w:rPr>
        <w:t>تُمدَّد</w:t>
      </w:r>
      <w:r>
        <w:rPr>
          <w:rtl/>
        </w:rPr>
        <w:t xml:space="preserve"> فترة ال‍ 35 </w:t>
      </w:r>
      <w:r>
        <w:rPr>
          <w:rFonts w:hint="eastAsia"/>
          <w:rtl/>
        </w:rPr>
        <w:t>يوم</w:t>
      </w:r>
      <w:r>
        <w:rPr>
          <w:rFonts w:hint="cs"/>
          <w:rtl/>
        </w:rPr>
        <w:t>ا</w:t>
      </w:r>
      <w:r>
        <w:rPr>
          <w:rtl/>
        </w:rPr>
        <w:t xml:space="preserve"> </w:t>
      </w:r>
      <w:r>
        <w:rPr>
          <w:rFonts w:hint="cs"/>
          <w:rtl/>
        </w:rPr>
        <w:t>هذه</w:t>
      </w:r>
      <w:r>
        <w:rPr>
          <w:rtl/>
        </w:rPr>
        <w:t xml:space="preserve"> في حالات استثنائية. غير أن الحق في إجازة الأمومة دون</w:t>
      </w:r>
      <w:r>
        <w:rPr>
          <w:rtl/>
        </w:rPr>
        <w:t xml:space="preserve"> فقدان </w:t>
      </w:r>
      <w:r>
        <w:rPr>
          <w:rFonts w:hint="cs"/>
          <w:rtl/>
        </w:rPr>
        <w:t>الأجر</w:t>
      </w:r>
      <w:r>
        <w:rPr>
          <w:rtl/>
        </w:rPr>
        <w:t xml:space="preserve"> مضمون في حدود </w:t>
      </w:r>
      <w:r>
        <w:rPr>
          <w:rFonts w:hint="cs"/>
          <w:rtl/>
        </w:rPr>
        <w:t>ثلاث</w:t>
      </w:r>
      <w:r>
        <w:rPr>
          <w:rtl/>
        </w:rPr>
        <w:t xml:space="preserve"> ولادات (المادة 37 من ال</w:t>
      </w:r>
      <w:r>
        <w:rPr>
          <w:rFonts w:hint="cs"/>
          <w:rtl/>
        </w:rPr>
        <w:t>مرسوم بقانون 24</w:t>
      </w:r>
      <w:r>
        <w:rPr>
          <w:rtl/>
        </w:rPr>
        <w:t xml:space="preserve">/89/م). وينبغي </w:t>
      </w:r>
      <w:r>
        <w:rPr>
          <w:rFonts w:hint="eastAsia"/>
          <w:rtl/>
        </w:rPr>
        <w:t>للمرأة</w:t>
      </w:r>
      <w:r>
        <w:rPr>
          <w:rtl/>
        </w:rPr>
        <w:t xml:space="preserve"> الحامل</w:t>
      </w:r>
      <w:r>
        <w:rPr>
          <w:rFonts w:hint="cs"/>
          <w:rtl/>
        </w:rPr>
        <w:t xml:space="preserve">، </w:t>
      </w:r>
      <w:r>
        <w:rPr>
          <w:rtl/>
        </w:rPr>
        <w:t xml:space="preserve">ولفترة ثلاثة شهور بعد الوضع، </w:t>
      </w:r>
      <w:r>
        <w:rPr>
          <w:spacing w:val="0"/>
          <w:rtl/>
        </w:rPr>
        <w:t xml:space="preserve">ألا تقوم بأية أعمال يمكن أن تؤدي إلى </w:t>
      </w:r>
      <w:r>
        <w:rPr>
          <w:rFonts w:hint="eastAsia"/>
          <w:spacing w:val="0"/>
          <w:rtl/>
        </w:rPr>
        <w:t>إجهاد</w:t>
      </w:r>
      <w:r>
        <w:rPr>
          <w:spacing w:val="0"/>
          <w:rtl/>
        </w:rPr>
        <w:t xml:space="preserve"> أو </w:t>
      </w:r>
      <w:r>
        <w:rPr>
          <w:rFonts w:hint="cs"/>
          <w:spacing w:val="0"/>
          <w:rtl/>
        </w:rPr>
        <w:t xml:space="preserve">تعرّض </w:t>
      </w:r>
      <w:r>
        <w:rPr>
          <w:spacing w:val="0"/>
          <w:rtl/>
        </w:rPr>
        <w:t>صحتها ل</w:t>
      </w:r>
      <w:r>
        <w:rPr>
          <w:rFonts w:hint="cs"/>
          <w:spacing w:val="0"/>
          <w:rtl/>
        </w:rPr>
        <w:t>ل</w:t>
      </w:r>
      <w:r>
        <w:rPr>
          <w:spacing w:val="0"/>
          <w:rtl/>
        </w:rPr>
        <w:t xml:space="preserve">خطر (المادة 35(2) من </w:t>
      </w:r>
      <w:r>
        <w:rPr>
          <w:rFonts w:hint="cs"/>
          <w:spacing w:val="0"/>
          <w:rtl/>
        </w:rPr>
        <w:t>المرسوم ب</w:t>
      </w:r>
      <w:r>
        <w:rPr>
          <w:spacing w:val="0"/>
          <w:rtl/>
        </w:rPr>
        <w:t>قانون 24/89/م).</w:t>
      </w:r>
    </w:p>
    <w:p w:rsidR="00000000" w:rsidRDefault="00443EC1">
      <w:pPr>
        <w:spacing w:line="380" w:lineRule="exact"/>
        <w:jc w:val="both"/>
        <w:rPr>
          <w:rFonts w:hint="cs"/>
          <w:rtl/>
        </w:rPr>
      </w:pPr>
      <w:r>
        <w:rPr>
          <w:rtl/>
        </w:rPr>
        <w:t>945-</w:t>
      </w:r>
      <w:r>
        <w:rPr>
          <w:rtl/>
        </w:rPr>
        <w:tab/>
      </w:r>
      <w:r>
        <w:rPr>
          <w:rFonts w:hint="eastAsia"/>
          <w:rtl/>
        </w:rPr>
        <w:t>ويحق</w:t>
      </w:r>
      <w:r>
        <w:rPr>
          <w:rtl/>
        </w:rPr>
        <w:t xml:space="preserve"> </w:t>
      </w:r>
      <w:r>
        <w:rPr>
          <w:rFonts w:hint="eastAsia"/>
          <w:rtl/>
        </w:rPr>
        <w:t>للعاملات</w:t>
      </w:r>
      <w:r>
        <w:rPr>
          <w:rtl/>
        </w:rPr>
        <w:t xml:space="preserve"> في</w:t>
      </w:r>
      <w:r>
        <w:rPr>
          <w:rtl/>
        </w:rPr>
        <w:t xml:space="preserve"> القطاع العام </w:t>
      </w:r>
      <w:r>
        <w:rPr>
          <w:rFonts w:hint="cs"/>
          <w:rtl/>
        </w:rPr>
        <w:t>التمتع</w:t>
      </w:r>
      <w:r>
        <w:rPr>
          <w:rtl/>
        </w:rPr>
        <w:t xml:space="preserve"> </w:t>
      </w:r>
      <w:r>
        <w:rPr>
          <w:rFonts w:hint="cs"/>
          <w:rtl/>
        </w:rPr>
        <w:t>ب</w:t>
      </w:r>
      <w:r>
        <w:rPr>
          <w:rtl/>
        </w:rPr>
        <w:t xml:space="preserve">إجازة أمومة </w:t>
      </w:r>
      <w:r>
        <w:rPr>
          <w:rFonts w:hint="cs"/>
          <w:rtl/>
        </w:rPr>
        <w:t>مدتها</w:t>
      </w:r>
      <w:r>
        <w:rPr>
          <w:rtl/>
        </w:rPr>
        <w:t xml:space="preserve">90 يوماً، </w:t>
      </w:r>
      <w:r>
        <w:rPr>
          <w:rFonts w:hint="cs"/>
          <w:rtl/>
        </w:rPr>
        <w:t xml:space="preserve">منها </w:t>
      </w:r>
      <w:r>
        <w:rPr>
          <w:rtl/>
        </w:rPr>
        <w:t>60 يوماً بعد الوضع</w:t>
      </w:r>
      <w:r>
        <w:rPr>
          <w:rFonts w:hint="cs"/>
          <w:rtl/>
        </w:rPr>
        <w:t xml:space="preserve"> و30 </w:t>
      </w:r>
      <w:r>
        <w:rPr>
          <w:rtl/>
        </w:rPr>
        <w:t xml:space="preserve">يوماً قبل الوضع أو بعده، دون تقييد </w:t>
      </w:r>
      <w:r>
        <w:rPr>
          <w:rFonts w:hint="eastAsia"/>
          <w:rtl/>
        </w:rPr>
        <w:t>عدد</w:t>
      </w:r>
      <w:r>
        <w:rPr>
          <w:rtl/>
        </w:rPr>
        <w:t xml:space="preserve"> الولادات. وللمرأة أيضاً الحق في استراحة بساعة واحدة لإرضاع </w:t>
      </w:r>
      <w:r>
        <w:rPr>
          <w:rFonts w:hint="cs"/>
          <w:rtl/>
        </w:rPr>
        <w:t>وليدها</w:t>
      </w:r>
      <w:r>
        <w:rPr>
          <w:rtl/>
        </w:rPr>
        <w:t xml:space="preserve"> حتى يبلغ </w:t>
      </w:r>
      <w:r>
        <w:rPr>
          <w:rFonts w:hint="cs"/>
          <w:rtl/>
        </w:rPr>
        <w:t xml:space="preserve">عاما </w:t>
      </w:r>
      <w:r>
        <w:rPr>
          <w:rtl/>
        </w:rPr>
        <w:t xml:space="preserve">من العمر (المادة </w:t>
      </w:r>
      <w:r>
        <w:rPr>
          <w:rFonts w:hint="cs"/>
          <w:rtl/>
        </w:rPr>
        <w:t xml:space="preserve">92 من </w:t>
      </w:r>
      <w:r>
        <w:rPr>
          <w:rFonts w:hint="eastAsia"/>
          <w:rtl/>
        </w:rPr>
        <w:t>قانون</w:t>
      </w:r>
      <w:r>
        <w:t xml:space="preserve"> </w:t>
      </w:r>
      <w:r>
        <w:rPr>
          <w:rtl/>
        </w:rPr>
        <w:t xml:space="preserve">موظفي الإدارة </w:t>
      </w:r>
      <w:r>
        <w:rPr>
          <w:rFonts w:hint="eastAsia"/>
          <w:rtl/>
        </w:rPr>
        <w:t>العامة</w:t>
      </w:r>
      <w:r>
        <w:rPr>
          <w:rtl/>
        </w:rPr>
        <w:t>).</w:t>
      </w:r>
    </w:p>
    <w:p w:rsidR="00000000" w:rsidRDefault="00443EC1">
      <w:pPr>
        <w:spacing w:line="380" w:lineRule="exact"/>
        <w:jc w:val="both"/>
        <w:rPr>
          <w:rFonts w:hint="cs"/>
          <w:rtl/>
        </w:rPr>
      </w:pPr>
      <w:r>
        <w:rPr>
          <w:rFonts w:hint="cs"/>
          <w:rtl/>
        </w:rPr>
        <w:t>946-</w:t>
      </w:r>
      <w:r>
        <w:rPr>
          <w:rFonts w:hint="cs"/>
          <w:rtl/>
        </w:rPr>
        <w:tab/>
        <w:t>ويح</w:t>
      </w:r>
      <w:r>
        <w:rPr>
          <w:rFonts w:hint="cs"/>
          <w:rtl/>
        </w:rPr>
        <w:t>ق للعمال الذكور، في القطاع العام، التمتع بإجازة أبوة مدتها خمسة أيام بعد ولادة الطفل (المادة 93 من قانون موظفي الإدارة العامة).</w:t>
      </w:r>
    </w:p>
    <w:p w:rsidR="00000000" w:rsidRDefault="00443EC1">
      <w:pPr>
        <w:spacing w:line="380" w:lineRule="exact"/>
        <w:jc w:val="both"/>
        <w:rPr>
          <w:rFonts w:hint="cs"/>
          <w:rtl/>
        </w:rPr>
      </w:pPr>
      <w:r>
        <w:rPr>
          <w:rFonts w:hint="cs"/>
          <w:rtl/>
        </w:rPr>
        <w:t>947-</w:t>
      </w:r>
      <w:r>
        <w:rPr>
          <w:rFonts w:hint="cs"/>
          <w:rtl/>
        </w:rPr>
        <w:tab/>
        <w:t>وكما أسلفنا، يجري في الوقت الراهن تنقيح قانونيْ العمل. واقترحت حكومة مقاطعة ماكاو، فيما يتعلق بقانون القطاع الخاص، إسقاط أم</w:t>
      </w:r>
      <w:r>
        <w:rPr>
          <w:rFonts w:hint="cs"/>
          <w:rtl/>
        </w:rPr>
        <w:t>ور من بينها تقييد إجازة الأمومة بثلاث ولادات والزيادة في مدة تلك الإجازة.</w:t>
      </w:r>
    </w:p>
    <w:p w:rsidR="00000000" w:rsidRDefault="00443EC1">
      <w:pPr>
        <w:spacing w:line="380" w:lineRule="exact"/>
        <w:jc w:val="both"/>
        <w:rPr>
          <w:rFonts w:hint="cs"/>
          <w:rtl/>
        </w:rPr>
      </w:pPr>
      <w:r>
        <w:rPr>
          <w:rFonts w:hint="cs"/>
          <w:rtl/>
        </w:rPr>
        <w:t>948-</w:t>
      </w:r>
      <w:r>
        <w:rPr>
          <w:rFonts w:hint="cs"/>
          <w:rtl/>
        </w:rPr>
        <w:tab/>
        <w:t>وترد معلومات إضافية عن منافع أخرى للضمان الاجتماعي في الجزء المتعلق بالمادة 9.</w:t>
      </w:r>
    </w:p>
    <w:p w:rsidR="00000000" w:rsidRDefault="00443EC1">
      <w:pPr>
        <w:spacing w:line="380" w:lineRule="exact"/>
        <w:jc w:val="center"/>
        <w:rPr>
          <w:rFonts w:hint="cs"/>
          <w:b/>
          <w:bCs/>
          <w:rtl/>
        </w:rPr>
      </w:pPr>
      <w:r>
        <w:rPr>
          <w:rFonts w:hint="cs"/>
          <w:b/>
          <w:bCs/>
          <w:rtl/>
        </w:rPr>
        <w:t>دال - حماية الأطفال والشباب</w:t>
      </w:r>
    </w:p>
    <w:p w:rsidR="00000000" w:rsidRDefault="00443EC1">
      <w:pPr>
        <w:spacing w:line="380" w:lineRule="exact"/>
        <w:jc w:val="both"/>
        <w:rPr>
          <w:rFonts w:hint="cs"/>
          <w:rtl/>
        </w:rPr>
      </w:pPr>
      <w:r>
        <w:rPr>
          <w:rFonts w:hint="cs"/>
          <w:rtl/>
        </w:rPr>
        <w:t>949-</w:t>
      </w:r>
      <w:r>
        <w:rPr>
          <w:rFonts w:hint="cs"/>
          <w:rtl/>
        </w:rPr>
        <w:tab/>
        <w:t>ينص القانون الأساسي صراحة على رعاية مقاطعة ماكاو للقاصرين وحمايته</w:t>
      </w:r>
      <w:r>
        <w:rPr>
          <w:rFonts w:hint="cs"/>
          <w:rtl/>
        </w:rPr>
        <w:t>م (المادة 38(3)).</w:t>
      </w:r>
    </w:p>
    <w:p w:rsidR="00000000" w:rsidRDefault="00443EC1">
      <w:pPr>
        <w:spacing w:before="180" w:after="180" w:line="380" w:lineRule="exact"/>
        <w:jc w:val="both"/>
        <w:rPr>
          <w:rFonts w:hint="cs"/>
          <w:rtl/>
        </w:rPr>
      </w:pPr>
      <w:r>
        <w:rPr>
          <w:rFonts w:hint="cs"/>
          <w:rtl/>
        </w:rPr>
        <w:t>950-</w:t>
      </w:r>
      <w:r>
        <w:rPr>
          <w:rFonts w:hint="cs"/>
          <w:rtl/>
        </w:rPr>
        <w:tab/>
        <w:t>وإلى جانب اتفاقية حقوق الطفل لعام 1989 والاتفاقية بشأن الحد الأدنى لسن الاستخدام لعام 1973 (اتفاقية منظمة العمل الدولية رقم 138)، تطبق أيضاً معاهدات أخرى تتصل بحماية الأطفال في مقاطعة ماكاو. وتشمل، فيما تشمل، اتفاقية عمل الأحداث ليلا</w:t>
      </w:r>
      <w:r>
        <w:rPr>
          <w:rFonts w:hint="cs"/>
          <w:rtl/>
        </w:rPr>
        <w:t xml:space="preserve">ً في الصناعة لعام 1919 (اتفاقية منظمة العمل الدولية رقم 6)؛ واتفاقية لاهاي لعام 1956بشأن القانون المنطبق على التزامات النفقة تجاه الأطفال؛ واتفاقية لاهاي لعام 1958بشأن الاعتراف بالأحكام المتعلقة بالالتزام بالنفقة تجاه الأطفال وتنفيذها؛ واتفاقية لاهاي لعام </w:t>
      </w:r>
      <w:r>
        <w:rPr>
          <w:rFonts w:hint="cs"/>
          <w:rtl/>
        </w:rPr>
        <w:t>1961 المتعلقة بصلاحيات السلطات والقانون المنطبق فيما يتعلق بحماية القُصَّر؛ واتفاقية لاهاي لعام 1980بشأن الجوانب المدنية لاختطاف الأطفال على الصعيد الدولي.</w:t>
      </w:r>
    </w:p>
    <w:p w:rsidR="00000000" w:rsidRDefault="00443EC1">
      <w:pPr>
        <w:spacing w:before="180" w:after="180" w:line="380" w:lineRule="exact"/>
        <w:jc w:val="both"/>
        <w:rPr>
          <w:rFonts w:hint="cs"/>
          <w:rtl/>
        </w:rPr>
      </w:pPr>
      <w:r>
        <w:rPr>
          <w:rFonts w:hint="cs"/>
          <w:rtl/>
        </w:rPr>
        <w:t>951-</w:t>
      </w:r>
      <w:r>
        <w:rPr>
          <w:rFonts w:hint="cs"/>
          <w:rtl/>
        </w:rPr>
        <w:tab/>
        <w:t>وتنهض حكومة مقاطعة ماكاو، بالتعاون مع رابطات تعمل في مجال الدفاع عن مصالح الأسرة ومؤسسات التضام</w:t>
      </w:r>
      <w:r>
        <w:rPr>
          <w:rFonts w:hint="cs"/>
          <w:rtl/>
        </w:rPr>
        <w:t>ن الاجتماعي، بسياسة تهدف إلى حماية القاصرين المحرومين من بيئة أسرية عادية، وتسعى لتمكينهم من ظروف عيش أفضل، ووحدة عائلية وإدماجهم في المجتمعات المحلية.</w:t>
      </w:r>
    </w:p>
    <w:p w:rsidR="00000000" w:rsidRDefault="00443EC1">
      <w:pPr>
        <w:spacing w:before="180" w:after="180" w:line="380" w:lineRule="exact"/>
        <w:jc w:val="both"/>
        <w:rPr>
          <w:rFonts w:hint="cs"/>
          <w:rtl/>
        </w:rPr>
      </w:pPr>
      <w:r>
        <w:rPr>
          <w:rFonts w:hint="cs"/>
          <w:rtl/>
        </w:rPr>
        <w:t>952-</w:t>
      </w:r>
      <w:r>
        <w:rPr>
          <w:rFonts w:hint="cs"/>
          <w:rtl/>
        </w:rPr>
        <w:tab/>
        <w:t>وتشترك وزارة التعليم والشباب و</w:t>
      </w:r>
      <w:r>
        <w:rPr>
          <w:rFonts w:hint="eastAsia"/>
          <w:rtl/>
        </w:rPr>
        <w:t>معهد</w:t>
      </w:r>
      <w:r>
        <w:rPr>
          <w:rFonts w:hint="cs"/>
          <w:rtl/>
        </w:rPr>
        <w:t xml:space="preserve"> </w:t>
      </w:r>
      <w:r>
        <w:rPr>
          <w:rtl/>
        </w:rPr>
        <w:t xml:space="preserve">الرعاية </w:t>
      </w:r>
      <w:r>
        <w:rPr>
          <w:rFonts w:hint="eastAsia"/>
          <w:rtl/>
        </w:rPr>
        <w:t>الاجتماعية</w:t>
      </w:r>
      <w:r>
        <w:rPr>
          <w:rFonts w:hint="cs"/>
          <w:rtl/>
        </w:rPr>
        <w:t xml:space="preserve"> في تقديم برامج تثقيفية وتنظيم برامج على مستوى</w:t>
      </w:r>
      <w:r>
        <w:rPr>
          <w:rFonts w:hint="cs"/>
          <w:rtl/>
        </w:rPr>
        <w:t xml:space="preserve"> المجتمع المحلي تتناول قضايا الصحة وحقوق الطفل. كما تتعهد هذه الهيئات وغيرها بنشر حقوق الأسرة وحقوق الطفل.</w:t>
      </w:r>
    </w:p>
    <w:p w:rsidR="00000000" w:rsidRDefault="00443EC1">
      <w:pPr>
        <w:spacing w:before="180" w:after="180" w:line="380" w:lineRule="exact"/>
        <w:jc w:val="both"/>
        <w:rPr>
          <w:rFonts w:hint="cs"/>
          <w:rtl/>
        </w:rPr>
      </w:pPr>
      <w:r>
        <w:rPr>
          <w:rFonts w:hint="cs"/>
          <w:rtl/>
        </w:rPr>
        <w:t>953-</w:t>
      </w:r>
      <w:r>
        <w:rPr>
          <w:rFonts w:hint="cs"/>
          <w:rtl/>
        </w:rPr>
        <w:tab/>
        <w:t>وتولي حكومة المقاطعة اهتماماً خاصاً بالأيتام والأطفال الذين لا يعيشون مع الأبوين البيولوجيين، والفتيات، والأطفال المهملين أو المحرومين من بيئتهم</w:t>
      </w:r>
      <w:r>
        <w:rPr>
          <w:rFonts w:hint="cs"/>
          <w:rtl/>
        </w:rPr>
        <w:t xml:space="preserve"> الأسرية، إضافة إلى الأطفال المعاقين جسدياً أو عقلياً.</w:t>
      </w:r>
    </w:p>
    <w:p w:rsidR="00000000" w:rsidRDefault="00443EC1">
      <w:pPr>
        <w:spacing w:before="180" w:after="180" w:line="380" w:lineRule="exact"/>
        <w:jc w:val="both"/>
        <w:rPr>
          <w:rFonts w:hint="cs"/>
          <w:rtl/>
        </w:rPr>
      </w:pPr>
      <w:r>
        <w:rPr>
          <w:rFonts w:hint="cs"/>
          <w:rtl/>
        </w:rPr>
        <w:t>954-</w:t>
      </w:r>
      <w:r>
        <w:rPr>
          <w:rFonts w:hint="cs"/>
          <w:rtl/>
        </w:rPr>
        <w:tab/>
        <w:t>وفي هذا الإطار، يوفِّر عدد من المؤسسات الاجتماعية الملجأ والمساعدة إلى القاصرين من مختلف الأعمار، الذين تركوا بيوتهم قسرا لأي سبب من الأسباب. كما توفِّر دائرة رعاية الأطفال المقيمين الإشراف والرعا</w:t>
      </w:r>
      <w:r>
        <w:rPr>
          <w:rFonts w:hint="cs"/>
          <w:rtl/>
        </w:rPr>
        <w:t>ية للأطفال المستضعفين والشبان الذين يتعذر على أسرهم السهر على تربيتهم تربية لائقة.</w:t>
      </w:r>
    </w:p>
    <w:p w:rsidR="00000000" w:rsidRDefault="00443EC1">
      <w:pPr>
        <w:spacing w:before="180" w:after="180" w:line="380" w:lineRule="exact"/>
        <w:jc w:val="both"/>
        <w:rPr>
          <w:rFonts w:hint="cs"/>
          <w:rtl/>
        </w:rPr>
      </w:pPr>
      <w:r>
        <w:rPr>
          <w:rFonts w:hint="cs"/>
          <w:rtl/>
        </w:rPr>
        <w:t>955-</w:t>
      </w:r>
      <w:r>
        <w:rPr>
          <w:rFonts w:hint="cs"/>
          <w:rtl/>
        </w:rPr>
        <w:tab/>
        <w:t xml:space="preserve">ويوجد في المقاطعة 437 15 رضيعاً تتراوح أعمارهم بين صفر و3 سنوات (3.7 في المائة من إجمالي عدد السكان)، ترعى البعض منهم أسرهم، في حين يتمتع آخرون بخدمات الرعاية النهارية </w:t>
      </w:r>
      <w:r>
        <w:rPr>
          <w:rFonts w:hint="cs"/>
          <w:rtl/>
        </w:rPr>
        <w:t xml:space="preserve">في 51 حضانة يُشرف عليها </w:t>
      </w:r>
      <w:r>
        <w:rPr>
          <w:rFonts w:hint="eastAsia"/>
          <w:rtl/>
        </w:rPr>
        <w:t>معهد</w:t>
      </w:r>
      <w:r>
        <w:rPr>
          <w:rFonts w:hint="cs"/>
          <w:rtl/>
        </w:rPr>
        <w:t xml:space="preserve"> </w:t>
      </w:r>
      <w:r>
        <w:rPr>
          <w:rtl/>
        </w:rPr>
        <w:t xml:space="preserve">الرعاية </w:t>
      </w:r>
      <w:r>
        <w:rPr>
          <w:rFonts w:hint="eastAsia"/>
          <w:rtl/>
        </w:rPr>
        <w:t>الاجتماعية</w:t>
      </w:r>
      <w:r>
        <w:rPr>
          <w:rFonts w:hint="cs"/>
          <w:rtl/>
        </w:rPr>
        <w:t>. وبحلول أواخر حزيران/يونيه 2002، تلقى 673 3 رضيعاً الرعاية من دور الحضانة السالفة الذكر.</w:t>
      </w:r>
    </w:p>
    <w:p w:rsidR="00000000" w:rsidRDefault="00443EC1">
      <w:pPr>
        <w:spacing w:before="180" w:after="180" w:line="380" w:lineRule="exact"/>
        <w:jc w:val="both"/>
        <w:rPr>
          <w:rFonts w:hint="cs"/>
          <w:rtl/>
        </w:rPr>
      </w:pPr>
      <w:r>
        <w:rPr>
          <w:rFonts w:hint="cs"/>
          <w:rtl/>
        </w:rPr>
        <w:t>956-</w:t>
      </w:r>
      <w:r>
        <w:rPr>
          <w:rFonts w:hint="cs"/>
          <w:rtl/>
        </w:rPr>
        <w:tab/>
        <w:t>وتنص تشريعات العمل في مقاطعة ماكاو على اتخاذ تدابير ترمي إلى القضاء على عمل الأطفال ووضع قواعد بشأن الحدّ الأدنى ل</w:t>
      </w:r>
      <w:r>
        <w:rPr>
          <w:rFonts w:hint="cs"/>
          <w:rtl/>
        </w:rPr>
        <w:t>سنّ العمل، وهو 18 عاماً في القطاع العام، و16 عاماً في القطاع الخاص.</w:t>
      </w:r>
    </w:p>
    <w:p w:rsidR="00000000" w:rsidRDefault="00443EC1">
      <w:pPr>
        <w:spacing w:before="180" w:after="180" w:line="380" w:lineRule="exact"/>
        <w:jc w:val="both"/>
        <w:rPr>
          <w:rFonts w:hint="cs"/>
          <w:rtl/>
        </w:rPr>
      </w:pPr>
      <w:r>
        <w:rPr>
          <w:rFonts w:hint="cs"/>
          <w:rtl/>
        </w:rPr>
        <w:t>957-</w:t>
      </w:r>
      <w:r>
        <w:rPr>
          <w:rFonts w:hint="cs"/>
          <w:rtl/>
        </w:rPr>
        <w:tab/>
        <w:t>وفي القطاع الخاص، يخوّل القانون بصفة استثنائية تشغيل الأشخاص الذين هم دون 16 عاماً على ألا يقل عمرهم عن 14عاما، إذا ثبتت بصفة مسبقة قدرة القاصر الجسدية على ممارسة العمل. ويخضع القاصرو</w:t>
      </w:r>
      <w:r>
        <w:rPr>
          <w:rFonts w:hint="cs"/>
          <w:rtl/>
        </w:rPr>
        <w:t>ن، مرة في السنة على الأقل، لفحوص طبية للوقوف على لياقتهم البدنية والصحية (المواد 38 و39 و40 و42 من المرسوم بقانون 24/89/م). وفي هذا السياق يمكن الرجوع إلى المعلومات المقدمة فيما يتصل بالمادتين 6 و7.</w:t>
      </w:r>
    </w:p>
    <w:p w:rsidR="00000000" w:rsidRDefault="00443EC1">
      <w:pPr>
        <w:spacing w:before="180" w:after="180" w:line="380" w:lineRule="exact"/>
        <w:jc w:val="both"/>
        <w:rPr>
          <w:rFonts w:hint="cs"/>
          <w:b/>
          <w:bCs/>
          <w:rtl/>
        </w:rPr>
      </w:pPr>
      <w:r>
        <w:rPr>
          <w:rFonts w:hint="cs"/>
          <w:b/>
          <w:bCs/>
          <w:rtl/>
        </w:rPr>
        <w:t>تدريب الجانحين والمنحرفين الأحداث وإعادة تأهيلهم</w:t>
      </w:r>
    </w:p>
    <w:p w:rsidR="00000000" w:rsidRDefault="00443EC1">
      <w:pPr>
        <w:spacing w:before="180" w:after="180" w:line="380" w:lineRule="exact"/>
        <w:jc w:val="both"/>
        <w:rPr>
          <w:rFonts w:hint="cs"/>
          <w:rtl/>
        </w:rPr>
      </w:pPr>
      <w:r>
        <w:rPr>
          <w:rFonts w:hint="cs"/>
          <w:rtl/>
        </w:rPr>
        <w:t>958-</w:t>
      </w:r>
      <w:r>
        <w:rPr>
          <w:rFonts w:hint="cs"/>
          <w:rtl/>
        </w:rPr>
        <w:tab/>
        <w:t>حُد</w:t>
      </w:r>
      <w:r>
        <w:rPr>
          <w:rFonts w:hint="cs"/>
          <w:rtl/>
        </w:rPr>
        <w:t>ِّدت سن المسؤولية الجنائية في مقاطعة ماكاو ب‍ 16 عاماً. والقاصرون مسؤولون جنائياً بداية من ذلك السن، ويخضعون تبعاً لذلك للقانون الجنائي إذا اتُّهموا بانتهاكه. والقاصرون الذي تقلّ أعمارهم عن 16 عاماً غير مسؤولين جنائياً بموجب المادة 18 من القانون الجنائي.</w:t>
      </w:r>
    </w:p>
    <w:p w:rsidR="00000000" w:rsidRDefault="00443EC1">
      <w:pPr>
        <w:spacing w:before="180" w:after="180" w:line="380" w:lineRule="exact"/>
        <w:jc w:val="both"/>
        <w:rPr>
          <w:rFonts w:hint="cs"/>
          <w:rtl/>
        </w:rPr>
      </w:pPr>
      <w:r>
        <w:rPr>
          <w:rFonts w:hint="cs"/>
          <w:rtl/>
        </w:rPr>
        <w:t>9</w:t>
      </w:r>
      <w:r>
        <w:rPr>
          <w:rFonts w:hint="cs"/>
          <w:rtl/>
        </w:rPr>
        <w:t>59-</w:t>
      </w:r>
      <w:r>
        <w:rPr>
          <w:rFonts w:hint="cs"/>
          <w:rtl/>
        </w:rPr>
        <w:tab/>
        <w:t>ويقضي نظام جنوح الأحداث في مقاطعة ماكاو بأن يخضع القاصرون الذين تقل أعمارهم عن 16 عاماً والذين يرتكبون فعلاً يعتبر جريمة جنائية في نظر القانون لنظام تعليمي وتطبق عليهم تدابير ملائمة وفقاً لاحتياجاتهم الاجتماعية والتربوية (المادتان 6 و67 من المرسوم بقان</w:t>
      </w:r>
      <w:r>
        <w:rPr>
          <w:rFonts w:hint="cs"/>
          <w:rtl/>
        </w:rPr>
        <w:t>ون 65/99/م المؤرخ 25 تشرين الأول/أكتوبر).</w:t>
      </w:r>
    </w:p>
    <w:p w:rsidR="00000000" w:rsidRDefault="00443EC1">
      <w:pPr>
        <w:spacing w:before="180" w:after="180" w:line="380" w:lineRule="exact"/>
        <w:jc w:val="both"/>
        <w:rPr>
          <w:rFonts w:hint="cs"/>
          <w:rtl/>
        </w:rPr>
      </w:pPr>
      <w:r>
        <w:rPr>
          <w:rFonts w:hint="cs"/>
          <w:rtl/>
        </w:rPr>
        <w:t>960-</w:t>
      </w:r>
      <w:r>
        <w:rPr>
          <w:rFonts w:hint="cs"/>
          <w:rtl/>
        </w:rPr>
        <w:tab/>
        <w:t>ومعهد القاصرين هو المؤسسة التابعة لوزارة الشؤون القانونية المسؤولة عن تعليم الجانحين الأحداث وتربيتهم وإعادة تأهيلهم وتقديم المشورة والتدريب المهنيين لهم. وتساعد وزارة التعليم وشؤون الشباب معهد القاصرين على تو</w:t>
      </w:r>
      <w:r>
        <w:rPr>
          <w:rFonts w:hint="cs"/>
          <w:rtl/>
        </w:rPr>
        <w:t>فير التعليم الأساسي.</w:t>
      </w:r>
    </w:p>
    <w:p w:rsidR="00000000" w:rsidRDefault="00443EC1">
      <w:pPr>
        <w:spacing w:before="180" w:after="180" w:line="380" w:lineRule="exact"/>
        <w:jc w:val="center"/>
        <w:rPr>
          <w:rFonts w:hint="cs"/>
          <w:b/>
          <w:bCs/>
          <w:rtl/>
        </w:rPr>
      </w:pPr>
      <w:r>
        <w:rPr>
          <w:rFonts w:hint="cs"/>
          <w:b/>
          <w:bCs/>
          <w:rtl/>
        </w:rPr>
        <w:t>هاء - حماية المسنين</w:t>
      </w:r>
    </w:p>
    <w:p w:rsidR="00000000" w:rsidRDefault="00443EC1">
      <w:pPr>
        <w:spacing w:before="180" w:after="180" w:line="380" w:lineRule="exact"/>
        <w:jc w:val="both"/>
        <w:rPr>
          <w:rFonts w:hint="cs"/>
          <w:rtl/>
        </w:rPr>
      </w:pPr>
      <w:r>
        <w:rPr>
          <w:rFonts w:hint="cs"/>
          <w:rtl/>
        </w:rPr>
        <w:t>961-</w:t>
      </w:r>
      <w:r>
        <w:rPr>
          <w:rFonts w:hint="cs"/>
          <w:rtl/>
        </w:rPr>
        <w:tab/>
        <w:t>تولي حكومة مقاطعة ماكاو عناية كبيرة لأثر المسنين في المقاطعة. وفي عام 1998، انطلق تنفيذ "إعلان ماكاو وخطة العمل المعنية بالمسنين لمنطقة آسيا والمحيط الهادئ" في إطار اللجنة الاقتصادية والاجتماعية لآسيا والمحيط ا</w:t>
      </w:r>
      <w:r>
        <w:rPr>
          <w:rFonts w:hint="cs"/>
          <w:rtl/>
        </w:rPr>
        <w:t>لهادئ. وهي أول خطة عمل إقليمية تركز على قضية المسنين. وفي الوقت الحاضر، يجري إعداد تقرير بحث عن استراتيجية إنمائية على المدى الطويل في هذا المجال.</w:t>
      </w:r>
    </w:p>
    <w:p w:rsidR="00000000" w:rsidRDefault="00443EC1">
      <w:pPr>
        <w:spacing w:before="180" w:after="180" w:line="380" w:lineRule="exact"/>
        <w:jc w:val="both"/>
        <w:rPr>
          <w:rFonts w:hint="cs"/>
          <w:rtl/>
        </w:rPr>
      </w:pPr>
      <w:r>
        <w:rPr>
          <w:rFonts w:hint="cs"/>
          <w:rtl/>
        </w:rPr>
        <w:t>962-</w:t>
      </w:r>
      <w:r>
        <w:rPr>
          <w:rFonts w:hint="cs"/>
          <w:rtl/>
        </w:rPr>
        <w:tab/>
        <w:t xml:space="preserve">ويوفِّر </w:t>
      </w:r>
      <w:r>
        <w:rPr>
          <w:rFonts w:hint="eastAsia"/>
          <w:rtl/>
        </w:rPr>
        <w:t>معهد</w:t>
      </w:r>
      <w:r>
        <w:rPr>
          <w:rFonts w:hint="cs"/>
          <w:rtl/>
        </w:rPr>
        <w:t xml:space="preserve"> </w:t>
      </w:r>
      <w:r>
        <w:rPr>
          <w:rtl/>
        </w:rPr>
        <w:t xml:space="preserve">الرعاية </w:t>
      </w:r>
      <w:r>
        <w:rPr>
          <w:rFonts w:hint="eastAsia"/>
          <w:rtl/>
        </w:rPr>
        <w:t>الاجتماعية</w:t>
      </w:r>
      <w:r>
        <w:rPr>
          <w:rFonts w:hint="cs"/>
          <w:rtl/>
        </w:rPr>
        <w:t xml:space="preserve"> للمسنين التثقيف والخدمات الصحية بدعم من الوزارات الحكومية الأخرى والرابط</w:t>
      </w:r>
      <w:r>
        <w:rPr>
          <w:rFonts w:hint="cs"/>
          <w:rtl/>
        </w:rPr>
        <w:t>ات الخاصة. ويشمل الدعم تقديم خدمات ملائمة من خلال إنشاء أفرقة مهنية تعمل دواما كاملاً على أساس متفرّغ وتتألف من معالجين فيزيائيين وأخصائيين اجتماعيين ومعاونين شخصيين يضمنون رعاية الأسرة المعيشية وخدمات الرعاية المهنية للمسنين.</w:t>
      </w:r>
    </w:p>
    <w:p w:rsidR="00000000" w:rsidRDefault="00443EC1">
      <w:pPr>
        <w:spacing w:before="180" w:after="180" w:line="380" w:lineRule="exact"/>
        <w:jc w:val="both"/>
        <w:rPr>
          <w:rFonts w:hint="cs"/>
          <w:rtl/>
        </w:rPr>
      </w:pPr>
      <w:r>
        <w:rPr>
          <w:rFonts w:hint="cs"/>
          <w:rtl/>
        </w:rPr>
        <w:t>963-</w:t>
      </w:r>
      <w:r>
        <w:rPr>
          <w:rFonts w:hint="cs"/>
          <w:rtl/>
        </w:rPr>
        <w:tab/>
        <w:t>وتتعاون وزارة الصحة عن ك</w:t>
      </w:r>
      <w:r>
        <w:rPr>
          <w:rFonts w:hint="cs"/>
          <w:rtl/>
        </w:rPr>
        <w:t xml:space="preserve">ثب مع </w:t>
      </w:r>
      <w:r>
        <w:rPr>
          <w:rFonts w:hint="eastAsia"/>
          <w:rtl/>
        </w:rPr>
        <w:t>معهد</w:t>
      </w:r>
      <w:r>
        <w:rPr>
          <w:rFonts w:hint="cs"/>
          <w:rtl/>
        </w:rPr>
        <w:t xml:space="preserve"> </w:t>
      </w:r>
      <w:r>
        <w:rPr>
          <w:rtl/>
        </w:rPr>
        <w:t xml:space="preserve">الرعاية </w:t>
      </w:r>
      <w:r>
        <w:rPr>
          <w:rFonts w:hint="eastAsia"/>
          <w:rtl/>
        </w:rPr>
        <w:t>الاجتماعية</w:t>
      </w:r>
      <w:r>
        <w:rPr>
          <w:rFonts w:hint="cs"/>
          <w:rtl/>
        </w:rPr>
        <w:t xml:space="preserve"> على تقديم الرعاية الصحية الأساسية وخدمات العناية للمسنين، لا سيما لمن يعيش منهم بمفرده أو يعاني من أمراض مزمنة.</w:t>
      </w:r>
    </w:p>
    <w:p w:rsidR="00000000" w:rsidRDefault="00443EC1">
      <w:pPr>
        <w:spacing w:before="180" w:after="180" w:line="380" w:lineRule="exact"/>
        <w:jc w:val="both"/>
        <w:rPr>
          <w:rFonts w:hint="cs"/>
          <w:rtl/>
        </w:rPr>
      </w:pPr>
      <w:r>
        <w:rPr>
          <w:rFonts w:hint="cs"/>
          <w:rtl/>
        </w:rPr>
        <w:t>964-</w:t>
      </w:r>
      <w:r>
        <w:rPr>
          <w:rFonts w:hint="cs"/>
          <w:rtl/>
        </w:rPr>
        <w:tab/>
        <w:t xml:space="preserve">كما يقدم </w:t>
      </w:r>
      <w:r>
        <w:rPr>
          <w:rFonts w:hint="eastAsia"/>
          <w:rtl/>
        </w:rPr>
        <w:t>معهد</w:t>
      </w:r>
      <w:r>
        <w:rPr>
          <w:rFonts w:hint="cs"/>
          <w:rtl/>
        </w:rPr>
        <w:t xml:space="preserve"> </w:t>
      </w:r>
      <w:r>
        <w:rPr>
          <w:rtl/>
        </w:rPr>
        <w:t xml:space="preserve">الرعاية </w:t>
      </w:r>
      <w:r>
        <w:rPr>
          <w:rFonts w:hint="eastAsia"/>
          <w:rtl/>
        </w:rPr>
        <w:t>الاجتماعية</w:t>
      </w:r>
      <w:r>
        <w:rPr>
          <w:rFonts w:hint="cs"/>
          <w:rtl/>
        </w:rPr>
        <w:t xml:space="preserve"> دعماً خاصاً للأسر لمساعدتها على كيفية رعاية المسنين المرضى من خلال إنشاء مرا</w:t>
      </w:r>
      <w:r>
        <w:rPr>
          <w:rFonts w:hint="cs"/>
          <w:rtl/>
        </w:rPr>
        <w:t>فق جديدة توفّر للمسنين الرعاية الصحية وغيرها من الخدمات، مثل رعاية الأسر المعيشية والإمداد بوجبات الطعام.</w:t>
      </w:r>
    </w:p>
    <w:p w:rsidR="00000000" w:rsidRDefault="00443EC1">
      <w:pPr>
        <w:spacing w:before="180" w:after="180" w:line="380" w:lineRule="exact"/>
        <w:jc w:val="both"/>
        <w:rPr>
          <w:rtl/>
        </w:rPr>
      </w:pPr>
      <w:r>
        <w:rPr>
          <w:rFonts w:hint="cs"/>
          <w:rtl/>
        </w:rPr>
        <w:t>965-</w:t>
      </w:r>
      <w:r>
        <w:rPr>
          <w:rFonts w:hint="cs"/>
          <w:rtl/>
        </w:rPr>
        <w:tab/>
        <w:t xml:space="preserve">وإضافة إلى ذلك، تنهض حكومة مقاطعة ماكاو، إدراكاً منها بالحاجة إلى تعزيز الدعم على مستوى المجتمع المحلي والقيم العائلية، بأنشطة مشتركة مع المسنين </w:t>
      </w:r>
      <w:r>
        <w:rPr>
          <w:rFonts w:hint="cs"/>
          <w:rtl/>
        </w:rPr>
        <w:t>وبالخصوص العزّل منهم. فنظّمت أنشطة ترويحية وتثقيفية ومهنية لفائدتهم.</w:t>
      </w:r>
    </w:p>
    <w:p w:rsidR="00000000" w:rsidRDefault="00443EC1">
      <w:pPr>
        <w:spacing w:before="180" w:after="180" w:line="380" w:lineRule="exact"/>
        <w:jc w:val="center"/>
        <w:rPr>
          <w:rFonts w:hint="cs"/>
          <w:b/>
          <w:bCs/>
          <w:rtl/>
        </w:rPr>
      </w:pPr>
      <w:r>
        <w:rPr>
          <w:rFonts w:hint="cs"/>
          <w:b/>
          <w:bCs/>
          <w:rtl/>
        </w:rPr>
        <w:t>المادة 11</w:t>
      </w:r>
    </w:p>
    <w:p w:rsidR="00000000" w:rsidRDefault="00443EC1">
      <w:pPr>
        <w:spacing w:before="180" w:after="180" w:line="380" w:lineRule="exact"/>
        <w:jc w:val="center"/>
        <w:rPr>
          <w:rFonts w:hint="cs"/>
          <w:b/>
          <w:bCs/>
          <w:rtl/>
        </w:rPr>
      </w:pPr>
      <w:r>
        <w:rPr>
          <w:rFonts w:hint="cs"/>
          <w:b/>
          <w:bCs/>
          <w:rtl/>
        </w:rPr>
        <w:t>الحق في مستوى معيشة لائق</w:t>
      </w:r>
    </w:p>
    <w:p w:rsidR="00000000" w:rsidRDefault="00443EC1">
      <w:pPr>
        <w:spacing w:before="180" w:after="180" w:line="380" w:lineRule="exact"/>
        <w:jc w:val="center"/>
        <w:rPr>
          <w:b/>
          <w:bCs/>
          <w:rtl/>
        </w:rPr>
      </w:pPr>
      <w:r>
        <w:rPr>
          <w:rFonts w:hint="cs"/>
          <w:b/>
          <w:bCs/>
          <w:rtl/>
        </w:rPr>
        <w:t>ألف - وصف عام</w:t>
      </w:r>
    </w:p>
    <w:p w:rsidR="00000000" w:rsidRDefault="00443EC1">
      <w:pPr>
        <w:spacing w:before="180" w:after="180" w:line="380" w:lineRule="exact"/>
        <w:jc w:val="both"/>
        <w:rPr>
          <w:rFonts w:hint="cs"/>
          <w:rtl/>
        </w:rPr>
      </w:pPr>
      <w:r>
        <w:rPr>
          <w:rFonts w:hint="cs"/>
          <w:rtl/>
        </w:rPr>
        <w:t>966-</w:t>
      </w:r>
      <w:r>
        <w:rPr>
          <w:rtl/>
        </w:rPr>
        <w:tab/>
      </w:r>
      <w:r>
        <w:rPr>
          <w:rFonts w:hint="cs"/>
          <w:rtl/>
        </w:rPr>
        <w:t>في مقاطعة ماكاو الإدارية الخاصة، هناك عدد من الآليات المنشأة بحكم القانون التي تتيح للمقيمين العيش بكرامة حتى في الظروف الشديدة القسو</w:t>
      </w:r>
      <w:r>
        <w:rPr>
          <w:rFonts w:hint="cs"/>
          <w:rtl/>
        </w:rPr>
        <w:t>ة أو لدى اجتياز المحن. لذا، فإن مشكلة الفقر ليست ملفتة للنظر في هذه المنطقة. ومع ذلك، تلتزم حكومة منطقة ماكاو الإدارية الخاصة التزاما شديدا بمكافحة الفقر والاستبعاد الاجتماعي في حدود الإمكان لا سيما من خلال منح مزايا الضمان الاجتماعي واسعة النطاق وتحقيق نظ</w:t>
      </w:r>
      <w:r>
        <w:rPr>
          <w:rFonts w:hint="cs"/>
          <w:rtl/>
        </w:rPr>
        <w:t>ام شامل للرفاه الاجتماعي.</w:t>
      </w:r>
    </w:p>
    <w:p w:rsidR="00000000" w:rsidRDefault="00443EC1">
      <w:pPr>
        <w:spacing w:line="380" w:lineRule="exact"/>
        <w:jc w:val="both"/>
        <w:rPr>
          <w:rFonts w:hint="cs"/>
          <w:rtl/>
        </w:rPr>
      </w:pPr>
      <w:r>
        <w:rPr>
          <w:rFonts w:hint="cs"/>
          <w:rtl/>
        </w:rPr>
        <w:t>967-</w:t>
      </w:r>
      <w:r>
        <w:rPr>
          <w:rtl/>
        </w:rPr>
        <w:tab/>
      </w:r>
      <w:r>
        <w:rPr>
          <w:rFonts w:hint="cs"/>
          <w:rtl/>
        </w:rPr>
        <w:t xml:space="preserve">المراد من مؤسسة الرفاه الاجتماعي هو وقاية الأفراد/الأسر من الفاقة وخلق ظروف عيش اجتماعية واقتصادية أفضل وكذلك تنمية المجتمع (المرسوم بقانون 52/86/م الصادر في 17 تشرين الثاني/نوفمبر). </w:t>
      </w:r>
    </w:p>
    <w:p w:rsidR="00000000" w:rsidRDefault="00443EC1">
      <w:pPr>
        <w:spacing w:line="380" w:lineRule="exact"/>
        <w:jc w:val="both"/>
        <w:rPr>
          <w:rFonts w:hint="cs"/>
          <w:rtl/>
        </w:rPr>
      </w:pPr>
      <w:r>
        <w:rPr>
          <w:rFonts w:hint="cs"/>
          <w:rtl/>
        </w:rPr>
        <w:t>968-</w:t>
      </w:r>
      <w:r>
        <w:rPr>
          <w:rtl/>
        </w:rPr>
        <w:tab/>
      </w:r>
      <w:r>
        <w:rPr>
          <w:rFonts w:hint="cs"/>
          <w:rtl/>
        </w:rPr>
        <w:t>ترتكز مؤسسة الرفاه الاجتماعي على مبا</w:t>
      </w:r>
      <w:r>
        <w:rPr>
          <w:rFonts w:hint="cs"/>
          <w:rtl/>
        </w:rPr>
        <w:t>دئ المساواة والفعالية والتضامن والمشاركة وهي تمد يد المساعدة المالية والاجتماعية من خلال توفير المعدات وإسداء الخدمات، ومن بينها السكن الاجتماعي وتوفير المأوى والوصول مجانا إلى الخدمات الصحية وخدمات التعليم ووجبات الطعام وحضانة الأطفال. فمن خلال مراكز الرف</w:t>
      </w:r>
      <w:r>
        <w:rPr>
          <w:rFonts w:hint="cs"/>
          <w:rtl/>
        </w:rPr>
        <w:t xml:space="preserve">اه الاجتماعي التابعة لها، المتناثرة حول مدينة ماكاو والجزيرتين، تقدم مؤسسة الرفاه الاجتماعي، من ضمن خدمات أخرى، المساعدة المالية إلى الأفراد/العائلات التي تعيش تحت خط الفقر. </w:t>
      </w:r>
    </w:p>
    <w:p w:rsidR="00000000" w:rsidRDefault="00443EC1">
      <w:pPr>
        <w:spacing w:line="380" w:lineRule="exact"/>
        <w:jc w:val="both"/>
        <w:rPr>
          <w:rFonts w:hint="cs"/>
          <w:rtl/>
        </w:rPr>
      </w:pPr>
      <w:r>
        <w:rPr>
          <w:rFonts w:hint="cs"/>
          <w:rtl/>
        </w:rPr>
        <w:t>969-</w:t>
      </w:r>
      <w:r>
        <w:rPr>
          <w:rtl/>
        </w:rPr>
        <w:tab/>
      </w:r>
      <w:r>
        <w:rPr>
          <w:rFonts w:hint="cs"/>
          <w:rtl/>
        </w:rPr>
        <w:t>وفي مقاطعة ماكاو الإدارية الخاصة، هناك ثلاثة مراكز تقوم على توفير وجبات الطع</w:t>
      </w:r>
      <w:r>
        <w:rPr>
          <w:rFonts w:hint="cs"/>
          <w:rtl/>
        </w:rPr>
        <w:t xml:space="preserve">ام، وقد ساعدت حوالي 170 1 شخصاً في عام 2001. </w:t>
      </w:r>
    </w:p>
    <w:p w:rsidR="00000000" w:rsidRDefault="00443EC1">
      <w:pPr>
        <w:spacing w:line="380" w:lineRule="exact"/>
        <w:jc w:val="both"/>
        <w:rPr>
          <w:rFonts w:hint="cs"/>
          <w:rtl/>
        </w:rPr>
      </w:pPr>
      <w:r>
        <w:rPr>
          <w:rFonts w:hint="cs"/>
          <w:rtl/>
        </w:rPr>
        <w:t>970-</w:t>
      </w:r>
      <w:r>
        <w:rPr>
          <w:rtl/>
        </w:rPr>
        <w:tab/>
      </w:r>
      <w:r>
        <w:rPr>
          <w:rFonts w:hint="cs"/>
          <w:rtl/>
        </w:rPr>
        <w:t>و</w:t>
      </w:r>
      <w:r>
        <w:rPr>
          <w:rtl/>
        </w:rPr>
        <w:t xml:space="preserve">مثلما سبق الذكر، </w:t>
      </w:r>
      <w:r>
        <w:rPr>
          <w:rFonts w:hint="cs"/>
          <w:rtl/>
        </w:rPr>
        <w:t xml:space="preserve">يتخذ الدعم المقدم للأفراد والأسر شكل معونات مالية تُمنح للمسنين وللأسر المعوزة وللمعاقين غير المشمولين بنظام الضمان الاجتماعي ولجميع أولئك الذين لا يحصلون على مزايا الضمان الاجتماعي. وقد </w:t>
      </w:r>
      <w:r>
        <w:rPr>
          <w:rFonts w:hint="cs"/>
          <w:rtl/>
        </w:rPr>
        <w:t>تكون الإعانات دائمة (على أساس سنوي) أو مؤقتة.</w:t>
      </w:r>
    </w:p>
    <w:p w:rsidR="00000000" w:rsidRDefault="00443EC1">
      <w:pPr>
        <w:spacing w:line="380" w:lineRule="exact"/>
        <w:jc w:val="both"/>
        <w:rPr>
          <w:rFonts w:hint="cs"/>
          <w:rtl/>
        </w:rPr>
      </w:pPr>
      <w:r>
        <w:rPr>
          <w:rFonts w:hint="cs"/>
          <w:rtl/>
        </w:rPr>
        <w:t>971-</w:t>
      </w:r>
      <w:r>
        <w:rPr>
          <w:rtl/>
        </w:rPr>
        <w:tab/>
      </w:r>
      <w:r>
        <w:rPr>
          <w:rFonts w:hint="cs"/>
          <w:rtl/>
        </w:rPr>
        <w:t>وتضم الإعانات الدائمة المزايا الإضافية الممنوحة للمسنين والمزايا الممنوحة لمن يعانون الفاقة أو لمن أصيبوا بإعاقة، أو لمن يعانون من البطالة أو المرض والمزايا الممنوحة للمصابين بمرض تغبر الرئة والمزايا الممن</w:t>
      </w:r>
      <w:r>
        <w:rPr>
          <w:rFonts w:hint="cs"/>
          <w:rtl/>
        </w:rPr>
        <w:t>وحة للأسر وحيدة الولي.</w:t>
      </w:r>
    </w:p>
    <w:p w:rsidR="00000000" w:rsidRDefault="00443EC1">
      <w:pPr>
        <w:spacing w:line="380" w:lineRule="exact"/>
        <w:jc w:val="both"/>
        <w:rPr>
          <w:rFonts w:hint="cs"/>
          <w:rtl/>
        </w:rPr>
      </w:pPr>
      <w:r>
        <w:rPr>
          <w:rFonts w:hint="cs"/>
          <w:rtl/>
        </w:rPr>
        <w:t>972-</w:t>
      </w:r>
      <w:r>
        <w:rPr>
          <w:rtl/>
        </w:rPr>
        <w:tab/>
      </w:r>
      <w:r>
        <w:rPr>
          <w:rFonts w:hint="cs"/>
          <w:rtl/>
        </w:rPr>
        <w:t>وتضم الإعانات المؤقتة مستحقات الدفن ومزية إعادة تشكيل المسكن ودعم ضحايا الكوارث والإعانات لشراء الأثاث ولوازم الجراحة الترقيعية، وغير ذلك من التجهيزات الخاصة والإعانات لتغطية مصاريف الإقامة في دور الرعاية أو في المستشفيات، وإعان</w:t>
      </w:r>
      <w:r>
        <w:rPr>
          <w:rFonts w:hint="cs"/>
          <w:rtl/>
        </w:rPr>
        <w:t xml:space="preserve">ات لتغطية رسوم الدراسة والنقل العام. وفي الوقت الحاضر تبلغ قيمة الإعانة الدائمة التي تمنح للشخص الواحد 300 1 باتاكا شهريا. </w:t>
      </w:r>
    </w:p>
    <w:p w:rsidR="00000000" w:rsidRDefault="00443EC1">
      <w:pPr>
        <w:spacing w:line="380" w:lineRule="exact"/>
        <w:jc w:val="both"/>
        <w:rPr>
          <w:rFonts w:hint="cs"/>
          <w:rtl/>
        </w:rPr>
      </w:pPr>
      <w:r>
        <w:rPr>
          <w:rFonts w:hint="cs"/>
          <w:rtl/>
        </w:rPr>
        <w:t>973-</w:t>
      </w:r>
      <w:r>
        <w:rPr>
          <w:rtl/>
        </w:rPr>
        <w:tab/>
        <w:t>في</w:t>
      </w:r>
      <w:r>
        <w:rPr>
          <w:rFonts w:hint="cs"/>
          <w:rtl/>
        </w:rPr>
        <w:t xml:space="preserve"> عام</w:t>
      </w:r>
      <w:r>
        <w:rPr>
          <w:rtl/>
        </w:rPr>
        <w:t xml:space="preserve"> 2001، </w:t>
      </w:r>
      <w:r>
        <w:rPr>
          <w:rFonts w:hint="cs"/>
          <w:rtl/>
        </w:rPr>
        <w:t xml:space="preserve">منحت مؤسسة الرعاية الاجتماعية مزايا دائمة إلى 035 5 فرداً/أسرة (شملت 069 13 </w:t>
      </w:r>
      <w:r>
        <w:rPr>
          <w:rFonts w:hint="cs"/>
          <w:spacing w:val="0"/>
          <w:rtl/>
        </w:rPr>
        <w:t>شخصا) بلغت قيمتها الإجمالية 144 686 65</w:t>
      </w:r>
      <w:r>
        <w:rPr>
          <w:rFonts w:hint="cs"/>
          <w:spacing w:val="0"/>
          <w:rtl/>
        </w:rPr>
        <w:t xml:space="preserve"> باتاكا، بينما قامت في عام 2000 بمنح مثل تلك المزايا إلى 235 4 </w:t>
      </w:r>
      <w:r>
        <w:rPr>
          <w:rFonts w:hint="cs"/>
          <w:rtl/>
        </w:rPr>
        <w:t>فرداً/أسرة (شملت 029 12 شخصا) وبلغت قيمتها الإجمالية 226 606 47 باتاكا. وفي عام 2001، حصل 315 فردا/أسرة (تضم 831 شخصا) مزايا مؤقتة بلغ مجموع قيمتها 822 791 باتاكا بينما قامت مؤسسة الرعاية الاجت</w:t>
      </w:r>
      <w:r>
        <w:rPr>
          <w:rFonts w:hint="cs"/>
          <w:rtl/>
        </w:rPr>
        <w:t>ماعية في عام 2000 بمنح مزايا مماثلة ل‍ 258 شخصاً/أسرة (تضم 724 شخصا) بلغت قيمتها في المجموع 778 755 باتاكا.</w:t>
      </w:r>
    </w:p>
    <w:p w:rsidR="00000000" w:rsidRDefault="00443EC1">
      <w:pPr>
        <w:spacing w:line="380" w:lineRule="exact"/>
        <w:jc w:val="both"/>
        <w:rPr>
          <w:rFonts w:hint="cs"/>
          <w:rtl/>
        </w:rPr>
      </w:pPr>
      <w:r>
        <w:rPr>
          <w:rFonts w:hint="cs"/>
          <w:rtl/>
        </w:rPr>
        <w:t>974-</w:t>
      </w:r>
      <w:r>
        <w:rPr>
          <w:rtl/>
        </w:rPr>
        <w:tab/>
      </w:r>
      <w:r>
        <w:rPr>
          <w:rFonts w:hint="cs"/>
          <w:rtl/>
        </w:rPr>
        <w:t>ولاستحقاق المزايا المذكورة آنفا، يجب استيفاء الشروط التالية: على الشخص أن يكون مقيما في مقاطعة ماكاو الإدارية الخاصة أو أن يكون قد عاش في هذه ا</w:t>
      </w:r>
      <w:r>
        <w:rPr>
          <w:rFonts w:hint="cs"/>
          <w:rtl/>
        </w:rPr>
        <w:t>لمقاطعة 18 شهرا قبل طلب الاستفادة من تلك المزايا. بعد ذلك، تتحقق مؤسسة الرعاية الاجتماعية مما إذا كان أي من الشخص أو الأسرة يعيش تحت خط الفقر (أي أن يكون دخل الأسرة دون مستوى المعيشة الأدنى).</w:t>
      </w:r>
    </w:p>
    <w:p w:rsidR="00000000" w:rsidRDefault="00443EC1">
      <w:pPr>
        <w:spacing w:line="380" w:lineRule="exact"/>
        <w:jc w:val="both"/>
        <w:rPr>
          <w:rFonts w:hint="cs"/>
          <w:rtl/>
        </w:rPr>
      </w:pPr>
      <w:r>
        <w:rPr>
          <w:rFonts w:hint="cs"/>
          <w:rtl/>
        </w:rPr>
        <w:t>975-</w:t>
      </w:r>
      <w:r>
        <w:rPr>
          <w:rtl/>
        </w:rPr>
        <w:tab/>
      </w:r>
      <w:r>
        <w:rPr>
          <w:rFonts w:hint="cs"/>
          <w:rtl/>
        </w:rPr>
        <w:t>ومنذ أيار/مايو 2002، وفرت مؤسسة الرعاية الاجتماعية مساعدة خ</w:t>
      </w:r>
      <w:r>
        <w:rPr>
          <w:rFonts w:hint="cs"/>
          <w:rtl/>
        </w:rPr>
        <w:t>اصة للأسر الفقيرة الواقعة ضمن إحدى الفئتين التاليتين: الأسر الوحيدة الولي والأسر التي يعاني أحد أعضائها من مرض مزمن أو من إعاقة. وتمنح مؤسسة الرعاية الاجتماعية تلك المزايا لتخفيف الضغط الاقتصادي على هذه الأسر (الأمر 21/2002 بتاريخ 8 نيسان/أبريل الصادر عن و</w:t>
      </w:r>
      <w:r>
        <w:rPr>
          <w:rFonts w:hint="cs"/>
          <w:rtl/>
        </w:rPr>
        <w:t>زير الشؤون الاجتماعية والثقافية).</w:t>
      </w:r>
    </w:p>
    <w:p w:rsidR="00000000" w:rsidRDefault="00443EC1">
      <w:pPr>
        <w:spacing w:line="380" w:lineRule="exact"/>
        <w:jc w:val="both"/>
        <w:rPr>
          <w:rFonts w:hint="cs"/>
          <w:rtl/>
        </w:rPr>
      </w:pPr>
      <w:r>
        <w:rPr>
          <w:rFonts w:hint="cs"/>
          <w:rtl/>
        </w:rPr>
        <w:t>976-</w:t>
      </w:r>
      <w:r>
        <w:rPr>
          <w:rtl/>
        </w:rPr>
        <w:tab/>
      </w:r>
      <w:r>
        <w:rPr>
          <w:rFonts w:hint="cs"/>
          <w:rtl/>
        </w:rPr>
        <w:t>إذا كان الفرد المستفيد من المزايا أو أسرته ما زالا في حاجة إلى المساعدة، يمكن لمؤسسة الرعاية الاجتماعية أن تواصل تقديم المساعدات لمدة عام على الأكثر حسب كل حالة. وينطبق الأمر نفسه إذا كانت شروط الأهلية لتلقي المزايا غ</w:t>
      </w:r>
      <w:r>
        <w:rPr>
          <w:rFonts w:hint="cs"/>
          <w:rtl/>
        </w:rPr>
        <w:t>ير متوفرة في الفرد أو الأسرة (مثلا أن يملك الشخص بطاقة إقامة في ماكاو وأن يكون دون السن القانونية)، يمكن لمؤسسة الرعاية الاجتماعية أن تدرس حالته وأن تمنحه المساعدة المناسبة.</w:t>
      </w:r>
    </w:p>
    <w:p w:rsidR="00000000" w:rsidRDefault="00443EC1">
      <w:pPr>
        <w:spacing w:line="380" w:lineRule="exact"/>
        <w:jc w:val="both"/>
        <w:rPr>
          <w:rFonts w:hint="cs"/>
          <w:rtl/>
        </w:rPr>
      </w:pPr>
      <w:r>
        <w:rPr>
          <w:rFonts w:hint="cs"/>
          <w:rtl/>
        </w:rPr>
        <w:t>977-</w:t>
      </w:r>
      <w:r>
        <w:rPr>
          <w:rFonts w:hint="cs"/>
          <w:rtl/>
        </w:rPr>
        <w:tab/>
        <w:t xml:space="preserve">وخلاصة القول إن مؤسسة الرعاية الاجتماعية تمنح المساعدة المالية لتكفل الحاجات </w:t>
      </w:r>
      <w:r>
        <w:rPr>
          <w:rFonts w:hint="cs"/>
          <w:rtl/>
        </w:rPr>
        <w:t>الأساسية لتحقيق الحد الأدنى من مستوى المعيشة مثل الطعام والسكن وغير ذلك من الاحتياجات اليومية للأشخاص المحرومين. وإذا كانت هناك حاجة خاصة، في وسع الشخص أو الأسرة المعنية طلب المساعدة مباشرة من مؤسسة الرعاية الاجتماعية أو من الجمعيات الخاصة.</w:t>
      </w:r>
    </w:p>
    <w:p w:rsidR="00000000" w:rsidRDefault="00443EC1">
      <w:pPr>
        <w:spacing w:line="380" w:lineRule="exact"/>
        <w:jc w:val="center"/>
        <w:rPr>
          <w:rFonts w:hint="cs"/>
          <w:b/>
          <w:bCs/>
          <w:rtl/>
        </w:rPr>
      </w:pPr>
      <w:r>
        <w:rPr>
          <w:rFonts w:hint="cs"/>
          <w:b/>
          <w:bCs/>
          <w:rtl/>
        </w:rPr>
        <w:t>باء - الحق في ا</w:t>
      </w:r>
      <w:r>
        <w:rPr>
          <w:rFonts w:hint="cs"/>
          <w:b/>
          <w:bCs/>
          <w:rtl/>
        </w:rPr>
        <w:t>لحصول على الغذاء الكافي</w:t>
      </w:r>
    </w:p>
    <w:p w:rsidR="00000000" w:rsidRDefault="00443EC1">
      <w:pPr>
        <w:spacing w:line="380" w:lineRule="exact"/>
        <w:jc w:val="both"/>
        <w:rPr>
          <w:rFonts w:hint="cs"/>
          <w:rtl/>
        </w:rPr>
      </w:pPr>
      <w:r>
        <w:rPr>
          <w:rFonts w:hint="cs"/>
          <w:rtl/>
        </w:rPr>
        <w:t>978-</w:t>
      </w:r>
      <w:r>
        <w:rPr>
          <w:rtl/>
        </w:rPr>
        <w:tab/>
      </w:r>
      <w:r>
        <w:rPr>
          <w:rFonts w:hint="cs"/>
          <w:rtl/>
        </w:rPr>
        <w:t>لا تتوفر أي بيانات عن سوء التغذية غير أن معدل الوزن المنخفض عند الولادة قد يكون مؤشرا مفيدا. ففي عام 1999، بلغ معدل الوزن المنخفض عند الولادة</w:t>
      </w:r>
      <w:r>
        <w:t xml:space="preserve"> </w:t>
      </w:r>
      <w:r>
        <w:rPr>
          <w:rFonts w:hint="cs"/>
          <w:rtl/>
        </w:rPr>
        <w:t>(أقل من 500 2 غرام) 5.4 في المائة وانخفض في عام 2000 إلى 5.3 في المائة ثم ارتفع في عا</w:t>
      </w:r>
      <w:r>
        <w:rPr>
          <w:rFonts w:hint="cs"/>
          <w:rtl/>
        </w:rPr>
        <w:t>م 2001 إلى 5.6 في المائة.</w:t>
      </w:r>
    </w:p>
    <w:p w:rsidR="00000000" w:rsidRDefault="00443EC1">
      <w:pPr>
        <w:spacing w:line="380" w:lineRule="exact"/>
        <w:jc w:val="both"/>
        <w:rPr>
          <w:rFonts w:hint="cs"/>
          <w:rtl/>
        </w:rPr>
      </w:pPr>
      <w:r>
        <w:rPr>
          <w:rFonts w:hint="cs"/>
          <w:rtl/>
        </w:rPr>
        <w:t>979-</w:t>
      </w:r>
      <w:r>
        <w:rPr>
          <w:rFonts w:hint="cs"/>
          <w:rtl/>
        </w:rPr>
        <w:tab/>
        <w:t>ولا تنكر حكومة منطقة ماكاو الإدارية الخاصة الدور الحيوي الذي تؤديه نوعية الاستهلاك الغذائي وأمنه في النمو النفسي والجسماني للأطفال والشباب.</w:t>
      </w:r>
    </w:p>
    <w:p w:rsidR="00000000" w:rsidRDefault="00443EC1">
      <w:pPr>
        <w:spacing w:line="380" w:lineRule="exact"/>
        <w:jc w:val="both"/>
        <w:rPr>
          <w:rFonts w:hint="cs"/>
          <w:rtl/>
        </w:rPr>
      </w:pPr>
      <w:r>
        <w:rPr>
          <w:rFonts w:hint="cs"/>
          <w:rtl/>
        </w:rPr>
        <w:t>980-</w:t>
      </w:r>
      <w:r>
        <w:rPr>
          <w:rtl/>
        </w:rPr>
        <w:tab/>
      </w:r>
      <w:r>
        <w:rPr>
          <w:rFonts w:hint="cs"/>
          <w:rtl/>
        </w:rPr>
        <w:t xml:space="preserve">لذا، فإنه يشدَّد على أهمية الرضاعة وأهمية اتباع الحامل لنظام غذائي متوازن أثناء </w:t>
      </w:r>
      <w:r>
        <w:rPr>
          <w:rFonts w:hint="cs"/>
          <w:rtl/>
        </w:rPr>
        <w:t>الفحوص الطبية التي تجرى خلال العيادات في إطار صحة الأم والطفل. وتشجَّع الأمهات على إرضاع أطفالهن حالما يولدون. ويستمر تقديم النصح والدعم لهن في قاعات الولادة في المستشفيات وفي المراكز الصحية.</w:t>
      </w:r>
    </w:p>
    <w:p w:rsidR="00000000" w:rsidRDefault="00443EC1">
      <w:pPr>
        <w:spacing w:line="380" w:lineRule="exact"/>
        <w:jc w:val="both"/>
        <w:rPr>
          <w:rFonts w:hint="cs"/>
          <w:rtl/>
        </w:rPr>
      </w:pPr>
      <w:r>
        <w:rPr>
          <w:rFonts w:hint="cs"/>
          <w:rtl/>
        </w:rPr>
        <w:t>981-</w:t>
      </w:r>
      <w:r>
        <w:rPr>
          <w:rtl/>
        </w:rPr>
        <w:tab/>
      </w:r>
      <w:r>
        <w:rPr>
          <w:rFonts w:hint="cs"/>
          <w:rtl/>
        </w:rPr>
        <w:t>ويعد التقييم الدوري لنمو الرضَّع وتقديم المعلومات والتعليما</w:t>
      </w:r>
      <w:r>
        <w:rPr>
          <w:rFonts w:hint="cs"/>
          <w:rtl/>
        </w:rPr>
        <w:t xml:space="preserve">ت الخاصة بالتغذية إضافة إلى المستحضرات </w:t>
      </w:r>
      <w:r>
        <w:rPr>
          <w:rFonts w:hint="cs"/>
          <w:spacing w:val="0"/>
          <w:rtl/>
        </w:rPr>
        <w:t>متعددة الفيتامينات وغيرها من المكملات الغذائية للرضع جزءا من برنامج صحة الطفل المكفول لجميع الأطفال مجّاناً.</w:t>
      </w:r>
    </w:p>
    <w:p w:rsidR="00000000" w:rsidRDefault="00443EC1">
      <w:pPr>
        <w:spacing w:line="380" w:lineRule="exact"/>
        <w:jc w:val="both"/>
        <w:rPr>
          <w:rFonts w:hint="cs"/>
          <w:rtl/>
        </w:rPr>
      </w:pPr>
      <w:r>
        <w:rPr>
          <w:rFonts w:hint="cs"/>
          <w:rtl/>
        </w:rPr>
        <w:t>982-</w:t>
      </w:r>
      <w:r>
        <w:rPr>
          <w:rtl/>
        </w:rPr>
        <w:tab/>
      </w:r>
      <w:r>
        <w:rPr>
          <w:rFonts w:hint="cs"/>
          <w:rtl/>
        </w:rPr>
        <w:t>وفي دور الحضانة ورياض الأطفال، تعد الأغذية عموما جيدة الإعداد وملائمة لعمر الأطفال من حيث كميتها ونوعيت</w:t>
      </w:r>
      <w:r>
        <w:rPr>
          <w:rFonts w:hint="cs"/>
          <w:rtl/>
        </w:rPr>
        <w:t>ها (المادة 20 من القانون الإداري 156/99/م الصادر في 24 أيار/مايو).</w:t>
      </w:r>
    </w:p>
    <w:p w:rsidR="00000000" w:rsidRDefault="00443EC1">
      <w:pPr>
        <w:spacing w:line="380" w:lineRule="exact"/>
        <w:jc w:val="both"/>
        <w:rPr>
          <w:rFonts w:hint="cs"/>
          <w:rtl/>
        </w:rPr>
      </w:pPr>
      <w:r>
        <w:rPr>
          <w:rFonts w:hint="cs"/>
          <w:rtl/>
        </w:rPr>
        <w:t>983-</w:t>
      </w:r>
      <w:r>
        <w:rPr>
          <w:rtl/>
        </w:rPr>
        <w:tab/>
      </w:r>
      <w:r>
        <w:rPr>
          <w:rFonts w:hint="cs"/>
          <w:rtl/>
        </w:rPr>
        <w:t>وفي دور الأطفال والشباب، يتبع الشباب نظاما غذائيا متوازنا يتكون من أغذية جيدة ومتنوعة تتناسب مع أعمارهم (الفقرة 1 من المادة 26 من القانون الإداري 160/99/م الصادر في 24 أيار/مايو).</w:t>
      </w:r>
    </w:p>
    <w:p w:rsidR="00000000" w:rsidRDefault="00443EC1">
      <w:pPr>
        <w:spacing w:line="380" w:lineRule="exact"/>
        <w:jc w:val="both"/>
        <w:rPr>
          <w:rFonts w:hint="cs"/>
          <w:rtl/>
        </w:rPr>
      </w:pPr>
      <w:r>
        <w:rPr>
          <w:rFonts w:hint="cs"/>
          <w:rtl/>
        </w:rPr>
        <w:t>984-</w:t>
      </w:r>
      <w:r>
        <w:rPr>
          <w:rtl/>
        </w:rPr>
        <w:tab/>
      </w:r>
      <w:r>
        <w:rPr>
          <w:rFonts w:hint="cs"/>
          <w:rtl/>
        </w:rPr>
        <w:t>وتموِّن مؤسسة الرعاية الاجتماعية التلاميذ من أسر معسرة بوجبات الطعام يوميا. وتكون تلك الوجبات مجانية أو ربما تكون مقابل سعر رمزي فقط. كما تقدم مؤسسة الرعاية الاجتماعية للتلاميذ من سبع مدارس مختلفة مواد غذائية تكميلية إضافية (في 2001، بلغ مجموع التلاميذ ال</w:t>
      </w:r>
      <w:r>
        <w:rPr>
          <w:rFonts w:hint="cs"/>
          <w:rtl/>
        </w:rPr>
        <w:t>ذين شملتهم هذه الخدمة 193 1 تلميذاً بكلفة بلغت 526 149 1 باتاكا).</w:t>
      </w:r>
    </w:p>
    <w:p w:rsidR="00000000" w:rsidRDefault="00443EC1">
      <w:pPr>
        <w:spacing w:line="380" w:lineRule="exact"/>
        <w:jc w:val="both"/>
        <w:rPr>
          <w:rFonts w:hint="cs"/>
          <w:rtl/>
        </w:rPr>
      </w:pPr>
      <w:r>
        <w:rPr>
          <w:rFonts w:hint="cs"/>
          <w:rtl/>
        </w:rPr>
        <w:t>985-</w:t>
      </w:r>
      <w:r>
        <w:rPr>
          <w:rtl/>
        </w:rPr>
        <w:tab/>
        <w:t xml:space="preserve">ومن </w:t>
      </w:r>
      <w:r>
        <w:rPr>
          <w:rFonts w:hint="cs"/>
          <w:rtl/>
        </w:rPr>
        <w:t>جه</w:t>
      </w:r>
      <w:r>
        <w:rPr>
          <w:rtl/>
        </w:rPr>
        <w:t xml:space="preserve">ة أخرى، </w:t>
      </w:r>
      <w:r>
        <w:rPr>
          <w:rFonts w:hint="cs"/>
          <w:rtl/>
        </w:rPr>
        <w:t>تنجز وزارة التعليم وشؤون الشباب بالتعاون مع مؤسسة الرعاية الاجتماعية ومع وزارة الصحة برامج تعليمية محلية النطاق في المدارس وفي مراكز الرعاية الصحية تتمحور حول الأمن الغذائ</w:t>
      </w:r>
      <w:r>
        <w:rPr>
          <w:rFonts w:hint="cs"/>
          <w:rtl/>
        </w:rPr>
        <w:t xml:space="preserve">ي </w:t>
      </w:r>
      <w:r>
        <w:rPr>
          <w:rFonts w:hint="cs"/>
          <w:spacing w:val="0"/>
          <w:rtl/>
        </w:rPr>
        <w:t>والبرامج وأساليب العيش المرتكزة على نظام غذائي صحي، والأمراض المزمنة، والسلوك الذي يشكل خطرا على الصحة.</w:t>
      </w:r>
    </w:p>
    <w:p w:rsidR="00000000" w:rsidRDefault="00443EC1">
      <w:pPr>
        <w:spacing w:line="380" w:lineRule="exact"/>
        <w:jc w:val="both"/>
        <w:rPr>
          <w:rFonts w:hint="cs"/>
          <w:rtl/>
        </w:rPr>
      </w:pPr>
      <w:r>
        <w:rPr>
          <w:rFonts w:hint="cs"/>
          <w:rtl/>
        </w:rPr>
        <w:t>986-</w:t>
      </w:r>
      <w:r>
        <w:rPr>
          <w:rtl/>
        </w:rPr>
        <w:tab/>
      </w:r>
      <w:r>
        <w:rPr>
          <w:rFonts w:hint="cs"/>
          <w:rtl/>
        </w:rPr>
        <w:t>وت</w:t>
      </w:r>
      <w:r>
        <w:rPr>
          <w:rtl/>
        </w:rPr>
        <w:t xml:space="preserve">ضطلع مؤسسة الشؤون المدنية والبلدية بالواجب المحدد في مراقبة الإنتاج الآمن للأغذية </w:t>
      </w:r>
      <w:r>
        <w:rPr>
          <w:rFonts w:hint="cs"/>
          <w:rtl/>
        </w:rPr>
        <w:t>وفي الظروف الصحية التي يجري فيها إنتاجها ومراقبة المحيط العام</w:t>
      </w:r>
      <w:r>
        <w:rPr>
          <w:rFonts w:hint="cs"/>
          <w:rtl/>
        </w:rPr>
        <w:t xml:space="preserve"> ونظافة مصانع الأغذية الموجهة للسوق المحلية.</w:t>
      </w:r>
    </w:p>
    <w:p w:rsidR="00000000" w:rsidRDefault="00443EC1">
      <w:pPr>
        <w:spacing w:line="380" w:lineRule="exact"/>
        <w:jc w:val="both"/>
        <w:rPr>
          <w:rFonts w:hint="cs"/>
          <w:rtl/>
        </w:rPr>
      </w:pPr>
      <w:r>
        <w:rPr>
          <w:rFonts w:hint="cs"/>
          <w:rtl/>
        </w:rPr>
        <w:t>987-</w:t>
      </w:r>
      <w:r>
        <w:rPr>
          <w:rtl/>
        </w:rPr>
        <w:tab/>
        <w:t xml:space="preserve">وتتم مراقبة المواد الغذائية </w:t>
      </w:r>
      <w:r>
        <w:rPr>
          <w:rFonts w:hint="cs"/>
          <w:rtl/>
        </w:rPr>
        <w:t>ومتابعتها من خلال قيام مؤسسة الشؤون المدنية والبلدية بعمليات تفتيش منتظمة. وبالإضافة إلى ذلك، وضعت مؤسسة الشؤون المدنية والبلدية موضع التنفيذ آليات تكفل احترام الشروط الصحية في ج</w:t>
      </w:r>
      <w:r>
        <w:rPr>
          <w:rFonts w:hint="cs"/>
          <w:rtl/>
        </w:rPr>
        <w:t>ميع مراحل إنتاج الأغذية وحفظها وتوزيعها. وتنهض تلك الآليات بمقاييس الأمن الغذائي باعتمادها على معارف فنية وعلمية، وهي بذلك تساهم في التمتع بالحق في الحصول على الغذاء الكافي.</w:t>
      </w:r>
    </w:p>
    <w:p w:rsidR="00000000" w:rsidRDefault="00443EC1">
      <w:pPr>
        <w:spacing w:line="380" w:lineRule="exact"/>
        <w:jc w:val="both"/>
        <w:rPr>
          <w:rFonts w:hint="cs"/>
          <w:rtl/>
        </w:rPr>
      </w:pPr>
      <w:r>
        <w:rPr>
          <w:rFonts w:hint="cs"/>
          <w:rtl/>
        </w:rPr>
        <w:t>988-</w:t>
      </w:r>
      <w:r>
        <w:rPr>
          <w:rtl/>
        </w:rPr>
        <w:tab/>
        <w:t>لقد شجع</w:t>
      </w:r>
      <w:r>
        <w:rPr>
          <w:rFonts w:hint="cs"/>
          <w:rtl/>
        </w:rPr>
        <w:t>ت</w:t>
      </w:r>
      <w:r>
        <w:rPr>
          <w:rtl/>
        </w:rPr>
        <w:t xml:space="preserve"> مؤسسة الشؤون المدنية والبلدية عددا من </w:t>
      </w:r>
      <w:r>
        <w:rPr>
          <w:rFonts w:hint="cs"/>
          <w:rtl/>
        </w:rPr>
        <w:t>الدورات التدريبية والحلقات الد</w:t>
      </w:r>
      <w:r>
        <w:rPr>
          <w:rFonts w:hint="cs"/>
          <w:rtl/>
        </w:rPr>
        <w:t xml:space="preserve">راسية التي تناولت </w:t>
      </w:r>
      <w:r>
        <w:rPr>
          <w:rFonts w:hint="cs"/>
          <w:spacing w:val="0"/>
          <w:rtl/>
        </w:rPr>
        <w:t xml:space="preserve">الصحة الغذائية خلال السنوات الثلاث الماضية (أربع في عام 2000 وثلاث في عام 2001 واثنتان في عام 2002) </w:t>
      </w:r>
      <w:r>
        <w:rPr>
          <w:rFonts w:hint="cs"/>
          <w:rtl/>
        </w:rPr>
        <w:t>كانت موجهة للمهنيين ولمفتشي الصحة الغذائية ولموردي الأغذية.</w:t>
      </w:r>
    </w:p>
    <w:p w:rsidR="00000000" w:rsidRDefault="00443EC1">
      <w:pPr>
        <w:spacing w:line="380" w:lineRule="exact"/>
        <w:jc w:val="center"/>
        <w:rPr>
          <w:rFonts w:hint="cs"/>
          <w:b/>
          <w:bCs/>
          <w:rtl/>
        </w:rPr>
      </w:pPr>
      <w:r>
        <w:rPr>
          <w:rFonts w:hint="cs"/>
          <w:b/>
          <w:bCs/>
          <w:rtl/>
        </w:rPr>
        <w:t>جيم - الحق في المسكن اللائق</w:t>
      </w:r>
    </w:p>
    <w:p w:rsidR="00000000" w:rsidRDefault="00443EC1">
      <w:pPr>
        <w:spacing w:line="380" w:lineRule="exact"/>
        <w:jc w:val="both"/>
        <w:rPr>
          <w:rFonts w:hint="cs"/>
          <w:rtl/>
        </w:rPr>
      </w:pPr>
      <w:r>
        <w:rPr>
          <w:rFonts w:hint="cs"/>
          <w:rtl/>
        </w:rPr>
        <w:t>989-</w:t>
      </w:r>
      <w:r>
        <w:rPr>
          <w:rtl/>
        </w:rPr>
        <w:tab/>
      </w:r>
      <w:r>
        <w:rPr>
          <w:rFonts w:hint="cs"/>
          <w:rtl/>
        </w:rPr>
        <w:t>توفر حكومة مقاطعة ماكاو الإدارية الخاصة السكن</w:t>
      </w:r>
      <w:r>
        <w:rPr>
          <w:rFonts w:hint="cs"/>
          <w:rtl/>
        </w:rPr>
        <w:t xml:space="preserve"> المنخفض الكلفة أو المؤقت للأفراد الذين تعترضهم صعوبات مالية والذين يعجزون عن شراء أو كراء مسكن أو الذين يواجهون مشاكل في الانتقال إلى مسكن آخر. </w:t>
      </w:r>
    </w:p>
    <w:p w:rsidR="00000000" w:rsidRDefault="00443EC1">
      <w:pPr>
        <w:spacing w:line="380" w:lineRule="exact"/>
        <w:jc w:val="both"/>
        <w:rPr>
          <w:rFonts w:hint="cs"/>
          <w:rtl/>
        </w:rPr>
      </w:pPr>
      <w:r>
        <w:rPr>
          <w:rFonts w:hint="cs"/>
          <w:rtl/>
        </w:rPr>
        <w:t>990-</w:t>
      </w:r>
      <w:r>
        <w:rPr>
          <w:rtl/>
        </w:rPr>
        <w:tab/>
      </w:r>
      <w:r>
        <w:rPr>
          <w:rFonts w:hint="cs"/>
          <w:rtl/>
        </w:rPr>
        <w:t>تنقسم خطة منح إعانات الإسكان العامة إلى فئتين اثنتين هما: المساكن المنخفضة الكلفة والمساكن الاجتماعية.</w:t>
      </w:r>
    </w:p>
    <w:p w:rsidR="00000000" w:rsidRDefault="00443EC1">
      <w:pPr>
        <w:spacing w:line="380" w:lineRule="exact"/>
        <w:jc w:val="both"/>
        <w:rPr>
          <w:rFonts w:hint="cs"/>
          <w:rtl/>
        </w:rPr>
      </w:pPr>
      <w:r>
        <w:rPr>
          <w:rFonts w:hint="cs"/>
          <w:rtl/>
        </w:rPr>
        <w:t>99</w:t>
      </w:r>
      <w:r>
        <w:rPr>
          <w:rFonts w:hint="cs"/>
          <w:rtl/>
        </w:rPr>
        <w:t>1-</w:t>
      </w:r>
      <w:r>
        <w:rPr>
          <w:rtl/>
        </w:rPr>
        <w:tab/>
      </w:r>
      <w:r>
        <w:rPr>
          <w:rFonts w:hint="cs"/>
          <w:rtl/>
        </w:rPr>
        <w:t>المساكن المنخفضة الكلفة هي تلك التي تبنى بموجب عقد امتياز خاص على الأراضي ما بين حكومة منطقة ماكاو الإدارية الخاصة وبين المستثمرين العقاريين. والغرض الأساسي من ذلك هو خفض النقص الحاصل في توفير المساكن محليا ودعم قطاع البناء من خلال زيادة المعروض من المس</w:t>
      </w:r>
      <w:r>
        <w:rPr>
          <w:rFonts w:hint="cs"/>
          <w:rtl/>
        </w:rPr>
        <w:t>اكن بسعر معقول بما يتناسب مع الحاجات المحلية ومن خلال عرض مساكن بسعر أقل مقارنة مع مساكن القطاع الخاص.</w:t>
      </w:r>
    </w:p>
    <w:p w:rsidR="00000000" w:rsidRDefault="00443EC1">
      <w:pPr>
        <w:spacing w:line="380" w:lineRule="exact"/>
        <w:jc w:val="both"/>
        <w:rPr>
          <w:rFonts w:hint="cs"/>
          <w:rtl/>
        </w:rPr>
      </w:pPr>
      <w:r>
        <w:rPr>
          <w:rFonts w:hint="cs"/>
          <w:rtl/>
        </w:rPr>
        <w:t>992-</w:t>
      </w:r>
      <w:r>
        <w:rPr>
          <w:rtl/>
        </w:rPr>
        <w:tab/>
      </w:r>
      <w:r>
        <w:rPr>
          <w:rFonts w:hint="cs"/>
          <w:rtl/>
        </w:rPr>
        <w:t>طلب الحصول على بيت منخفض الكلفة متاح للعموم مرة كل ثلاث سنوات وينظمه معهد الإسكان. وللحصول على بيت، يشترط في المقيمين المحليين أن يكونوا قد جاوزوا س</w:t>
      </w:r>
      <w:r>
        <w:rPr>
          <w:rFonts w:hint="cs"/>
          <w:rtl/>
        </w:rPr>
        <w:t>ن الثامنة عشرة وأن يكونوا قد أقاموا في ماكاو لمدة خمس سنوات على الأقل (المرسوم بقانون 26/95/م الصادر في 26 حزيران/يونيه).</w:t>
      </w:r>
    </w:p>
    <w:p w:rsidR="00000000" w:rsidRDefault="00443EC1">
      <w:pPr>
        <w:spacing w:line="380" w:lineRule="exact"/>
        <w:jc w:val="both"/>
        <w:rPr>
          <w:rFonts w:hint="cs"/>
          <w:rtl/>
        </w:rPr>
      </w:pPr>
      <w:r>
        <w:rPr>
          <w:rFonts w:hint="cs"/>
          <w:rtl/>
        </w:rPr>
        <w:t>993-</w:t>
      </w:r>
      <w:r>
        <w:rPr>
          <w:rtl/>
        </w:rPr>
        <w:tab/>
      </w:r>
      <w:r>
        <w:rPr>
          <w:rFonts w:hint="cs"/>
          <w:rtl/>
        </w:rPr>
        <w:t>وفي عام 1999، قُبل 835 6 طلبا من عدد طلبات إجمالي بلغ 309 7 طلبات. وبحلول أيلول/سبتمبر 2002، كانت قائمة الانتظار تعد أسماء نحو 80</w:t>
      </w:r>
      <w:r>
        <w:rPr>
          <w:rFonts w:hint="cs"/>
          <w:rtl/>
        </w:rPr>
        <w:t>0 3 مقدم طلب.</w:t>
      </w:r>
    </w:p>
    <w:p w:rsidR="00000000" w:rsidRDefault="00443EC1">
      <w:pPr>
        <w:spacing w:line="380" w:lineRule="exact"/>
        <w:jc w:val="both"/>
        <w:rPr>
          <w:rFonts w:hint="cs"/>
          <w:rtl/>
        </w:rPr>
      </w:pPr>
      <w:r>
        <w:rPr>
          <w:rFonts w:hint="cs"/>
          <w:rtl/>
        </w:rPr>
        <w:t>994-</w:t>
      </w:r>
      <w:r>
        <w:rPr>
          <w:rtl/>
        </w:rPr>
        <w:tab/>
      </w:r>
      <w:r>
        <w:rPr>
          <w:rFonts w:hint="cs"/>
          <w:rtl/>
        </w:rPr>
        <w:t>تملك حكومة مقاطعة ماكاو الإدارية الخاصة المساكن الاجتماعية وتؤجرها للأسر المحلية التي تعاني من صعوبات مالية. ولتحديد الأهلية، تؤخذ الظروف الاجتماعية والاقتصادية للطالبين بعين الاعتبار وكذلك عدد أفراد الأسرة و/أو أفراد الأسرة الذين يعانون</w:t>
      </w:r>
      <w:r>
        <w:rPr>
          <w:rFonts w:hint="cs"/>
          <w:rtl/>
        </w:rPr>
        <w:t xml:space="preserve"> من المرض أو من إعاقة عقلية أو جسدية (المرسوم بقانون 69/88/م الصادر في 8 آب/أغسطس).</w:t>
      </w:r>
    </w:p>
    <w:p w:rsidR="00000000" w:rsidRDefault="00443EC1">
      <w:pPr>
        <w:spacing w:line="380" w:lineRule="exact"/>
        <w:jc w:val="both"/>
        <w:rPr>
          <w:rFonts w:hint="cs"/>
          <w:rtl/>
        </w:rPr>
      </w:pPr>
      <w:r>
        <w:rPr>
          <w:rFonts w:hint="cs"/>
          <w:rtl/>
        </w:rPr>
        <w:t>995-</w:t>
      </w:r>
      <w:r>
        <w:rPr>
          <w:rtl/>
        </w:rPr>
        <w:tab/>
      </w:r>
      <w:r>
        <w:rPr>
          <w:rFonts w:hint="cs"/>
          <w:rtl/>
        </w:rPr>
        <w:t>طلب تأجير المساكن الاجتماعية متاح للعموم كل ثلاث سنوات ويشرف على تنظيمه أيضا معهد الإسكان.</w:t>
      </w:r>
    </w:p>
    <w:p w:rsidR="00000000" w:rsidRDefault="00443EC1">
      <w:pPr>
        <w:spacing w:line="380" w:lineRule="exact"/>
        <w:jc w:val="both"/>
        <w:rPr>
          <w:rFonts w:hint="cs"/>
          <w:rtl/>
        </w:rPr>
      </w:pPr>
      <w:r>
        <w:rPr>
          <w:rFonts w:hint="cs"/>
          <w:rtl/>
        </w:rPr>
        <w:t>996-</w:t>
      </w:r>
      <w:r>
        <w:rPr>
          <w:rtl/>
        </w:rPr>
        <w:tab/>
        <w:t xml:space="preserve">في عام 2000، قبل 628 </w:t>
      </w:r>
      <w:r>
        <w:rPr>
          <w:rFonts w:hint="cs"/>
          <w:rtl/>
        </w:rPr>
        <w:t xml:space="preserve">3 </w:t>
      </w:r>
      <w:r>
        <w:rPr>
          <w:rtl/>
        </w:rPr>
        <w:t xml:space="preserve">طلبا من مجموع 986 </w:t>
      </w:r>
      <w:r>
        <w:rPr>
          <w:rFonts w:hint="cs"/>
          <w:rtl/>
        </w:rPr>
        <w:t xml:space="preserve">3 </w:t>
      </w:r>
      <w:r>
        <w:rPr>
          <w:rtl/>
        </w:rPr>
        <w:t>طلبا.</w:t>
      </w:r>
      <w:r>
        <w:rPr>
          <w:rFonts w:hint="cs"/>
          <w:rtl/>
        </w:rPr>
        <w:t xml:space="preserve"> وفي أيلول/سبتمبر 2002،</w:t>
      </w:r>
      <w:r>
        <w:rPr>
          <w:rFonts w:hint="cs"/>
          <w:rtl/>
        </w:rPr>
        <w:t xml:space="preserve"> كانت أسماء حوالي 800 طالب سكن على قائمة الانتظار. ولا تتعدى مدة الانتظار للحصول على مسكن اجتماعي عادةً ثلاث سنوات.</w:t>
      </w:r>
    </w:p>
    <w:p w:rsidR="00000000" w:rsidRDefault="00443EC1">
      <w:pPr>
        <w:spacing w:line="380" w:lineRule="exact"/>
        <w:jc w:val="both"/>
        <w:rPr>
          <w:rFonts w:hint="cs"/>
          <w:rtl/>
        </w:rPr>
      </w:pPr>
      <w:r>
        <w:rPr>
          <w:rFonts w:hint="cs"/>
          <w:rtl/>
        </w:rPr>
        <w:t>997-</w:t>
      </w:r>
      <w:r>
        <w:rPr>
          <w:rtl/>
        </w:rPr>
        <w:tab/>
      </w:r>
      <w:r>
        <w:rPr>
          <w:rFonts w:hint="cs"/>
          <w:rtl/>
        </w:rPr>
        <w:t>في بعض الحالات الاستثنائية، يمكن أن تحصل الأسر على مسكن اجتماعي دون أن تخوض إجراءات تقديم الطلب العام، خاصة إذا تعلق الأمر بخطر اجتماعي</w:t>
      </w:r>
      <w:r>
        <w:rPr>
          <w:rFonts w:hint="cs"/>
          <w:rtl/>
        </w:rPr>
        <w:t xml:space="preserve"> أو جسماني أو عقلي أو عندما تكون هناك ضرورة لإعادة التوطين على وجه السرعة (المرسوم بقانون 45/88م الصادر في 13 حزيران/يونيه).</w:t>
      </w:r>
    </w:p>
    <w:p w:rsidR="00000000" w:rsidRDefault="00443EC1">
      <w:pPr>
        <w:spacing w:line="380" w:lineRule="exact"/>
        <w:jc w:val="both"/>
        <w:rPr>
          <w:rFonts w:hint="cs"/>
          <w:rtl/>
        </w:rPr>
      </w:pPr>
      <w:r>
        <w:rPr>
          <w:rFonts w:hint="cs"/>
          <w:rtl/>
        </w:rPr>
        <w:t>998-</w:t>
      </w:r>
      <w:r>
        <w:rPr>
          <w:rtl/>
        </w:rPr>
        <w:tab/>
      </w:r>
      <w:r>
        <w:rPr>
          <w:rFonts w:hint="cs"/>
          <w:rtl/>
        </w:rPr>
        <w:t xml:space="preserve"> إن معهد الإسكان معني عموما بتقليص مدة البقاء على قائمة الانتظار لتحقيق توازن بين العرض والطلب </w:t>
      </w:r>
      <w:r>
        <w:rPr>
          <w:rFonts w:hint="cs"/>
          <w:spacing w:val="0"/>
          <w:rtl/>
        </w:rPr>
        <w:t>على المساكن العامة. وبحلول أيلو</w:t>
      </w:r>
      <w:r>
        <w:rPr>
          <w:rFonts w:hint="cs"/>
          <w:spacing w:val="0"/>
          <w:rtl/>
        </w:rPr>
        <w:t>ل/سبتمبر 2002، كانت 200 28 أسرة تشغل حوالي 000 30 وحدة سكنية من وحدات المساكن العامة وتمثل 400 79 مقيم في المجموع (أي 18 في المائة من سكان مقاطعة ماكاو الإدارية الخاصة).</w:t>
      </w:r>
    </w:p>
    <w:p w:rsidR="00000000" w:rsidRDefault="00443EC1">
      <w:pPr>
        <w:spacing w:line="380" w:lineRule="exact"/>
        <w:jc w:val="both"/>
        <w:rPr>
          <w:rFonts w:hint="cs"/>
          <w:rtl/>
        </w:rPr>
      </w:pPr>
      <w:r>
        <w:rPr>
          <w:rFonts w:hint="cs"/>
          <w:rtl/>
        </w:rPr>
        <w:t>999-</w:t>
      </w:r>
      <w:r>
        <w:rPr>
          <w:rtl/>
        </w:rPr>
        <w:tab/>
      </w:r>
      <w:r>
        <w:rPr>
          <w:rFonts w:hint="cs"/>
          <w:rtl/>
        </w:rPr>
        <w:t>والأكواخ المستقطنة عبارة عن بيوت لا تتوفر فيها شروط العيش اللائق إذ تنعدم فيها مر</w:t>
      </w:r>
      <w:r>
        <w:rPr>
          <w:rFonts w:hint="cs"/>
          <w:rtl/>
        </w:rPr>
        <w:t>افق الصرف الصحي أو المرافق الصحية. وينظم السكن في الأكواخ المستقطنة المرسوم بقانون عدد 6/93/م الصادر في 15 شباط/فبراير.</w:t>
      </w:r>
    </w:p>
    <w:p w:rsidR="00000000" w:rsidRDefault="00443EC1">
      <w:pPr>
        <w:tabs>
          <w:tab w:val="left" w:pos="731"/>
        </w:tabs>
        <w:spacing w:line="380" w:lineRule="exact"/>
        <w:jc w:val="both"/>
        <w:rPr>
          <w:rFonts w:hint="cs"/>
          <w:rtl/>
        </w:rPr>
      </w:pPr>
      <w:r>
        <w:rPr>
          <w:rFonts w:hint="cs"/>
          <w:rtl/>
        </w:rPr>
        <w:t>1000-   وهناك في الوقت الحاضر حوالي ألف من تلك الأكواخ يسكنها 600 3 شخص. وبعض المقيمين فيها يرفضون عرض إعادة الإسكان الذي تقدمه هيئة الإ</w:t>
      </w:r>
      <w:r>
        <w:rPr>
          <w:rFonts w:hint="cs"/>
          <w:rtl/>
        </w:rPr>
        <w:t>سكان لأنهم يرفضون ترك المنطقة التي ألفوها.</w:t>
      </w:r>
    </w:p>
    <w:p w:rsidR="00000000" w:rsidRDefault="00443EC1">
      <w:pPr>
        <w:tabs>
          <w:tab w:val="left" w:pos="731"/>
        </w:tabs>
        <w:spacing w:line="380" w:lineRule="exact"/>
        <w:jc w:val="both"/>
        <w:rPr>
          <w:rFonts w:hint="cs"/>
          <w:rtl/>
        </w:rPr>
      </w:pPr>
      <w:r>
        <w:rPr>
          <w:rFonts w:hint="cs"/>
          <w:rtl/>
        </w:rPr>
        <w:t>1001-   أقيمت معظم الأكواخ المستقطنة على أراض خاصة مما يجعل من الصعب جدا نقل الناس وهدم الأكواخ.</w:t>
      </w:r>
    </w:p>
    <w:p w:rsidR="00000000" w:rsidRDefault="00443EC1">
      <w:pPr>
        <w:tabs>
          <w:tab w:val="left" w:pos="759"/>
        </w:tabs>
        <w:spacing w:line="380" w:lineRule="exact"/>
        <w:jc w:val="both"/>
        <w:rPr>
          <w:rFonts w:hint="cs"/>
          <w:rtl/>
        </w:rPr>
      </w:pPr>
      <w:r>
        <w:rPr>
          <w:rFonts w:hint="cs"/>
          <w:rtl/>
        </w:rPr>
        <w:t xml:space="preserve">1002-   </w:t>
      </w:r>
      <w:r>
        <w:rPr>
          <w:rtl/>
        </w:rPr>
        <w:t xml:space="preserve">وحكومة منطقة ماكاو الإدارية الخاصة عاقدة العزم فعلا على </w:t>
      </w:r>
      <w:r>
        <w:rPr>
          <w:rFonts w:hint="cs"/>
          <w:rtl/>
        </w:rPr>
        <w:t>توفير السكن لمن يعانون من العوز حقيقةً وعلى تشجيع ال</w:t>
      </w:r>
      <w:r>
        <w:rPr>
          <w:rFonts w:hint="cs"/>
          <w:rtl/>
        </w:rPr>
        <w:t>أشخاص ميسوري الحال ماديا على شراء بيوتهم.</w:t>
      </w:r>
    </w:p>
    <w:p w:rsidR="00000000" w:rsidRDefault="00443EC1">
      <w:pPr>
        <w:tabs>
          <w:tab w:val="left" w:pos="773"/>
        </w:tabs>
        <w:spacing w:line="380" w:lineRule="exact"/>
        <w:jc w:val="both"/>
        <w:rPr>
          <w:rFonts w:hint="cs"/>
          <w:rtl/>
        </w:rPr>
      </w:pPr>
      <w:r>
        <w:rPr>
          <w:rFonts w:hint="cs"/>
          <w:rtl/>
        </w:rPr>
        <w:t>1003-   وينظم المرسوم بقانون 35/96/م الصادر في 8 تموز/يوليه، المعدل بمقتضى القانون الإداري</w:t>
      </w:r>
      <w:r>
        <w:rPr>
          <w:rtl/>
        </w:rPr>
        <w:br/>
      </w:r>
      <w:r>
        <w:rPr>
          <w:rFonts w:hint="cs"/>
          <w:rtl/>
        </w:rPr>
        <w:t>24/2000 الصادر في 26 حزيران/يونيه، خطة الإعانة بفائدة لبرامج الإسكان. ويتلخص الهدف الأساسي من هذه الخطة في تيسير ملكية المق</w:t>
      </w:r>
      <w:r>
        <w:rPr>
          <w:rFonts w:hint="cs"/>
          <w:rtl/>
        </w:rPr>
        <w:t>يمين لبيوتهم ومساعدة سوق العقار (وفيه فائض من الشقق الفارغة) بمنح السكان المحليين إعانة بسعر فائدة يبلغ 4 في المائة ليتمكنوا من شراء بيوتهم.</w:t>
      </w:r>
    </w:p>
    <w:p w:rsidR="00000000" w:rsidRDefault="00443EC1">
      <w:pPr>
        <w:tabs>
          <w:tab w:val="left" w:pos="773"/>
        </w:tabs>
        <w:spacing w:line="380" w:lineRule="exact"/>
        <w:jc w:val="both"/>
        <w:rPr>
          <w:rFonts w:hint="cs"/>
          <w:rtl/>
        </w:rPr>
      </w:pPr>
      <w:r>
        <w:rPr>
          <w:rFonts w:hint="cs"/>
          <w:rtl/>
        </w:rPr>
        <w:t xml:space="preserve">1004-   </w:t>
      </w:r>
      <w:r>
        <w:rPr>
          <w:rtl/>
        </w:rPr>
        <w:t xml:space="preserve">وانتهت </w:t>
      </w:r>
      <w:r>
        <w:rPr>
          <w:rFonts w:hint="cs"/>
          <w:rtl/>
        </w:rPr>
        <w:t xml:space="preserve">في كانون الأول/ديسمبر 1999 (1996-1999) </w:t>
      </w:r>
      <w:r>
        <w:rPr>
          <w:rtl/>
        </w:rPr>
        <w:t xml:space="preserve">المرحلة </w:t>
      </w:r>
      <w:r>
        <w:rPr>
          <w:rFonts w:hint="cs"/>
          <w:rtl/>
        </w:rPr>
        <w:t xml:space="preserve">الأولى </w:t>
      </w:r>
      <w:r>
        <w:rPr>
          <w:rtl/>
        </w:rPr>
        <w:t xml:space="preserve">من هذه </w:t>
      </w:r>
      <w:r>
        <w:rPr>
          <w:rFonts w:hint="cs"/>
          <w:rtl/>
        </w:rPr>
        <w:t>ال</w:t>
      </w:r>
      <w:r>
        <w:rPr>
          <w:rtl/>
        </w:rPr>
        <w:t>خطة</w:t>
      </w:r>
      <w:r>
        <w:rPr>
          <w:rFonts w:hint="cs"/>
          <w:rtl/>
        </w:rPr>
        <w:t xml:space="preserve"> التي استفادت من خلالها حوالي 300 </w:t>
      </w:r>
      <w:r>
        <w:rPr>
          <w:rFonts w:hint="cs"/>
          <w:rtl/>
        </w:rPr>
        <w:t>8 أسرة من ذلك البرنامج. وامتدت المرحلة الثانية من تموز/يوليه 2000 حتى حزيران/يونيه 2002 استطاعت في هذه المرحلة قرابة 800 5 أسرة شراء مسكنها الخاص.</w:t>
      </w:r>
    </w:p>
    <w:p w:rsidR="00000000" w:rsidRDefault="00443EC1">
      <w:pPr>
        <w:tabs>
          <w:tab w:val="left" w:pos="773"/>
        </w:tabs>
        <w:spacing w:line="380" w:lineRule="exact"/>
        <w:jc w:val="both"/>
        <w:rPr>
          <w:rFonts w:hint="cs"/>
          <w:b/>
          <w:bCs/>
          <w:rtl/>
        </w:rPr>
      </w:pPr>
      <w:r>
        <w:rPr>
          <w:rFonts w:hint="cs"/>
          <w:b/>
          <w:bCs/>
          <w:rtl/>
        </w:rPr>
        <w:t>وضع المجموعات المستضعفة والمحرومة من حيث السكن</w:t>
      </w:r>
    </w:p>
    <w:p w:rsidR="00000000" w:rsidRDefault="00443EC1">
      <w:pPr>
        <w:tabs>
          <w:tab w:val="left" w:pos="773"/>
        </w:tabs>
        <w:spacing w:line="380" w:lineRule="exact"/>
        <w:jc w:val="both"/>
        <w:rPr>
          <w:rFonts w:hint="cs"/>
          <w:rtl/>
        </w:rPr>
      </w:pPr>
      <w:r>
        <w:rPr>
          <w:rFonts w:hint="cs"/>
          <w:rtl/>
        </w:rPr>
        <w:t xml:space="preserve">1005-   </w:t>
      </w:r>
      <w:r>
        <w:rPr>
          <w:rtl/>
        </w:rPr>
        <w:t>كما هي الحال في كل</w:t>
      </w:r>
      <w:r>
        <w:rPr>
          <w:rFonts w:hint="cs"/>
          <w:rtl/>
        </w:rPr>
        <w:t xml:space="preserve"> </w:t>
      </w:r>
      <w:r>
        <w:rPr>
          <w:rtl/>
        </w:rPr>
        <w:t xml:space="preserve">أرجاء العالم، </w:t>
      </w:r>
      <w:r>
        <w:rPr>
          <w:rFonts w:hint="cs"/>
          <w:rtl/>
        </w:rPr>
        <w:t>هناك ممن ينامون في ال</w:t>
      </w:r>
      <w:r>
        <w:rPr>
          <w:rFonts w:hint="cs"/>
          <w:rtl/>
        </w:rPr>
        <w:t>شوارع في مقاطعة ماكاو الإدارية الخاصة رغم وجود ثلاثة مراكز إيواء. وفي عام 2001، استفاد 71 شخصا من تلك الإقامة إذ يؤوي كل مركز 34 شخصا. بيد أن ثمة أشخاصاً يرفضون العيش في مراكز الإيواء حسب مؤسسة الرعاية الاجتماعية.</w:t>
      </w:r>
    </w:p>
    <w:p w:rsidR="00000000" w:rsidRDefault="00443EC1">
      <w:pPr>
        <w:tabs>
          <w:tab w:val="left" w:pos="773"/>
        </w:tabs>
        <w:spacing w:line="380" w:lineRule="exact"/>
        <w:jc w:val="both"/>
        <w:rPr>
          <w:rFonts w:hint="cs"/>
          <w:rtl/>
        </w:rPr>
      </w:pPr>
      <w:r>
        <w:rPr>
          <w:rFonts w:hint="cs"/>
          <w:rtl/>
        </w:rPr>
        <w:t>1006-   توفر مؤسسة الرعاية الاجتماعية المس</w:t>
      </w:r>
      <w:r>
        <w:rPr>
          <w:rFonts w:hint="cs"/>
          <w:rtl/>
        </w:rPr>
        <w:t>اعدة المالية والفنية وتشجع الجمعيات الخاصة على تأسيس دور تؤوي الأطفال والشبان المعرضين للخطر (أي الأشخاص القاصرون المحرومون من الرعاية الأسرية تماما أو الذين تعوزهم تلك الرعاية والأطفال والشبان الذين يعيشون أزمة ناجمة عن خلافات عائلية أو اجتماعية) مما يساع</w:t>
      </w:r>
      <w:r>
        <w:rPr>
          <w:rFonts w:hint="cs"/>
          <w:rtl/>
        </w:rPr>
        <w:t>دهم على النمو بصورة طبيعية وعلى الاندماج في المجتمع.</w:t>
      </w:r>
    </w:p>
    <w:p w:rsidR="00000000" w:rsidRDefault="00443EC1">
      <w:pPr>
        <w:tabs>
          <w:tab w:val="left" w:pos="773"/>
        </w:tabs>
        <w:spacing w:line="380" w:lineRule="exact"/>
        <w:jc w:val="both"/>
        <w:rPr>
          <w:rFonts w:hint="cs"/>
          <w:rtl/>
        </w:rPr>
      </w:pPr>
      <w:r>
        <w:rPr>
          <w:rFonts w:hint="cs"/>
          <w:rtl/>
        </w:rPr>
        <w:t>1007-</w:t>
      </w:r>
      <w:r>
        <w:rPr>
          <w:rtl/>
        </w:rPr>
        <w:tab/>
        <w:t xml:space="preserve">وحتى الآن، هناك </w:t>
      </w:r>
      <w:r>
        <w:rPr>
          <w:rFonts w:hint="cs"/>
          <w:rtl/>
        </w:rPr>
        <w:t xml:space="preserve">سبعة مآوى للأطفال والشبان </w:t>
      </w:r>
      <w:r>
        <w:rPr>
          <w:rtl/>
        </w:rPr>
        <w:t>ومدرسة داخلية يمكنها إيواء 540 طفلا</w:t>
      </w:r>
      <w:r>
        <w:rPr>
          <w:rFonts w:hint="cs"/>
          <w:rtl/>
        </w:rPr>
        <w:t xml:space="preserve"> وشاباً </w:t>
      </w:r>
      <w:r>
        <w:rPr>
          <w:rtl/>
        </w:rPr>
        <w:t xml:space="preserve">في </w:t>
      </w:r>
      <w:r>
        <w:rPr>
          <w:spacing w:val="0"/>
          <w:rtl/>
        </w:rPr>
        <w:t>المجموع.</w:t>
      </w:r>
      <w:r>
        <w:rPr>
          <w:rFonts w:hint="cs"/>
          <w:spacing w:val="0"/>
          <w:rtl/>
        </w:rPr>
        <w:t xml:space="preserve"> وبحلول نهاية حزيران/يونيه 2002، كان هناك 392 طفلا وشاباً يعيشون في تلك المآوى وفي تلك المدرسة.</w:t>
      </w:r>
    </w:p>
    <w:p w:rsidR="00000000" w:rsidRDefault="00443EC1">
      <w:pPr>
        <w:tabs>
          <w:tab w:val="left" w:pos="773"/>
        </w:tabs>
        <w:spacing w:line="380" w:lineRule="exact"/>
        <w:jc w:val="both"/>
        <w:rPr>
          <w:rFonts w:hint="cs"/>
          <w:rtl/>
        </w:rPr>
      </w:pPr>
      <w:r>
        <w:rPr>
          <w:rFonts w:hint="cs"/>
          <w:rtl/>
        </w:rPr>
        <w:t>1008-</w:t>
      </w:r>
      <w:r>
        <w:rPr>
          <w:rFonts w:hint="cs"/>
          <w:rtl/>
        </w:rPr>
        <w:t xml:space="preserve">   </w:t>
      </w:r>
      <w:r>
        <w:rPr>
          <w:rtl/>
        </w:rPr>
        <w:t xml:space="preserve">وتنطبق السياسة ذاتها على كبار السن من خلال إنشاء دور للمسنين وتوفير الرعاية الخاصة لكبار السن </w:t>
      </w:r>
      <w:r>
        <w:rPr>
          <w:spacing w:val="0"/>
          <w:rtl/>
        </w:rPr>
        <w:t>غير القادرين على الاعتناء بأنفسهم أو العاجزين</w:t>
      </w:r>
      <w:r>
        <w:rPr>
          <w:rFonts w:hint="cs"/>
          <w:spacing w:val="0"/>
          <w:rtl/>
        </w:rPr>
        <w:t xml:space="preserve"> </w:t>
      </w:r>
      <w:r>
        <w:rPr>
          <w:spacing w:val="0"/>
          <w:rtl/>
        </w:rPr>
        <w:t>عن الاعتناء بشخص آخر</w:t>
      </w:r>
      <w:r>
        <w:rPr>
          <w:rFonts w:hint="cs"/>
          <w:spacing w:val="0"/>
          <w:rtl/>
        </w:rPr>
        <w:t xml:space="preserve"> أو غير القادرين على العيش داخل المجتمع.</w:t>
      </w:r>
    </w:p>
    <w:p w:rsidR="00000000" w:rsidRDefault="00443EC1">
      <w:pPr>
        <w:tabs>
          <w:tab w:val="left" w:pos="773"/>
        </w:tabs>
        <w:spacing w:line="380" w:lineRule="exact"/>
        <w:jc w:val="both"/>
        <w:rPr>
          <w:rFonts w:hint="cs"/>
          <w:rtl/>
        </w:rPr>
      </w:pPr>
      <w:r>
        <w:rPr>
          <w:rFonts w:hint="cs"/>
          <w:rtl/>
        </w:rPr>
        <w:t xml:space="preserve">1009-   </w:t>
      </w:r>
      <w:r>
        <w:rPr>
          <w:rtl/>
        </w:rPr>
        <w:t>هناك في ا</w:t>
      </w:r>
      <w:r>
        <w:rPr>
          <w:rFonts w:hint="cs"/>
          <w:rtl/>
        </w:rPr>
        <w:t>ل</w:t>
      </w:r>
      <w:r>
        <w:rPr>
          <w:rtl/>
        </w:rPr>
        <w:t>و</w:t>
      </w:r>
      <w:r>
        <w:rPr>
          <w:rFonts w:hint="cs"/>
          <w:rtl/>
        </w:rPr>
        <w:t>ق</w:t>
      </w:r>
      <w:r>
        <w:rPr>
          <w:rtl/>
        </w:rPr>
        <w:t xml:space="preserve">ت الحاضر </w:t>
      </w:r>
      <w:r>
        <w:rPr>
          <w:rFonts w:hint="cs"/>
          <w:rtl/>
        </w:rPr>
        <w:t>ثماني دور لكبار السن ود</w:t>
      </w:r>
      <w:r>
        <w:rPr>
          <w:rFonts w:hint="cs"/>
          <w:rtl/>
        </w:rPr>
        <w:t>ار واحدة للرعاية والعناية يمكنها مجتمعةً أن تؤوي 784 شخصا مسنا. وبحلول نهاية حزيران/يونيه 2002، كان 662 من كبار السن يعيشون في تلك الدور. فضلا عن ذلك، أقامت حكومة مقاطعة ماكاو الإدارية الخاصة خمس بنايات عامة لإيواء كبار السن الوحيدين أو الأزواج المسنين. وت</w:t>
      </w:r>
      <w:r>
        <w:rPr>
          <w:rFonts w:hint="cs"/>
          <w:rtl/>
        </w:rPr>
        <w:t>ؤوي تلك البنايات الآن حوالي 600 شخص مسن.</w:t>
      </w:r>
    </w:p>
    <w:p w:rsidR="00000000" w:rsidRDefault="00443EC1">
      <w:pPr>
        <w:tabs>
          <w:tab w:val="left" w:pos="773"/>
        </w:tabs>
        <w:spacing w:before="180" w:after="180" w:line="360" w:lineRule="exact"/>
        <w:jc w:val="both"/>
        <w:rPr>
          <w:rFonts w:hint="cs"/>
          <w:rtl/>
        </w:rPr>
      </w:pPr>
      <w:r>
        <w:rPr>
          <w:rFonts w:hint="cs"/>
          <w:rtl/>
        </w:rPr>
        <w:t>1010-   ويلقى رعايةً مماثلة الأشخاصُ المعاقون غير المستقلين الذين لا يحصلون على رعاية من الآخرين ولا يستطيعون الحياة داخل المجتمع. وحتى الآن، هناك أربع دور تأهيل تؤوي أطفالا معاقين وأشخاصا متخلفين عقليا أو مرضى يعان</w:t>
      </w:r>
      <w:r>
        <w:rPr>
          <w:rFonts w:hint="cs"/>
          <w:rtl/>
        </w:rPr>
        <w:t>ون من أمراض عقلية مزمنة.</w:t>
      </w:r>
    </w:p>
    <w:p w:rsidR="00000000" w:rsidRDefault="00443EC1">
      <w:pPr>
        <w:tabs>
          <w:tab w:val="left" w:pos="773"/>
        </w:tabs>
        <w:spacing w:before="180" w:after="180" w:line="360" w:lineRule="exact"/>
        <w:jc w:val="both"/>
        <w:rPr>
          <w:rFonts w:hint="cs"/>
          <w:rtl/>
        </w:rPr>
      </w:pPr>
      <w:r>
        <w:rPr>
          <w:rFonts w:hint="cs"/>
          <w:rtl/>
        </w:rPr>
        <w:t>1011-   بالإضافة إلى ذلك، ثمة دار نقاهة توفر المأوى مؤقتا للمرضى الذين يتماثلون للشفاء من أمراض عقلية. وتتسع الدور الخمس المذكورة أعلاه ل‍ 355 شخصا في المجموع، وكان 329 شخصاً معاقاً يعيشون في تلك الدور في نهاية حزيران/يونيه 2002.</w:t>
      </w:r>
    </w:p>
    <w:p w:rsidR="00000000" w:rsidRDefault="00443EC1">
      <w:pPr>
        <w:tabs>
          <w:tab w:val="left" w:pos="773"/>
        </w:tabs>
        <w:spacing w:before="180" w:after="180" w:line="360" w:lineRule="exact"/>
        <w:jc w:val="both"/>
        <w:rPr>
          <w:rFonts w:hint="cs"/>
          <w:b/>
          <w:bCs/>
          <w:rtl/>
        </w:rPr>
      </w:pPr>
      <w:r>
        <w:rPr>
          <w:rFonts w:hint="cs"/>
          <w:b/>
          <w:bCs/>
          <w:rtl/>
        </w:rPr>
        <w:t>ق</w:t>
      </w:r>
      <w:r>
        <w:rPr>
          <w:rFonts w:hint="cs"/>
          <w:b/>
          <w:bCs/>
          <w:rtl/>
        </w:rPr>
        <w:t>انون العقار</w:t>
      </w:r>
    </w:p>
    <w:p w:rsidR="00000000" w:rsidRDefault="00443EC1">
      <w:pPr>
        <w:tabs>
          <w:tab w:val="left" w:pos="773"/>
        </w:tabs>
        <w:spacing w:before="180" w:after="180" w:line="360" w:lineRule="exact"/>
        <w:jc w:val="both"/>
        <w:rPr>
          <w:rFonts w:hint="cs"/>
          <w:spacing w:val="0"/>
          <w:rtl/>
        </w:rPr>
      </w:pPr>
      <w:r>
        <w:rPr>
          <w:rFonts w:hint="cs"/>
          <w:spacing w:val="0"/>
          <w:rtl/>
        </w:rPr>
        <w:t>1012-</w:t>
      </w:r>
      <w:r>
        <w:rPr>
          <w:rFonts w:hint="cs"/>
          <w:rtl/>
        </w:rPr>
        <w:t xml:space="preserve">   </w:t>
      </w:r>
      <w:r>
        <w:rPr>
          <w:rFonts w:hint="cs"/>
          <w:spacing w:val="0"/>
          <w:rtl/>
        </w:rPr>
        <w:t>ينظم استعمالَ الأراضي القانون 6/80/م الصادر في 5 تموز/يوليه وينظم البناء في المناطق الحضرية القانون 1600 الصادر في 13 تموز/يوليه 1963، وينظم نزع الملكية القانون 12/92/م الصادر في 17 آب/أغسطس والمرسوم بقانون 43/97/م الصادر في 20 تشرين ال</w:t>
      </w:r>
      <w:r>
        <w:rPr>
          <w:rFonts w:hint="cs"/>
          <w:spacing w:val="0"/>
          <w:rtl/>
        </w:rPr>
        <w:t>أول/أكتوبر، وينظم الملكية المشتركة قانون 25/96/م الصادر في 9 أيلول/سبتمبر.</w:t>
      </w:r>
    </w:p>
    <w:p w:rsidR="00000000" w:rsidRDefault="00443EC1">
      <w:pPr>
        <w:tabs>
          <w:tab w:val="left" w:pos="773"/>
        </w:tabs>
        <w:spacing w:before="180" w:after="180" w:line="360" w:lineRule="exact"/>
        <w:jc w:val="both"/>
        <w:rPr>
          <w:rFonts w:hint="cs"/>
          <w:rtl/>
        </w:rPr>
      </w:pPr>
      <w:r>
        <w:rPr>
          <w:rFonts w:hint="cs"/>
          <w:rtl/>
        </w:rPr>
        <w:t xml:space="preserve">1013-   </w:t>
      </w:r>
      <w:r>
        <w:rPr>
          <w:rtl/>
        </w:rPr>
        <w:t xml:space="preserve">وينبغي التأكيد على وجود </w:t>
      </w:r>
      <w:r>
        <w:rPr>
          <w:rFonts w:hint="cs"/>
          <w:rtl/>
        </w:rPr>
        <w:t>تشريع</w:t>
      </w:r>
      <w:r>
        <w:rPr>
          <w:rtl/>
        </w:rPr>
        <w:t xml:space="preserve"> يتعلق ب</w:t>
      </w:r>
      <w:r>
        <w:rPr>
          <w:rFonts w:hint="cs"/>
          <w:rtl/>
        </w:rPr>
        <w:t>قوانين البناء وقواعده ومواصفاته وبتوفير البنى التحتية مثل القوانين المتعلقة بإزالة الحواجز أمام الهندسة المعمارية (القانون 9/83/م الصادر</w:t>
      </w:r>
      <w:r>
        <w:rPr>
          <w:rFonts w:hint="cs"/>
          <w:rtl/>
        </w:rPr>
        <w:t xml:space="preserve"> في 3 تشرين الأول/أكتوبر) ومواقف السيارات </w:t>
      </w:r>
      <w:r>
        <w:rPr>
          <w:rFonts w:hint="cs"/>
          <w:spacing w:val="0"/>
          <w:rtl/>
        </w:rPr>
        <w:t>في البنايات (المرسوم بقانون 42/89/م الصادر في 26 حزيران/يونيه)، والسلامة من الحرائق (المرسوم بقانون 24/95/م</w:t>
      </w:r>
      <w:r>
        <w:rPr>
          <w:rFonts w:hint="cs"/>
          <w:rtl/>
        </w:rPr>
        <w:t xml:space="preserve"> الصادر في 9 حزيران/يونيه) والإمداد بالمياه وصرف المياه العادمة (المرسوم بقانون</w:t>
      </w:r>
      <w:r>
        <w:rPr>
          <w:rtl/>
        </w:rPr>
        <w:br/>
      </w:r>
      <w:r>
        <w:rPr>
          <w:rFonts w:hint="cs"/>
          <w:rtl/>
        </w:rPr>
        <w:t>46/96/م الصادر في 19 آب/أغس</w:t>
      </w:r>
      <w:r>
        <w:rPr>
          <w:rFonts w:hint="cs"/>
          <w:rtl/>
        </w:rPr>
        <w:t>طس) والسلامة والتدابير المتعلقة بهياكل البنايات والجسور (المرسوم بقانون</w:t>
      </w:r>
      <w:r>
        <w:rPr>
          <w:rtl/>
        </w:rPr>
        <w:br/>
      </w:r>
      <w:r>
        <w:rPr>
          <w:rFonts w:hint="cs"/>
          <w:rtl/>
        </w:rPr>
        <w:t>56/96/م الصادر في 16 أيلول/سبتمبر) ومواصفات الإسمنت (المرسوم بقانون 63/96/م الصادر في 14 تشرين الأول/أكتوبر) ومواصفات تقوية القضبان الفولاذية (المرسوم بقانون 64/96/م الصادر في 14 تشرين</w:t>
      </w:r>
      <w:r>
        <w:rPr>
          <w:rFonts w:hint="cs"/>
          <w:rtl/>
        </w:rPr>
        <w:t xml:space="preserve"> الأول/أكتوبر).</w:t>
      </w:r>
    </w:p>
    <w:p w:rsidR="00000000" w:rsidRDefault="00443EC1">
      <w:pPr>
        <w:tabs>
          <w:tab w:val="left" w:pos="773"/>
        </w:tabs>
        <w:spacing w:before="180" w:after="180" w:line="360" w:lineRule="exact"/>
        <w:jc w:val="both"/>
        <w:rPr>
          <w:rFonts w:hint="cs"/>
          <w:rtl/>
        </w:rPr>
      </w:pPr>
      <w:r>
        <w:rPr>
          <w:rFonts w:hint="cs"/>
          <w:rtl/>
        </w:rPr>
        <w:t>1014-   أما فيما يتصل بالتخطيط البيئي والصحة والإسكان والمستوطنات البشرية وتنظيم النفايات الصلبة والنظافة وتخطيط المدن، فتجدر الإشارة إلى الإطار القانوني للسياسة البيئية (القانون 2/91/م الصادر في 11 آذار/مارس) وقانون الحماية من الضوضاء (الم</w:t>
      </w:r>
      <w:r>
        <w:rPr>
          <w:rFonts w:hint="cs"/>
          <w:rtl/>
        </w:rPr>
        <w:t>رسوم بقانون 54/94/م الصادر في 14 تشرين الثاني/نوفمبر).</w:t>
      </w:r>
    </w:p>
    <w:p w:rsidR="00000000" w:rsidRDefault="00443EC1">
      <w:pPr>
        <w:tabs>
          <w:tab w:val="left" w:pos="773"/>
        </w:tabs>
        <w:spacing w:before="180" w:after="180" w:line="360" w:lineRule="exact"/>
        <w:jc w:val="both"/>
        <w:rPr>
          <w:rFonts w:hint="cs"/>
          <w:b/>
          <w:bCs/>
          <w:rtl/>
        </w:rPr>
      </w:pPr>
      <w:r>
        <w:rPr>
          <w:rFonts w:hint="cs"/>
          <w:b/>
          <w:bCs/>
          <w:rtl/>
        </w:rPr>
        <w:t>تخطيط المدن وإدارتها</w:t>
      </w:r>
    </w:p>
    <w:p w:rsidR="00000000" w:rsidRDefault="00443EC1">
      <w:pPr>
        <w:tabs>
          <w:tab w:val="left" w:pos="773"/>
        </w:tabs>
        <w:spacing w:line="360" w:lineRule="exact"/>
        <w:jc w:val="both"/>
        <w:rPr>
          <w:rFonts w:hint="cs"/>
          <w:rtl/>
        </w:rPr>
      </w:pPr>
      <w:r>
        <w:rPr>
          <w:rFonts w:hint="cs"/>
          <w:rtl/>
        </w:rPr>
        <w:t xml:space="preserve">1015-   </w:t>
      </w:r>
      <w:r>
        <w:rPr>
          <w:rtl/>
        </w:rPr>
        <w:t xml:space="preserve">مؤسسة الشؤون المدنية والبلدية </w:t>
      </w:r>
      <w:r>
        <w:rPr>
          <w:rFonts w:hint="cs"/>
          <w:rtl/>
        </w:rPr>
        <w:t>هي الهيئة المحلية المسؤولة عن وضع وتعزيز التخطيط البيئي والصحة في مجال الإسكان والمستوطنات البشرية وفي تخطيط المدن.</w:t>
      </w:r>
    </w:p>
    <w:p w:rsidR="00000000" w:rsidRDefault="00443EC1">
      <w:pPr>
        <w:tabs>
          <w:tab w:val="left" w:pos="773"/>
        </w:tabs>
        <w:spacing w:line="360" w:lineRule="exact"/>
        <w:jc w:val="both"/>
        <w:rPr>
          <w:rFonts w:hint="cs"/>
          <w:spacing w:val="0"/>
          <w:rtl/>
        </w:rPr>
      </w:pPr>
      <w:r>
        <w:rPr>
          <w:rFonts w:hint="cs"/>
          <w:spacing w:val="0"/>
          <w:rtl/>
        </w:rPr>
        <w:t>1016-</w:t>
      </w:r>
      <w:r>
        <w:rPr>
          <w:rFonts w:hint="cs"/>
          <w:rtl/>
        </w:rPr>
        <w:t xml:space="preserve">   </w:t>
      </w:r>
      <w:r>
        <w:rPr>
          <w:rFonts w:hint="cs"/>
          <w:spacing w:val="0"/>
          <w:rtl/>
        </w:rPr>
        <w:t>و</w:t>
      </w:r>
      <w:r>
        <w:rPr>
          <w:spacing w:val="0"/>
          <w:rtl/>
        </w:rPr>
        <w:t xml:space="preserve">من أجل تحسين </w:t>
      </w:r>
      <w:r>
        <w:rPr>
          <w:rFonts w:hint="cs"/>
          <w:spacing w:val="0"/>
          <w:rtl/>
        </w:rPr>
        <w:t>ال</w:t>
      </w:r>
      <w:r>
        <w:rPr>
          <w:spacing w:val="0"/>
          <w:rtl/>
        </w:rPr>
        <w:t>مح</w:t>
      </w:r>
      <w:r>
        <w:rPr>
          <w:spacing w:val="0"/>
          <w:rtl/>
        </w:rPr>
        <w:t xml:space="preserve">يط المعيشي، </w:t>
      </w:r>
      <w:r>
        <w:rPr>
          <w:rFonts w:hint="cs"/>
          <w:spacing w:val="0"/>
          <w:rtl/>
        </w:rPr>
        <w:t xml:space="preserve">تنجز </w:t>
      </w:r>
      <w:r>
        <w:rPr>
          <w:spacing w:val="0"/>
          <w:rtl/>
        </w:rPr>
        <w:t xml:space="preserve">مؤسسة الشؤون المدنية والبلدية </w:t>
      </w:r>
      <w:r>
        <w:rPr>
          <w:rFonts w:hint="cs"/>
          <w:spacing w:val="0"/>
          <w:rtl/>
        </w:rPr>
        <w:t>بانتظام مشاريع لتوسيع المناطق الخضراء ومناطق الاستجمام. وقد وسعت المنطقة، خلال السنوات الأخيرة، مساحاتها الخضراء حتى بلغت 275 538 5 متراً مربعاً في عام 1999 و489 690 5 متراً مربعاً في عام 2000 و870 669 5 متراً</w:t>
      </w:r>
      <w:r>
        <w:rPr>
          <w:rFonts w:hint="cs"/>
          <w:spacing w:val="0"/>
          <w:rtl/>
        </w:rPr>
        <w:t xml:space="preserve"> مربعاً في عام 2001.</w:t>
      </w:r>
    </w:p>
    <w:p w:rsidR="00000000" w:rsidRDefault="00443EC1">
      <w:pPr>
        <w:tabs>
          <w:tab w:val="left" w:pos="773"/>
        </w:tabs>
        <w:spacing w:before="180" w:after="180" w:line="360" w:lineRule="exact"/>
        <w:jc w:val="both"/>
        <w:rPr>
          <w:rFonts w:hint="cs"/>
          <w:rtl/>
        </w:rPr>
      </w:pPr>
      <w:r>
        <w:rPr>
          <w:rFonts w:hint="cs"/>
          <w:rtl/>
        </w:rPr>
        <w:t xml:space="preserve">1017-   وكان </w:t>
      </w:r>
      <w:r>
        <w:rPr>
          <w:rtl/>
        </w:rPr>
        <w:t>الجزء الشمالي من شبه جزيرة ماكاو</w:t>
      </w:r>
      <w:r>
        <w:rPr>
          <w:rFonts w:hint="cs"/>
          <w:rtl/>
        </w:rPr>
        <w:t>،</w:t>
      </w:r>
      <w:r>
        <w:rPr>
          <w:rtl/>
        </w:rPr>
        <w:t xml:space="preserve"> حيث تقطن نسبة كبيرة من السكان</w:t>
      </w:r>
      <w:r>
        <w:rPr>
          <w:rFonts w:hint="cs"/>
          <w:rtl/>
        </w:rPr>
        <w:t xml:space="preserve"> في عام 2002،</w:t>
      </w:r>
      <w:r>
        <w:rPr>
          <w:rtl/>
        </w:rPr>
        <w:t xml:space="preserve"> </w:t>
      </w:r>
      <w:r>
        <w:rPr>
          <w:rFonts w:hint="cs"/>
          <w:rtl/>
        </w:rPr>
        <w:t>محور مشروع لتحسين الموقع أضاف إلى المساحات الخضراء وأماكن الاستجمام الموجودة خمس قطع أرضية خلاء لتكون ملاعب مؤقتة ليستمتع الناس بها.</w:t>
      </w:r>
    </w:p>
    <w:p w:rsidR="00000000" w:rsidRDefault="00443EC1">
      <w:pPr>
        <w:tabs>
          <w:tab w:val="left" w:pos="773"/>
        </w:tabs>
        <w:spacing w:before="180" w:after="180" w:line="360" w:lineRule="exact"/>
        <w:jc w:val="both"/>
        <w:rPr>
          <w:rFonts w:hint="cs"/>
          <w:rtl/>
        </w:rPr>
      </w:pPr>
      <w:r>
        <w:rPr>
          <w:rFonts w:hint="cs"/>
          <w:rtl/>
        </w:rPr>
        <w:t xml:space="preserve">1018-   كما </w:t>
      </w:r>
      <w:r>
        <w:rPr>
          <w:rFonts w:hint="cs"/>
          <w:rtl/>
        </w:rPr>
        <w:t xml:space="preserve">تنجز </w:t>
      </w:r>
      <w:r>
        <w:rPr>
          <w:rtl/>
        </w:rPr>
        <w:t xml:space="preserve">مؤسسة الشؤون المدنية والبلدية </w:t>
      </w:r>
      <w:r>
        <w:rPr>
          <w:rFonts w:hint="cs"/>
          <w:rtl/>
        </w:rPr>
        <w:t xml:space="preserve">مشاريع لتجديد بعض المواقع الأثرية في المدن العتيقة بغية تجديد جو الأعمال في المناطق المحيطة. فعلى سبيل المثال، يشتمل مشروع وسط المدينة القديمة في جزيرة تايبا إعادة طلاء المنازل القديمة وإعادة تبليط الأزقة والممرات وتزيين </w:t>
      </w:r>
      <w:r>
        <w:rPr>
          <w:rFonts w:hint="cs"/>
          <w:rtl/>
        </w:rPr>
        <w:t>المنطقة بكاملها بالأصص وبالسلال المزهرة المعلقة وبمصابيح الشوارع التقليدية. كما تقام سوق براغيث كل يوم أحد. وينجح هذا المشروع في اجتذاب السياح المحليين والأجانب ليعودوا إلى الجزيرة وهو، فوق ذلك كله، يرفع من مستوى معيشة المقيمين هناك.</w:t>
      </w:r>
    </w:p>
    <w:p w:rsidR="00000000" w:rsidRDefault="00443EC1">
      <w:pPr>
        <w:tabs>
          <w:tab w:val="left" w:pos="773"/>
        </w:tabs>
        <w:spacing w:before="180" w:after="180" w:line="360" w:lineRule="exact"/>
        <w:jc w:val="both"/>
        <w:rPr>
          <w:rFonts w:hint="cs"/>
          <w:rtl/>
        </w:rPr>
      </w:pPr>
      <w:r>
        <w:rPr>
          <w:rFonts w:hint="cs"/>
          <w:rtl/>
        </w:rPr>
        <w:t>1019-   فضلا عن ذلك، ت</w:t>
      </w:r>
      <w:r>
        <w:rPr>
          <w:rFonts w:hint="cs"/>
          <w:rtl/>
        </w:rPr>
        <w:t xml:space="preserve">عرف مقاطعة ماكاو الإدارية الخاصة انشغالا شديدا بإنجاز مشاريع لتحسين مواقع حضرية وتجديدها لكي تستضيف الدورة الرابعة للألعاب الآسيوية الشرقية في عام 2005. وقد كونت </w:t>
      </w:r>
      <w:r>
        <w:rPr>
          <w:rFonts w:hint="eastAsia"/>
          <w:rtl/>
        </w:rPr>
        <w:t xml:space="preserve">مؤسسة الشؤون المدنية والبلدية </w:t>
      </w:r>
      <w:r>
        <w:rPr>
          <w:rFonts w:hint="cs"/>
          <w:rtl/>
        </w:rPr>
        <w:t>فريقا خاصا يضم لفيفا من مهندسي المناظر الطبيعية ومن المهندسين لو</w:t>
      </w:r>
      <w:r>
        <w:rPr>
          <w:rFonts w:hint="cs"/>
          <w:rtl/>
        </w:rPr>
        <w:t>ضع خطط لتجميل المدينة بواسطة تنسيق المناظر من بين تقنيات أخرى.</w:t>
      </w:r>
    </w:p>
    <w:p w:rsidR="00000000" w:rsidRDefault="00443EC1">
      <w:pPr>
        <w:spacing w:before="180" w:after="180" w:line="360" w:lineRule="exact"/>
        <w:jc w:val="center"/>
        <w:rPr>
          <w:rFonts w:hint="cs"/>
          <w:b/>
          <w:bCs/>
          <w:rtl/>
        </w:rPr>
      </w:pPr>
      <w:r>
        <w:rPr>
          <w:rFonts w:hint="cs"/>
          <w:b/>
          <w:bCs/>
          <w:rtl/>
        </w:rPr>
        <w:t>المادة 12</w:t>
      </w:r>
    </w:p>
    <w:p w:rsidR="00000000" w:rsidRDefault="00443EC1">
      <w:pPr>
        <w:spacing w:before="180" w:after="180" w:line="360" w:lineRule="exact"/>
        <w:jc w:val="center"/>
        <w:rPr>
          <w:rFonts w:hint="cs"/>
          <w:b/>
          <w:bCs/>
          <w:rtl/>
        </w:rPr>
      </w:pPr>
      <w:r>
        <w:rPr>
          <w:rFonts w:hint="cs"/>
          <w:b/>
          <w:bCs/>
          <w:rtl/>
        </w:rPr>
        <w:t>الحق في الصحة</w:t>
      </w:r>
    </w:p>
    <w:p w:rsidR="00000000" w:rsidRDefault="00443EC1">
      <w:pPr>
        <w:spacing w:before="180" w:after="180" w:line="360" w:lineRule="exact"/>
        <w:jc w:val="center"/>
        <w:rPr>
          <w:b/>
          <w:bCs/>
          <w:rtl/>
        </w:rPr>
      </w:pPr>
      <w:r>
        <w:rPr>
          <w:rFonts w:hint="cs"/>
          <w:b/>
          <w:bCs/>
          <w:rtl/>
        </w:rPr>
        <w:t xml:space="preserve">ألف - </w:t>
      </w:r>
      <w:r>
        <w:rPr>
          <w:b/>
          <w:bCs/>
          <w:rtl/>
        </w:rPr>
        <w:t>حالة الصحة العامة البدنية والعقلية</w:t>
      </w:r>
    </w:p>
    <w:p w:rsidR="00000000" w:rsidRDefault="00443EC1">
      <w:pPr>
        <w:tabs>
          <w:tab w:val="left" w:pos="787"/>
        </w:tabs>
        <w:spacing w:before="180" w:after="180" w:line="360" w:lineRule="exact"/>
        <w:jc w:val="both"/>
        <w:rPr>
          <w:rFonts w:hint="cs"/>
          <w:spacing w:val="0"/>
          <w:rtl/>
        </w:rPr>
      </w:pPr>
      <w:r>
        <w:rPr>
          <w:rFonts w:hint="cs"/>
          <w:spacing w:val="0"/>
          <w:rtl/>
        </w:rPr>
        <w:t>1020-</w:t>
      </w:r>
      <w:r>
        <w:rPr>
          <w:rFonts w:hint="cs"/>
          <w:rtl/>
        </w:rPr>
        <w:t xml:space="preserve">   </w:t>
      </w:r>
      <w:r>
        <w:rPr>
          <w:rFonts w:hint="cs"/>
          <w:spacing w:val="0"/>
          <w:rtl/>
        </w:rPr>
        <w:t>تبين الإحصاءات المتعلقة بالصحة لعام 2001 أن عدد سكان ماكاو يزداد سنويا بمعدل 1.2 في المائة مقارنة بالعام السابق (686 436</w:t>
      </w:r>
      <w:r>
        <w:rPr>
          <w:rFonts w:hint="cs"/>
          <w:spacing w:val="0"/>
          <w:rtl/>
        </w:rPr>
        <w:t xml:space="preserve"> في عام 2001 مقابل 506 431 في عام 2000). وبلغ معدل الذكور 48 في المائة بينما بلغ معدل الإناث 52 في المائة.</w:t>
      </w:r>
    </w:p>
    <w:p w:rsidR="00000000" w:rsidRDefault="00443EC1">
      <w:pPr>
        <w:tabs>
          <w:tab w:val="left" w:pos="773"/>
        </w:tabs>
        <w:spacing w:before="180" w:after="180" w:line="360" w:lineRule="exact"/>
        <w:jc w:val="both"/>
        <w:rPr>
          <w:rFonts w:hint="cs"/>
          <w:rtl/>
        </w:rPr>
      </w:pPr>
      <w:r>
        <w:rPr>
          <w:rFonts w:hint="cs"/>
          <w:rtl/>
        </w:rPr>
        <w:t xml:space="preserve">1021-   وعدد السكان المسنين في ارتفاع بسبب انخفاض المعدل الخام للمواليد (8.9 في المائة في عام 2000 </w:t>
      </w:r>
      <w:r>
        <w:rPr>
          <w:rtl/>
        </w:rPr>
        <w:br/>
      </w:r>
      <w:r>
        <w:rPr>
          <w:rFonts w:hint="cs"/>
          <w:rtl/>
        </w:rPr>
        <w:t>و7.5 في المائة في عام 2001) وارتفاع معدل العمر ال</w:t>
      </w:r>
      <w:r>
        <w:rPr>
          <w:rFonts w:hint="cs"/>
          <w:rtl/>
        </w:rPr>
        <w:t>متوقع عند الولادة على مدى العقد الماضي.</w:t>
      </w:r>
    </w:p>
    <w:p w:rsidR="00000000" w:rsidRDefault="00443EC1">
      <w:pPr>
        <w:tabs>
          <w:tab w:val="left" w:pos="773"/>
        </w:tabs>
        <w:spacing w:before="180" w:after="180" w:line="360" w:lineRule="exact"/>
        <w:jc w:val="both"/>
        <w:rPr>
          <w:rtl/>
        </w:rPr>
      </w:pPr>
      <w:r>
        <w:rPr>
          <w:rFonts w:hint="cs"/>
          <w:rtl/>
        </w:rPr>
        <w:t xml:space="preserve">1022-   وفي الفترة </w:t>
      </w:r>
      <w:r>
        <w:rPr>
          <w:rtl/>
        </w:rPr>
        <w:t xml:space="preserve">ما بين عامي 1996 و1999، كان معدل العمر المتوقع </w:t>
      </w:r>
      <w:r>
        <w:rPr>
          <w:rFonts w:hint="cs"/>
          <w:rtl/>
        </w:rPr>
        <w:t>عند الولادة في مقاطعة ماكاو الإدارية الخاصة 76.2 عاما للرجال و80.2 عاما للنساء.</w:t>
      </w:r>
    </w:p>
    <w:p w:rsidR="00000000" w:rsidRDefault="00443EC1">
      <w:pPr>
        <w:tabs>
          <w:tab w:val="left" w:pos="773"/>
        </w:tabs>
        <w:spacing w:before="180" w:after="180" w:line="380" w:lineRule="exact"/>
        <w:jc w:val="both"/>
        <w:rPr>
          <w:rFonts w:hint="cs"/>
          <w:b/>
          <w:bCs/>
          <w:rtl/>
        </w:rPr>
      </w:pPr>
      <w:r>
        <w:rPr>
          <w:rFonts w:hint="cs"/>
          <w:b/>
          <w:bCs/>
          <w:rtl/>
        </w:rPr>
        <w:t>أهم المؤشرات السكانية</w:t>
      </w:r>
    </w:p>
    <w:tbl>
      <w:tblPr>
        <w:bidiVisual/>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635"/>
        <w:gridCol w:w="1419"/>
        <w:gridCol w:w="1418"/>
        <w:gridCol w:w="1419"/>
        <w:gridCol w:w="1418"/>
      </w:tblGrid>
      <w:tr w:rsidR="00443EC1" w:rsidTr="00443EC1">
        <w:tblPrEx>
          <w:tblCellMar>
            <w:top w:w="0" w:type="dxa"/>
            <w:bottom w:w="0" w:type="dxa"/>
          </w:tblCellMar>
        </w:tblPrEx>
        <w:trPr>
          <w:jc w:val="center"/>
        </w:trPr>
        <w:tc>
          <w:tcPr>
            <w:tcW w:w="5054" w:type="dxa"/>
            <w:gridSpan w:val="2"/>
            <w:tcBorders>
              <w:top w:val="single" w:sz="4" w:space="0" w:color="auto"/>
              <w:bottom w:val="single" w:sz="4" w:space="0" w:color="auto"/>
            </w:tcBorders>
          </w:tcPr>
          <w:p w:rsidR="00443EC1" w:rsidRDefault="00443EC1">
            <w:pPr>
              <w:spacing w:before="0" w:after="0" w:line="260" w:lineRule="exact"/>
              <w:jc w:val="center"/>
            </w:pPr>
            <w:r>
              <w:rPr>
                <w:rFonts w:hint="cs"/>
                <w:rtl/>
              </w:rPr>
              <w:t>المؤشرات</w:t>
            </w:r>
          </w:p>
        </w:tc>
        <w:tc>
          <w:tcPr>
            <w:tcW w:w="1418" w:type="dxa"/>
            <w:tcBorders>
              <w:top w:val="single" w:sz="4" w:space="0" w:color="auto"/>
              <w:bottom w:val="single" w:sz="4" w:space="0" w:color="auto"/>
            </w:tcBorders>
          </w:tcPr>
          <w:p w:rsidR="00443EC1" w:rsidRDefault="00443EC1">
            <w:pPr>
              <w:spacing w:before="0" w:after="0" w:line="260" w:lineRule="exact"/>
              <w:jc w:val="center"/>
              <w:rPr>
                <w:rFonts w:hint="cs"/>
              </w:rPr>
            </w:pPr>
            <w:r>
              <w:rPr>
                <w:rFonts w:hint="cs"/>
                <w:rtl/>
              </w:rPr>
              <w:t>1999</w:t>
            </w:r>
          </w:p>
        </w:tc>
        <w:tc>
          <w:tcPr>
            <w:tcW w:w="1419" w:type="dxa"/>
            <w:tcBorders>
              <w:top w:val="single" w:sz="4" w:space="0" w:color="auto"/>
              <w:bottom w:val="single" w:sz="4" w:space="0" w:color="auto"/>
            </w:tcBorders>
          </w:tcPr>
          <w:p w:rsidR="00443EC1" w:rsidRDefault="00443EC1">
            <w:pPr>
              <w:spacing w:before="0" w:after="0" w:line="260" w:lineRule="exact"/>
              <w:jc w:val="center"/>
              <w:rPr>
                <w:rFonts w:hint="cs"/>
              </w:rPr>
            </w:pPr>
            <w:r>
              <w:rPr>
                <w:rFonts w:hint="cs"/>
                <w:rtl/>
              </w:rPr>
              <w:t>2000</w:t>
            </w:r>
          </w:p>
        </w:tc>
        <w:tc>
          <w:tcPr>
            <w:tcW w:w="1418" w:type="dxa"/>
            <w:tcBorders>
              <w:top w:val="single" w:sz="4" w:space="0" w:color="auto"/>
              <w:bottom w:val="single" w:sz="4" w:space="0" w:color="auto"/>
            </w:tcBorders>
          </w:tcPr>
          <w:p w:rsidR="00443EC1" w:rsidRDefault="00443EC1">
            <w:pPr>
              <w:spacing w:before="0" w:after="0" w:line="260" w:lineRule="exact"/>
              <w:jc w:val="center"/>
              <w:rPr>
                <w:rFonts w:hint="cs"/>
              </w:rPr>
            </w:pPr>
            <w:r>
              <w:rPr>
                <w:rFonts w:hint="cs"/>
                <w:rtl/>
              </w:rPr>
              <w:t>2001</w:t>
            </w:r>
          </w:p>
        </w:tc>
      </w:tr>
      <w:tr w:rsidR="00443EC1" w:rsidTr="00443EC1">
        <w:tblPrEx>
          <w:tblCellMar>
            <w:top w:w="0" w:type="dxa"/>
            <w:bottom w:w="0" w:type="dxa"/>
          </w:tblCellMar>
        </w:tblPrEx>
        <w:trPr>
          <w:jc w:val="center"/>
        </w:trPr>
        <w:tc>
          <w:tcPr>
            <w:tcW w:w="3635" w:type="dxa"/>
            <w:tcBorders>
              <w:top w:val="single" w:sz="4" w:space="0" w:color="auto"/>
            </w:tcBorders>
          </w:tcPr>
          <w:p w:rsidR="00443EC1" w:rsidRDefault="00443EC1">
            <w:pPr>
              <w:spacing w:before="0" w:after="0" w:line="260" w:lineRule="exact"/>
              <w:jc w:val="both"/>
              <w:rPr>
                <w:rFonts w:hint="cs"/>
              </w:rPr>
            </w:pPr>
            <w:r>
              <w:rPr>
                <w:rFonts w:hint="cs"/>
                <w:rtl/>
              </w:rPr>
              <w:t>معدل النمو الطبيعي</w:t>
            </w:r>
          </w:p>
        </w:tc>
        <w:tc>
          <w:tcPr>
            <w:tcW w:w="1419" w:type="dxa"/>
            <w:tcBorders>
              <w:top w:val="single" w:sz="4" w:space="0" w:color="auto"/>
            </w:tcBorders>
          </w:tcPr>
          <w:p w:rsidR="00443EC1" w:rsidRDefault="00443EC1">
            <w:pPr>
              <w:spacing w:before="0" w:after="0" w:line="260" w:lineRule="exact"/>
              <w:jc w:val="center"/>
              <w:rPr>
                <w:rFonts w:hint="cs"/>
              </w:rPr>
            </w:pPr>
            <w:r>
              <w:rPr>
                <w:rFonts w:hint="cs"/>
                <w:rtl/>
              </w:rPr>
              <w:t>صفر</w:t>
            </w:r>
            <w:r>
              <w:rPr>
                <w:rFonts w:cs="Mudir MT" w:hint="cs"/>
                <w:sz w:val="24"/>
                <w:szCs w:val="24"/>
                <w:rtl/>
                <w:lang w:eastAsia="en-US"/>
              </w:rPr>
              <w:t>%</w:t>
            </w:r>
          </w:p>
        </w:tc>
        <w:tc>
          <w:tcPr>
            <w:tcW w:w="1418" w:type="dxa"/>
            <w:tcBorders>
              <w:top w:val="single" w:sz="4" w:space="0" w:color="auto"/>
            </w:tcBorders>
          </w:tcPr>
          <w:p w:rsidR="00443EC1" w:rsidRDefault="00443EC1">
            <w:pPr>
              <w:spacing w:before="0" w:after="0" w:line="260" w:lineRule="exact"/>
              <w:ind w:left="284"/>
              <w:jc w:val="both"/>
              <w:rPr>
                <w:rFonts w:hint="cs"/>
              </w:rPr>
            </w:pPr>
            <w:r>
              <w:rPr>
                <w:rFonts w:hint="cs"/>
                <w:rtl/>
              </w:rPr>
              <w:t>6.5</w:t>
            </w:r>
          </w:p>
        </w:tc>
        <w:tc>
          <w:tcPr>
            <w:tcW w:w="1419" w:type="dxa"/>
            <w:tcBorders>
              <w:top w:val="single" w:sz="4" w:space="0" w:color="auto"/>
            </w:tcBorders>
          </w:tcPr>
          <w:p w:rsidR="00443EC1" w:rsidRDefault="00443EC1">
            <w:pPr>
              <w:spacing w:before="0" w:after="0" w:line="260" w:lineRule="exact"/>
              <w:ind w:left="284"/>
              <w:jc w:val="both"/>
              <w:rPr>
                <w:rFonts w:hint="cs"/>
              </w:rPr>
            </w:pPr>
            <w:r>
              <w:rPr>
                <w:rFonts w:hint="cs"/>
                <w:rtl/>
              </w:rPr>
              <w:t>5.8</w:t>
            </w:r>
          </w:p>
        </w:tc>
        <w:tc>
          <w:tcPr>
            <w:tcW w:w="1418" w:type="dxa"/>
            <w:tcBorders>
              <w:top w:val="single" w:sz="4" w:space="0" w:color="auto"/>
            </w:tcBorders>
          </w:tcPr>
          <w:p w:rsidR="00443EC1" w:rsidRDefault="00443EC1">
            <w:pPr>
              <w:spacing w:before="0" w:after="0" w:line="260" w:lineRule="exact"/>
              <w:ind w:left="284"/>
              <w:jc w:val="both"/>
              <w:rPr>
                <w:rFonts w:hint="cs"/>
              </w:rPr>
            </w:pPr>
            <w:r>
              <w:rPr>
                <w:rFonts w:hint="cs"/>
                <w:rtl/>
              </w:rPr>
              <w:t>4.4</w:t>
            </w:r>
          </w:p>
        </w:tc>
      </w:tr>
      <w:tr w:rsidR="00443EC1" w:rsidTr="00443EC1">
        <w:tblPrEx>
          <w:tblCellMar>
            <w:top w:w="0" w:type="dxa"/>
            <w:bottom w:w="0" w:type="dxa"/>
          </w:tblCellMar>
        </w:tblPrEx>
        <w:trPr>
          <w:jc w:val="center"/>
        </w:trPr>
        <w:tc>
          <w:tcPr>
            <w:tcW w:w="3635" w:type="dxa"/>
          </w:tcPr>
          <w:p w:rsidR="00443EC1" w:rsidRDefault="00443EC1">
            <w:pPr>
              <w:spacing w:before="0" w:after="0" w:line="260" w:lineRule="exact"/>
              <w:jc w:val="both"/>
              <w:rPr>
                <w:rFonts w:hint="cs"/>
              </w:rPr>
            </w:pPr>
            <w:r>
              <w:rPr>
                <w:rFonts w:hint="cs"/>
                <w:rtl/>
              </w:rPr>
              <w:t>معدل المواليد الخام</w:t>
            </w:r>
          </w:p>
        </w:tc>
        <w:tc>
          <w:tcPr>
            <w:tcW w:w="1419" w:type="dxa"/>
          </w:tcPr>
          <w:p w:rsidR="00443EC1" w:rsidRDefault="00443EC1">
            <w:pPr>
              <w:spacing w:before="0" w:after="0" w:line="260" w:lineRule="exact"/>
              <w:jc w:val="center"/>
              <w:rPr>
                <w:rFonts w:hint="cs"/>
              </w:rPr>
            </w:pPr>
            <w:r>
              <w:rPr>
                <w:rFonts w:hint="cs"/>
                <w:rtl/>
              </w:rPr>
              <w:t>صفر</w:t>
            </w:r>
            <w:r>
              <w:rPr>
                <w:rFonts w:cs="Mudir MT" w:hint="cs"/>
                <w:sz w:val="24"/>
                <w:szCs w:val="24"/>
                <w:rtl/>
                <w:lang w:eastAsia="en-US"/>
              </w:rPr>
              <w:t>%</w:t>
            </w:r>
          </w:p>
        </w:tc>
        <w:tc>
          <w:tcPr>
            <w:tcW w:w="1418" w:type="dxa"/>
          </w:tcPr>
          <w:p w:rsidR="00443EC1" w:rsidRDefault="00443EC1">
            <w:pPr>
              <w:spacing w:before="0" w:after="0" w:line="260" w:lineRule="exact"/>
              <w:ind w:left="284"/>
              <w:jc w:val="both"/>
              <w:rPr>
                <w:rFonts w:hint="cs"/>
              </w:rPr>
            </w:pPr>
            <w:r>
              <w:rPr>
                <w:rFonts w:hint="cs"/>
                <w:rtl/>
              </w:rPr>
              <w:t>9.7</w:t>
            </w:r>
          </w:p>
        </w:tc>
        <w:tc>
          <w:tcPr>
            <w:tcW w:w="1419" w:type="dxa"/>
          </w:tcPr>
          <w:p w:rsidR="00443EC1" w:rsidRDefault="00443EC1">
            <w:pPr>
              <w:spacing w:before="0" w:after="0" w:line="260" w:lineRule="exact"/>
              <w:ind w:left="284"/>
              <w:jc w:val="both"/>
              <w:rPr>
                <w:rFonts w:hint="cs"/>
              </w:rPr>
            </w:pPr>
            <w:r>
              <w:rPr>
                <w:rFonts w:hint="cs"/>
                <w:rtl/>
              </w:rPr>
              <w:t>8.9</w:t>
            </w:r>
          </w:p>
        </w:tc>
        <w:tc>
          <w:tcPr>
            <w:tcW w:w="1418" w:type="dxa"/>
          </w:tcPr>
          <w:p w:rsidR="00443EC1" w:rsidRDefault="00443EC1">
            <w:pPr>
              <w:spacing w:before="0" w:after="0" w:line="260" w:lineRule="exact"/>
              <w:ind w:left="284"/>
              <w:jc w:val="both"/>
              <w:rPr>
                <w:rFonts w:hint="cs"/>
              </w:rPr>
            </w:pPr>
            <w:r>
              <w:rPr>
                <w:rFonts w:hint="cs"/>
                <w:rtl/>
              </w:rPr>
              <w:t>7.5</w:t>
            </w:r>
          </w:p>
        </w:tc>
      </w:tr>
      <w:tr w:rsidR="00443EC1" w:rsidTr="00443EC1">
        <w:tblPrEx>
          <w:tblCellMar>
            <w:top w:w="0" w:type="dxa"/>
            <w:bottom w:w="0" w:type="dxa"/>
          </w:tblCellMar>
        </w:tblPrEx>
        <w:trPr>
          <w:jc w:val="center"/>
        </w:trPr>
        <w:tc>
          <w:tcPr>
            <w:tcW w:w="3635" w:type="dxa"/>
          </w:tcPr>
          <w:p w:rsidR="00443EC1" w:rsidRDefault="00443EC1">
            <w:pPr>
              <w:spacing w:before="0" w:after="0" w:line="260" w:lineRule="exact"/>
              <w:jc w:val="both"/>
              <w:rPr>
                <w:rFonts w:hint="cs"/>
              </w:rPr>
            </w:pPr>
            <w:r>
              <w:rPr>
                <w:rFonts w:hint="cs"/>
                <w:rtl/>
              </w:rPr>
              <w:t>معدل المواليد الذكور</w:t>
            </w:r>
          </w:p>
        </w:tc>
        <w:tc>
          <w:tcPr>
            <w:tcW w:w="1419" w:type="dxa"/>
          </w:tcPr>
          <w:p w:rsidR="00443EC1" w:rsidRDefault="00443EC1">
            <w:pPr>
              <w:spacing w:before="0" w:after="0" w:line="260" w:lineRule="exact"/>
              <w:jc w:val="center"/>
              <w:rPr>
                <w:rFonts w:hint="cs"/>
              </w:rPr>
            </w:pPr>
            <w:r>
              <w:rPr>
                <w:rFonts w:hint="cs"/>
                <w:rtl/>
              </w:rPr>
              <w:t>صفر</w:t>
            </w:r>
            <w:r>
              <w:rPr>
                <w:rFonts w:cs="Mudir MT" w:hint="cs"/>
                <w:sz w:val="24"/>
                <w:szCs w:val="24"/>
                <w:rtl/>
                <w:lang w:eastAsia="en-US"/>
              </w:rPr>
              <w:t>%</w:t>
            </w:r>
          </w:p>
        </w:tc>
        <w:tc>
          <w:tcPr>
            <w:tcW w:w="1418" w:type="dxa"/>
          </w:tcPr>
          <w:p w:rsidR="00443EC1" w:rsidRDefault="00443EC1">
            <w:pPr>
              <w:spacing w:before="0" w:after="0" w:line="260" w:lineRule="exact"/>
              <w:ind w:left="284"/>
              <w:jc w:val="both"/>
              <w:rPr>
                <w:rFonts w:hint="cs"/>
              </w:rPr>
            </w:pPr>
            <w:r>
              <w:rPr>
                <w:rFonts w:hint="cs"/>
                <w:rtl/>
              </w:rPr>
              <w:t>103.4</w:t>
            </w:r>
          </w:p>
        </w:tc>
        <w:tc>
          <w:tcPr>
            <w:tcW w:w="1419" w:type="dxa"/>
          </w:tcPr>
          <w:p w:rsidR="00443EC1" w:rsidRDefault="00443EC1">
            <w:pPr>
              <w:spacing w:before="0" w:after="0" w:line="260" w:lineRule="exact"/>
              <w:ind w:left="284"/>
              <w:jc w:val="both"/>
              <w:rPr>
                <w:rFonts w:hint="cs"/>
              </w:rPr>
            </w:pPr>
            <w:r>
              <w:rPr>
                <w:rFonts w:hint="cs"/>
                <w:rtl/>
              </w:rPr>
              <w:t>111.7</w:t>
            </w:r>
          </w:p>
        </w:tc>
        <w:tc>
          <w:tcPr>
            <w:tcW w:w="1418" w:type="dxa"/>
          </w:tcPr>
          <w:p w:rsidR="00443EC1" w:rsidRDefault="00443EC1">
            <w:pPr>
              <w:spacing w:before="0" w:after="0" w:line="260" w:lineRule="exact"/>
              <w:ind w:left="284"/>
              <w:jc w:val="both"/>
              <w:rPr>
                <w:rFonts w:hint="cs"/>
              </w:rPr>
            </w:pPr>
            <w:r>
              <w:rPr>
                <w:rFonts w:hint="cs"/>
                <w:rtl/>
              </w:rPr>
              <w:t>103.1</w:t>
            </w:r>
          </w:p>
        </w:tc>
      </w:tr>
      <w:tr w:rsidR="00443EC1" w:rsidTr="00443EC1">
        <w:tblPrEx>
          <w:tblCellMar>
            <w:top w:w="0" w:type="dxa"/>
            <w:bottom w:w="0" w:type="dxa"/>
          </w:tblCellMar>
        </w:tblPrEx>
        <w:trPr>
          <w:jc w:val="center"/>
        </w:trPr>
        <w:tc>
          <w:tcPr>
            <w:tcW w:w="3635" w:type="dxa"/>
          </w:tcPr>
          <w:p w:rsidR="00443EC1" w:rsidRDefault="00443EC1">
            <w:pPr>
              <w:spacing w:before="0" w:after="0" w:line="260" w:lineRule="exact"/>
              <w:jc w:val="both"/>
              <w:rPr>
                <w:rFonts w:hint="cs"/>
              </w:rPr>
            </w:pPr>
            <w:r>
              <w:rPr>
                <w:rFonts w:hint="cs"/>
                <w:rtl/>
              </w:rPr>
              <w:t>معدل الوفيات الخام</w:t>
            </w:r>
          </w:p>
        </w:tc>
        <w:tc>
          <w:tcPr>
            <w:tcW w:w="1419" w:type="dxa"/>
          </w:tcPr>
          <w:p w:rsidR="00443EC1" w:rsidRDefault="00443EC1">
            <w:pPr>
              <w:spacing w:before="0" w:after="0" w:line="260" w:lineRule="exact"/>
              <w:jc w:val="center"/>
              <w:rPr>
                <w:rFonts w:hint="cs"/>
              </w:rPr>
            </w:pPr>
            <w:r>
              <w:rPr>
                <w:rFonts w:hint="cs"/>
                <w:rtl/>
              </w:rPr>
              <w:t>صفر</w:t>
            </w:r>
            <w:r>
              <w:rPr>
                <w:rFonts w:cs="Mudir MT" w:hint="cs"/>
                <w:sz w:val="24"/>
                <w:szCs w:val="24"/>
                <w:rtl/>
                <w:lang w:eastAsia="en-US"/>
              </w:rPr>
              <w:t>%</w:t>
            </w:r>
          </w:p>
        </w:tc>
        <w:tc>
          <w:tcPr>
            <w:tcW w:w="1418" w:type="dxa"/>
          </w:tcPr>
          <w:p w:rsidR="00443EC1" w:rsidRDefault="00443EC1">
            <w:pPr>
              <w:spacing w:before="0" w:after="0" w:line="260" w:lineRule="exact"/>
              <w:ind w:left="284"/>
              <w:jc w:val="both"/>
              <w:rPr>
                <w:rFonts w:hint="cs"/>
              </w:rPr>
            </w:pPr>
            <w:r>
              <w:rPr>
                <w:rFonts w:hint="cs"/>
                <w:rtl/>
              </w:rPr>
              <w:t>3.2</w:t>
            </w:r>
          </w:p>
        </w:tc>
        <w:tc>
          <w:tcPr>
            <w:tcW w:w="1419" w:type="dxa"/>
          </w:tcPr>
          <w:p w:rsidR="00443EC1" w:rsidRDefault="00443EC1">
            <w:pPr>
              <w:spacing w:before="0" w:after="0" w:line="260" w:lineRule="exact"/>
              <w:ind w:left="284"/>
              <w:jc w:val="both"/>
              <w:rPr>
                <w:rFonts w:hint="cs"/>
              </w:rPr>
            </w:pPr>
            <w:r>
              <w:rPr>
                <w:rFonts w:hint="cs"/>
                <w:rtl/>
              </w:rPr>
              <w:t>3.1</w:t>
            </w:r>
          </w:p>
        </w:tc>
        <w:tc>
          <w:tcPr>
            <w:tcW w:w="1418" w:type="dxa"/>
          </w:tcPr>
          <w:p w:rsidR="00443EC1" w:rsidRDefault="00443EC1">
            <w:pPr>
              <w:spacing w:before="0" w:after="0" w:line="260" w:lineRule="exact"/>
              <w:ind w:left="284"/>
              <w:jc w:val="both"/>
              <w:rPr>
                <w:rFonts w:hint="cs"/>
              </w:rPr>
            </w:pPr>
            <w:r>
              <w:rPr>
                <w:rFonts w:hint="cs"/>
                <w:rtl/>
              </w:rPr>
              <w:t>3.1</w:t>
            </w:r>
          </w:p>
        </w:tc>
      </w:tr>
      <w:tr w:rsidR="00443EC1" w:rsidTr="00443EC1">
        <w:tblPrEx>
          <w:tblCellMar>
            <w:top w:w="0" w:type="dxa"/>
            <w:bottom w:w="0" w:type="dxa"/>
          </w:tblCellMar>
        </w:tblPrEx>
        <w:trPr>
          <w:jc w:val="center"/>
        </w:trPr>
        <w:tc>
          <w:tcPr>
            <w:tcW w:w="3635" w:type="dxa"/>
          </w:tcPr>
          <w:p w:rsidR="00443EC1" w:rsidRDefault="00443EC1">
            <w:pPr>
              <w:spacing w:before="0" w:after="0" w:line="260" w:lineRule="exact"/>
              <w:jc w:val="both"/>
              <w:rPr>
                <w:rFonts w:hint="cs"/>
                <w:rtl/>
              </w:rPr>
            </w:pPr>
            <w:r>
              <w:rPr>
                <w:rFonts w:hint="cs"/>
                <w:rtl/>
              </w:rPr>
              <w:t>معدل وفيات الرضع</w:t>
            </w:r>
          </w:p>
        </w:tc>
        <w:tc>
          <w:tcPr>
            <w:tcW w:w="1419" w:type="dxa"/>
          </w:tcPr>
          <w:p w:rsidR="00443EC1" w:rsidRDefault="00443EC1">
            <w:pPr>
              <w:spacing w:before="0" w:after="0" w:line="260" w:lineRule="exact"/>
              <w:jc w:val="center"/>
              <w:rPr>
                <w:rFonts w:hint="cs"/>
              </w:rPr>
            </w:pPr>
            <w:r>
              <w:rPr>
                <w:rFonts w:hint="cs"/>
                <w:rtl/>
              </w:rPr>
              <w:t>صفر</w:t>
            </w:r>
            <w:r>
              <w:rPr>
                <w:rFonts w:cs="Mudir MT" w:hint="cs"/>
                <w:sz w:val="24"/>
                <w:szCs w:val="24"/>
                <w:rtl/>
                <w:lang w:eastAsia="en-US"/>
              </w:rPr>
              <w:t>%</w:t>
            </w:r>
          </w:p>
        </w:tc>
        <w:tc>
          <w:tcPr>
            <w:tcW w:w="1418" w:type="dxa"/>
          </w:tcPr>
          <w:p w:rsidR="00443EC1" w:rsidRDefault="00443EC1">
            <w:pPr>
              <w:spacing w:before="0" w:after="0" w:line="260" w:lineRule="exact"/>
              <w:ind w:left="284"/>
              <w:jc w:val="both"/>
              <w:rPr>
                <w:rFonts w:hint="cs"/>
              </w:rPr>
            </w:pPr>
            <w:r>
              <w:rPr>
                <w:rFonts w:hint="cs"/>
                <w:rtl/>
              </w:rPr>
              <w:t>4.1</w:t>
            </w:r>
          </w:p>
        </w:tc>
        <w:tc>
          <w:tcPr>
            <w:tcW w:w="1419" w:type="dxa"/>
          </w:tcPr>
          <w:p w:rsidR="00443EC1" w:rsidRDefault="00443EC1">
            <w:pPr>
              <w:spacing w:before="0" w:after="0" w:line="260" w:lineRule="exact"/>
              <w:ind w:left="284"/>
              <w:jc w:val="both"/>
              <w:rPr>
                <w:rFonts w:hint="cs"/>
              </w:rPr>
            </w:pPr>
            <w:r>
              <w:rPr>
                <w:rFonts w:hint="cs"/>
                <w:rtl/>
              </w:rPr>
              <w:t>2.9</w:t>
            </w:r>
          </w:p>
        </w:tc>
        <w:tc>
          <w:tcPr>
            <w:tcW w:w="1418" w:type="dxa"/>
          </w:tcPr>
          <w:p w:rsidR="00443EC1" w:rsidRDefault="00443EC1">
            <w:pPr>
              <w:spacing w:before="0" w:after="0" w:line="260" w:lineRule="exact"/>
              <w:ind w:left="284"/>
              <w:jc w:val="both"/>
              <w:rPr>
                <w:rFonts w:hint="cs"/>
              </w:rPr>
            </w:pPr>
            <w:r>
              <w:rPr>
                <w:rFonts w:hint="cs"/>
                <w:rtl/>
              </w:rPr>
              <w:t>4.3</w:t>
            </w:r>
          </w:p>
        </w:tc>
      </w:tr>
      <w:tr w:rsidR="00443EC1" w:rsidTr="00443EC1">
        <w:tblPrEx>
          <w:tblCellMar>
            <w:top w:w="0" w:type="dxa"/>
            <w:bottom w:w="0" w:type="dxa"/>
          </w:tblCellMar>
        </w:tblPrEx>
        <w:trPr>
          <w:jc w:val="center"/>
        </w:trPr>
        <w:tc>
          <w:tcPr>
            <w:tcW w:w="3635" w:type="dxa"/>
          </w:tcPr>
          <w:p w:rsidR="00443EC1" w:rsidRDefault="00443EC1">
            <w:pPr>
              <w:spacing w:before="0" w:after="0" w:line="260" w:lineRule="exact"/>
              <w:jc w:val="both"/>
              <w:rPr>
                <w:rFonts w:hint="cs"/>
                <w:rtl/>
              </w:rPr>
            </w:pPr>
            <w:r>
              <w:rPr>
                <w:rFonts w:hint="cs"/>
                <w:rtl/>
              </w:rPr>
              <w:t>معدل وفيات الرضع حديثي الولادة</w:t>
            </w:r>
          </w:p>
        </w:tc>
        <w:tc>
          <w:tcPr>
            <w:tcW w:w="1419" w:type="dxa"/>
          </w:tcPr>
          <w:p w:rsidR="00443EC1" w:rsidRDefault="00443EC1">
            <w:pPr>
              <w:spacing w:before="0" w:after="0" w:line="260" w:lineRule="exact"/>
              <w:jc w:val="center"/>
              <w:rPr>
                <w:rFonts w:hint="cs"/>
              </w:rPr>
            </w:pPr>
            <w:r>
              <w:rPr>
                <w:rFonts w:hint="cs"/>
                <w:rtl/>
              </w:rPr>
              <w:t>صفر</w:t>
            </w:r>
            <w:r>
              <w:rPr>
                <w:rFonts w:cs="Mudir MT" w:hint="cs"/>
                <w:sz w:val="24"/>
                <w:szCs w:val="24"/>
                <w:rtl/>
                <w:lang w:eastAsia="en-US"/>
              </w:rPr>
              <w:t>%</w:t>
            </w:r>
          </w:p>
        </w:tc>
        <w:tc>
          <w:tcPr>
            <w:tcW w:w="1418" w:type="dxa"/>
          </w:tcPr>
          <w:p w:rsidR="00443EC1" w:rsidRDefault="00443EC1">
            <w:pPr>
              <w:spacing w:before="0" w:after="0" w:line="260" w:lineRule="exact"/>
              <w:ind w:left="284"/>
              <w:jc w:val="both"/>
              <w:rPr>
                <w:rFonts w:hint="cs"/>
              </w:rPr>
            </w:pPr>
            <w:r>
              <w:rPr>
                <w:rFonts w:hint="cs"/>
                <w:rtl/>
              </w:rPr>
              <w:t>3.4</w:t>
            </w:r>
          </w:p>
        </w:tc>
        <w:tc>
          <w:tcPr>
            <w:tcW w:w="1419" w:type="dxa"/>
          </w:tcPr>
          <w:p w:rsidR="00443EC1" w:rsidRDefault="00443EC1">
            <w:pPr>
              <w:spacing w:before="0" w:after="0" w:line="260" w:lineRule="exact"/>
              <w:ind w:left="284"/>
              <w:jc w:val="both"/>
              <w:rPr>
                <w:rFonts w:hint="cs"/>
              </w:rPr>
            </w:pPr>
            <w:r>
              <w:rPr>
                <w:rFonts w:hint="cs"/>
                <w:rtl/>
              </w:rPr>
              <w:t>2.1</w:t>
            </w:r>
          </w:p>
        </w:tc>
        <w:tc>
          <w:tcPr>
            <w:tcW w:w="1418" w:type="dxa"/>
          </w:tcPr>
          <w:p w:rsidR="00443EC1" w:rsidRDefault="00443EC1">
            <w:pPr>
              <w:spacing w:before="0" w:after="0" w:line="260" w:lineRule="exact"/>
              <w:ind w:left="284"/>
              <w:jc w:val="both"/>
              <w:rPr>
                <w:rFonts w:hint="cs"/>
              </w:rPr>
            </w:pPr>
            <w:r>
              <w:rPr>
                <w:rFonts w:hint="cs"/>
                <w:rtl/>
              </w:rPr>
              <w:t>2.5</w:t>
            </w:r>
          </w:p>
        </w:tc>
      </w:tr>
      <w:tr w:rsidR="00443EC1" w:rsidTr="00443EC1">
        <w:tblPrEx>
          <w:tblCellMar>
            <w:top w:w="0" w:type="dxa"/>
            <w:bottom w:w="0" w:type="dxa"/>
          </w:tblCellMar>
        </w:tblPrEx>
        <w:trPr>
          <w:jc w:val="center"/>
        </w:trPr>
        <w:tc>
          <w:tcPr>
            <w:tcW w:w="3635" w:type="dxa"/>
          </w:tcPr>
          <w:p w:rsidR="00443EC1" w:rsidRDefault="00443EC1">
            <w:pPr>
              <w:spacing w:before="0" w:after="0" w:line="260" w:lineRule="exact"/>
              <w:jc w:val="both"/>
              <w:rPr>
                <w:rFonts w:hint="cs"/>
                <w:rtl/>
              </w:rPr>
            </w:pPr>
            <w:r>
              <w:rPr>
                <w:rFonts w:hint="cs"/>
                <w:rtl/>
              </w:rPr>
              <w:t>معدل وفيات المواليد أثناء المخاض*</w:t>
            </w:r>
          </w:p>
        </w:tc>
        <w:tc>
          <w:tcPr>
            <w:tcW w:w="1419" w:type="dxa"/>
          </w:tcPr>
          <w:p w:rsidR="00443EC1" w:rsidRDefault="00443EC1">
            <w:pPr>
              <w:spacing w:before="0" w:after="0" w:line="260" w:lineRule="exact"/>
              <w:jc w:val="center"/>
              <w:rPr>
                <w:rFonts w:hint="cs"/>
              </w:rPr>
            </w:pPr>
            <w:r>
              <w:rPr>
                <w:rFonts w:hint="cs"/>
                <w:rtl/>
              </w:rPr>
              <w:t>صفر</w:t>
            </w:r>
            <w:r>
              <w:rPr>
                <w:rFonts w:cs="Mudir MT" w:hint="cs"/>
                <w:sz w:val="24"/>
                <w:szCs w:val="24"/>
                <w:rtl/>
                <w:lang w:eastAsia="en-US"/>
              </w:rPr>
              <w:t>%</w:t>
            </w:r>
          </w:p>
        </w:tc>
        <w:tc>
          <w:tcPr>
            <w:tcW w:w="1418" w:type="dxa"/>
          </w:tcPr>
          <w:p w:rsidR="00443EC1" w:rsidRDefault="00443EC1">
            <w:pPr>
              <w:spacing w:before="0" w:after="0" w:line="260" w:lineRule="exact"/>
              <w:ind w:left="284"/>
              <w:jc w:val="both"/>
              <w:rPr>
                <w:rFonts w:hint="cs"/>
              </w:rPr>
            </w:pPr>
            <w:r>
              <w:rPr>
                <w:rFonts w:hint="cs"/>
                <w:rtl/>
              </w:rPr>
              <w:t>6.0</w:t>
            </w:r>
          </w:p>
        </w:tc>
        <w:tc>
          <w:tcPr>
            <w:tcW w:w="1419" w:type="dxa"/>
          </w:tcPr>
          <w:p w:rsidR="00443EC1" w:rsidRDefault="00443EC1">
            <w:pPr>
              <w:spacing w:before="0" w:after="0" w:line="260" w:lineRule="exact"/>
              <w:ind w:left="284"/>
              <w:jc w:val="both"/>
              <w:rPr>
                <w:rFonts w:hint="cs"/>
              </w:rPr>
            </w:pPr>
            <w:r>
              <w:rPr>
                <w:rFonts w:hint="cs"/>
                <w:rtl/>
              </w:rPr>
              <w:t>6.7</w:t>
            </w:r>
          </w:p>
        </w:tc>
        <w:tc>
          <w:tcPr>
            <w:tcW w:w="1418" w:type="dxa"/>
          </w:tcPr>
          <w:p w:rsidR="00443EC1" w:rsidRDefault="00443EC1">
            <w:pPr>
              <w:spacing w:before="0" w:after="0" w:line="260" w:lineRule="exact"/>
              <w:ind w:left="284"/>
              <w:jc w:val="both"/>
              <w:rPr>
                <w:rFonts w:hint="cs"/>
              </w:rPr>
            </w:pPr>
            <w:r>
              <w:rPr>
                <w:rFonts w:hint="cs"/>
                <w:rtl/>
              </w:rPr>
              <w:t>5.8</w:t>
            </w:r>
          </w:p>
        </w:tc>
      </w:tr>
      <w:tr w:rsidR="00443EC1" w:rsidTr="00443EC1">
        <w:tblPrEx>
          <w:tblCellMar>
            <w:top w:w="0" w:type="dxa"/>
            <w:bottom w:w="0" w:type="dxa"/>
          </w:tblCellMar>
        </w:tblPrEx>
        <w:trPr>
          <w:jc w:val="center"/>
        </w:trPr>
        <w:tc>
          <w:tcPr>
            <w:tcW w:w="3635" w:type="dxa"/>
          </w:tcPr>
          <w:p w:rsidR="00443EC1" w:rsidRDefault="00443EC1">
            <w:pPr>
              <w:spacing w:before="0" w:after="0" w:line="260" w:lineRule="exact"/>
              <w:jc w:val="both"/>
              <w:rPr>
                <w:rFonts w:hint="cs"/>
                <w:rtl/>
              </w:rPr>
            </w:pPr>
            <w:r>
              <w:rPr>
                <w:rFonts w:hint="cs"/>
                <w:rtl/>
              </w:rPr>
              <w:t>معدل الوفيات الجنينية المتأخرة</w:t>
            </w:r>
          </w:p>
        </w:tc>
        <w:tc>
          <w:tcPr>
            <w:tcW w:w="1419" w:type="dxa"/>
          </w:tcPr>
          <w:p w:rsidR="00443EC1" w:rsidRDefault="00443EC1">
            <w:pPr>
              <w:spacing w:before="0" w:after="0" w:line="260" w:lineRule="exact"/>
              <w:jc w:val="center"/>
              <w:rPr>
                <w:rFonts w:hint="cs"/>
              </w:rPr>
            </w:pPr>
            <w:r>
              <w:rPr>
                <w:rFonts w:hint="cs"/>
                <w:rtl/>
              </w:rPr>
              <w:t>صفر</w:t>
            </w:r>
            <w:r>
              <w:rPr>
                <w:rFonts w:cs="Mudir MT" w:hint="cs"/>
                <w:sz w:val="24"/>
                <w:szCs w:val="24"/>
                <w:rtl/>
                <w:lang w:eastAsia="en-US"/>
              </w:rPr>
              <w:t>%</w:t>
            </w:r>
          </w:p>
        </w:tc>
        <w:tc>
          <w:tcPr>
            <w:tcW w:w="1418" w:type="dxa"/>
          </w:tcPr>
          <w:p w:rsidR="00443EC1" w:rsidRDefault="00443EC1">
            <w:pPr>
              <w:spacing w:before="0" w:after="0" w:line="260" w:lineRule="exact"/>
              <w:ind w:left="284"/>
              <w:jc w:val="both"/>
              <w:rPr>
                <w:rFonts w:hint="cs"/>
              </w:rPr>
            </w:pPr>
            <w:r>
              <w:rPr>
                <w:rFonts w:hint="cs"/>
                <w:rtl/>
              </w:rPr>
              <w:t>2.4</w:t>
            </w:r>
          </w:p>
        </w:tc>
        <w:tc>
          <w:tcPr>
            <w:tcW w:w="1419" w:type="dxa"/>
          </w:tcPr>
          <w:p w:rsidR="00443EC1" w:rsidRDefault="00443EC1">
            <w:pPr>
              <w:spacing w:before="0" w:after="0" w:line="260" w:lineRule="exact"/>
              <w:ind w:left="284"/>
              <w:jc w:val="both"/>
              <w:rPr>
                <w:rFonts w:hint="cs"/>
              </w:rPr>
            </w:pPr>
            <w:r>
              <w:rPr>
                <w:rFonts w:hint="cs"/>
                <w:rtl/>
              </w:rPr>
              <w:t>3.1</w:t>
            </w:r>
          </w:p>
        </w:tc>
        <w:tc>
          <w:tcPr>
            <w:tcW w:w="1418" w:type="dxa"/>
          </w:tcPr>
          <w:p w:rsidR="00443EC1" w:rsidRDefault="00443EC1">
            <w:pPr>
              <w:spacing w:before="0" w:after="0" w:line="260" w:lineRule="exact"/>
              <w:ind w:left="284"/>
              <w:jc w:val="both"/>
              <w:rPr>
                <w:rFonts w:hint="cs"/>
              </w:rPr>
            </w:pPr>
            <w:r>
              <w:rPr>
                <w:rFonts w:hint="cs"/>
                <w:rtl/>
              </w:rPr>
              <w:t>2.5</w:t>
            </w:r>
          </w:p>
        </w:tc>
      </w:tr>
    </w:tbl>
    <w:p w:rsidR="00000000" w:rsidRDefault="00443EC1">
      <w:pPr>
        <w:spacing w:before="100" w:after="100" w:line="380" w:lineRule="exact"/>
        <w:jc w:val="both"/>
        <w:rPr>
          <w:rFonts w:hint="cs"/>
          <w:rtl/>
        </w:rPr>
      </w:pPr>
      <w:r>
        <w:rPr>
          <w:rFonts w:hint="cs"/>
          <w:i/>
          <w:iCs/>
          <w:rtl/>
        </w:rPr>
        <w:tab/>
        <w:t>المصدر</w:t>
      </w:r>
      <w:r>
        <w:rPr>
          <w:rFonts w:hint="cs"/>
          <w:rtl/>
        </w:rPr>
        <w:t>: الحولية الإحصائية لعام 2001، إدارة الإحصاء والتعداد.</w:t>
      </w:r>
    </w:p>
    <w:p w:rsidR="00000000" w:rsidRDefault="00443EC1">
      <w:pPr>
        <w:spacing w:before="0" w:after="0" w:line="380" w:lineRule="exact"/>
        <w:jc w:val="both"/>
        <w:rPr>
          <w:rFonts w:hint="cs"/>
          <w:rtl/>
        </w:rPr>
      </w:pPr>
      <w:r>
        <w:rPr>
          <w:rFonts w:hint="cs"/>
          <w:rtl/>
        </w:rPr>
        <w:tab/>
        <w:t>*</w:t>
      </w:r>
      <w:r>
        <w:rPr>
          <w:rFonts w:hint="cs"/>
          <w:rtl/>
        </w:rPr>
        <w:tab/>
        <w:t xml:space="preserve">بما في ذلك المواليد الذين يبلغ وزنهم 500 غرام أو أكثر. </w:t>
      </w:r>
    </w:p>
    <w:p w:rsidR="00000000" w:rsidRDefault="00443EC1">
      <w:pPr>
        <w:spacing w:line="380" w:lineRule="exact"/>
        <w:jc w:val="both"/>
        <w:rPr>
          <w:rFonts w:hint="cs"/>
          <w:b/>
          <w:bCs/>
          <w:rtl/>
        </w:rPr>
      </w:pPr>
    </w:p>
    <w:p w:rsidR="00000000" w:rsidRDefault="00443EC1">
      <w:pPr>
        <w:spacing w:line="380" w:lineRule="exact"/>
        <w:jc w:val="both"/>
        <w:rPr>
          <w:rFonts w:hint="cs"/>
          <w:b/>
          <w:bCs/>
          <w:rtl/>
        </w:rPr>
      </w:pPr>
      <w:r>
        <w:rPr>
          <w:rFonts w:hint="cs"/>
          <w:b/>
          <w:bCs/>
          <w:rtl/>
        </w:rPr>
        <w:t>أسباب الوفاة الرئيسية وتطورها حسب نسب الحدوث المبلغ عنها</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39"/>
        <w:gridCol w:w="1428"/>
        <w:gridCol w:w="1428"/>
        <w:gridCol w:w="1442"/>
      </w:tblGrid>
      <w:tr w:rsidR="00443EC1" w:rsidTr="00443EC1">
        <w:tblPrEx>
          <w:tblCellMar>
            <w:top w:w="0" w:type="dxa"/>
            <w:bottom w:w="0" w:type="dxa"/>
          </w:tblCellMar>
        </w:tblPrEx>
        <w:trPr>
          <w:jc w:val="center"/>
        </w:trPr>
        <w:tc>
          <w:tcPr>
            <w:tcW w:w="5039" w:type="dxa"/>
            <w:tcBorders>
              <w:bottom w:val="single" w:sz="4" w:space="0" w:color="auto"/>
            </w:tcBorders>
          </w:tcPr>
          <w:p w:rsidR="00443EC1" w:rsidRDefault="00443EC1">
            <w:pPr>
              <w:spacing w:before="20" w:after="20" w:line="320" w:lineRule="exact"/>
              <w:jc w:val="center"/>
              <w:rPr>
                <w:rFonts w:hint="cs"/>
              </w:rPr>
            </w:pPr>
            <w:r>
              <w:rPr>
                <w:rFonts w:hint="cs"/>
                <w:rtl/>
              </w:rPr>
              <w:t>عام</w:t>
            </w:r>
          </w:p>
        </w:tc>
        <w:tc>
          <w:tcPr>
            <w:tcW w:w="1428" w:type="dxa"/>
            <w:tcBorders>
              <w:bottom w:val="single" w:sz="4" w:space="0" w:color="auto"/>
            </w:tcBorders>
          </w:tcPr>
          <w:p w:rsidR="00443EC1" w:rsidRDefault="00443EC1">
            <w:pPr>
              <w:spacing w:before="20" w:after="20" w:line="320" w:lineRule="exact"/>
              <w:jc w:val="center"/>
              <w:rPr>
                <w:rFonts w:hint="cs"/>
              </w:rPr>
            </w:pPr>
            <w:r>
              <w:rPr>
                <w:rFonts w:hint="cs"/>
                <w:rtl/>
              </w:rPr>
              <w:t>1999</w:t>
            </w:r>
          </w:p>
        </w:tc>
        <w:tc>
          <w:tcPr>
            <w:tcW w:w="1428" w:type="dxa"/>
            <w:tcBorders>
              <w:bottom w:val="single" w:sz="4" w:space="0" w:color="auto"/>
            </w:tcBorders>
          </w:tcPr>
          <w:p w:rsidR="00443EC1" w:rsidRDefault="00443EC1">
            <w:pPr>
              <w:spacing w:before="20" w:after="20" w:line="320" w:lineRule="exact"/>
              <w:jc w:val="center"/>
              <w:rPr>
                <w:rFonts w:hint="cs"/>
              </w:rPr>
            </w:pPr>
            <w:r>
              <w:rPr>
                <w:rFonts w:hint="cs"/>
                <w:rtl/>
              </w:rPr>
              <w:t>2000</w:t>
            </w:r>
          </w:p>
        </w:tc>
        <w:tc>
          <w:tcPr>
            <w:tcW w:w="1442" w:type="dxa"/>
            <w:tcBorders>
              <w:bottom w:val="single" w:sz="4" w:space="0" w:color="auto"/>
            </w:tcBorders>
          </w:tcPr>
          <w:p w:rsidR="00443EC1" w:rsidRDefault="00443EC1">
            <w:pPr>
              <w:spacing w:before="20" w:after="20" w:line="320" w:lineRule="exact"/>
              <w:jc w:val="center"/>
              <w:rPr>
                <w:rFonts w:hint="cs"/>
              </w:rPr>
            </w:pPr>
            <w:r>
              <w:rPr>
                <w:rFonts w:hint="cs"/>
                <w:rtl/>
              </w:rPr>
              <w:t>2001</w:t>
            </w:r>
          </w:p>
        </w:tc>
      </w:tr>
      <w:tr w:rsidR="00443EC1" w:rsidTr="00443EC1">
        <w:tblPrEx>
          <w:tblCellMar>
            <w:top w:w="0" w:type="dxa"/>
            <w:bottom w:w="0" w:type="dxa"/>
          </w:tblCellMar>
        </w:tblPrEx>
        <w:trPr>
          <w:jc w:val="center"/>
        </w:trPr>
        <w:tc>
          <w:tcPr>
            <w:tcW w:w="5039" w:type="dxa"/>
            <w:tcBorders>
              <w:top w:val="single" w:sz="4" w:space="0" w:color="auto"/>
              <w:bottom w:val="nil"/>
            </w:tcBorders>
          </w:tcPr>
          <w:p w:rsidR="00443EC1" w:rsidRDefault="00443EC1">
            <w:pPr>
              <w:spacing w:before="0" w:after="0" w:line="320" w:lineRule="exact"/>
              <w:jc w:val="both"/>
              <w:rPr>
                <w:rFonts w:hint="cs"/>
              </w:rPr>
            </w:pPr>
            <w:r>
              <w:rPr>
                <w:rFonts w:hint="cs"/>
                <w:rtl/>
              </w:rPr>
              <w:t>قصور القلب</w:t>
            </w:r>
          </w:p>
        </w:tc>
        <w:tc>
          <w:tcPr>
            <w:tcW w:w="1428" w:type="dxa"/>
            <w:tcBorders>
              <w:top w:val="single" w:sz="4" w:space="0" w:color="auto"/>
              <w:bottom w:val="nil"/>
            </w:tcBorders>
          </w:tcPr>
          <w:p w:rsidR="00443EC1" w:rsidRDefault="00443EC1">
            <w:pPr>
              <w:spacing w:before="0" w:after="0" w:line="320" w:lineRule="exact"/>
              <w:jc w:val="center"/>
              <w:rPr>
                <w:rFonts w:hint="cs"/>
              </w:rPr>
            </w:pPr>
            <w:r>
              <w:rPr>
                <w:rFonts w:hint="cs"/>
                <w:rtl/>
              </w:rPr>
              <w:t>94</w:t>
            </w:r>
          </w:p>
        </w:tc>
        <w:tc>
          <w:tcPr>
            <w:tcW w:w="1428" w:type="dxa"/>
            <w:tcBorders>
              <w:top w:val="single" w:sz="4" w:space="0" w:color="auto"/>
              <w:bottom w:val="nil"/>
            </w:tcBorders>
          </w:tcPr>
          <w:p w:rsidR="00443EC1" w:rsidRDefault="00443EC1">
            <w:pPr>
              <w:spacing w:before="0" w:after="0" w:line="320" w:lineRule="exact"/>
              <w:jc w:val="center"/>
              <w:rPr>
                <w:rFonts w:hint="cs"/>
              </w:rPr>
            </w:pPr>
            <w:r>
              <w:rPr>
                <w:rFonts w:hint="cs"/>
                <w:rtl/>
              </w:rPr>
              <w:t>156</w:t>
            </w:r>
          </w:p>
        </w:tc>
        <w:tc>
          <w:tcPr>
            <w:tcW w:w="1442" w:type="dxa"/>
            <w:tcBorders>
              <w:top w:val="single" w:sz="4" w:space="0" w:color="auto"/>
              <w:bottom w:val="nil"/>
            </w:tcBorders>
          </w:tcPr>
          <w:p w:rsidR="00443EC1" w:rsidRDefault="00443EC1">
            <w:pPr>
              <w:spacing w:before="0" w:after="0" w:line="320" w:lineRule="exact"/>
              <w:jc w:val="center"/>
              <w:rPr>
                <w:rFonts w:hint="cs"/>
              </w:rPr>
            </w:pPr>
            <w:r>
              <w:rPr>
                <w:rFonts w:hint="cs"/>
                <w:rtl/>
              </w:rPr>
              <w:t>104</w:t>
            </w:r>
          </w:p>
        </w:tc>
      </w:tr>
      <w:tr w:rsidR="00443EC1" w:rsidTr="00443EC1">
        <w:tblPrEx>
          <w:tblCellMar>
            <w:top w:w="0" w:type="dxa"/>
            <w:bottom w:w="0" w:type="dxa"/>
          </w:tblCellMar>
        </w:tblPrEx>
        <w:trPr>
          <w:jc w:val="center"/>
        </w:trPr>
        <w:tc>
          <w:tcPr>
            <w:tcW w:w="5039" w:type="dxa"/>
            <w:tcBorders>
              <w:top w:val="nil"/>
              <w:bottom w:val="nil"/>
            </w:tcBorders>
          </w:tcPr>
          <w:p w:rsidR="00443EC1" w:rsidRDefault="00443EC1">
            <w:pPr>
              <w:spacing w:before="0" w:after="0" w:line="320" w:lineRule="exact"/>
              <w:jc w:val="both"/>
              <w:rPr>
                <w:rFonts w:hint="cs"/>
              </w:rPr>
            </w:pPr>
            <w:r>
              <w:rPr>
                <w:rFonts w:hint="cs"/>
                <w:rtl/>
              </w:rPr>
              <w:t>ورم خبيث في القصبة الهوائية والقصبات والرئة</w:t>
            </w:r>
          </w:p>
        </w:tc>
        <w:tc>
          <w:tcPr>
            <w:tcW w:w="1428" w:type="dxa"/>
            <w:tcBorders>
              <w:top w:val="nil"/>
              <w:bottom w:val="nil"/>
            </w:tcBorders>
          </w:tcPr>
          <w:p w:rsidR="00443EC1" w:rsidRDefault="00443EC1">
            <w:pPr>
              <w:spacing w:before="0" w:after="0" w:line="320" w:lineRule="exact"/>
              <w:jc w:val="center"/>
              <w:rPr>
                <w:rFonts w:hint="cs"/>
              </w:rPr>
            </w:pPr>
            <w:r>
              <w:rPr>
                <w:rFonts w:hint="cs"/>
                <w:rtl/>
              </w:rPr>
              <w:t>85</w:t>
            </w:r>
          </w:p>
        </w:tc>
        <w:tc>
          <w:tcPr>
            <w:tcW w:w="1428" w:type="dxa"/>
            <w:tcBorders>
              <w:top w:val="nil"/>
              <w:bottom w:val="nil"/>
            </w:tcBorders>
          </w:tcPr>
          <w:p w:rsidR="00443EC1" w:rsidRDefault="00443EC1">
            <w:pPr>
              <w:spacing w:before="0" w:after="0" w:line="320" w:lineRule="exact"/>
              <w:jc w:val="center"/>
              <w:rPr>
                <w:rFonts w:hint="cs"/>
              </w:rPr>
            </w:pPr>
            <w:r>
              <w:rPr>
                <w:rFonts w:hint="cs"/>
                <w:rtl/>
              </w:rPr>
              <w:t>96</w:t>
            </w:r>
          </w:p>
        </w:tc>
        <w:tc>
          <w:tcPr>
            <w:tcW w:w="1442" w:type="dxa"/>
            <w:tcBorders>
              <w:top w:val="nil"/>
              <w:bottom w:val="nil"/>
            </w:tcBorders>
          </w:tcPr>
          <w:p w:rsidR="00443EC1" w:rsidRDefault="00443EC1">
            <w:pPr>
              <w:spacing w:before="0" w:after="0" w:line="320" w:lineRule="exact"/>
              <w:jc w:val="center"/>
              <w:rPr>
                <w:rFonts w:hint="cs"/>
              </w:rPr>
            </w:pPr>
            <w:r>
              <w:rPr>
                <w:rFonts w:hint="cs"/>
                <w:rtl/>
              </w:rPr>
              <w:t>125</w:t>
            </w:r>
          </w:p>
        </w:tc>
      </w:tr>
      <w:tr w:rsidR="00443EC1" w:rsidTr="00443EC1">
        <w:tblPrEx>
          <w:tblCellMar>
            <w:top w:w="0" w:type="dxa"/>
            <w:bottom w:w="0" w:type="dxa"/>
          </w:tblCellMar>
        </w:tblPrEx>
        <w:trPr>
          <w:jc w:val="center"/>
        </w:trPr>
        <w:tc>
          <w:tcPr>
            <w:tcW w:w="5039" w:type="dxa"/>
            <w:tcBorders>
              <w:top w:val="nil"/>
              <w:bottom w:val="nil"/>
            </w:tcBorders>
          </w:tcPr>
          <w:p w:rsidR="00443EC1" w:rsidRDefault="00443EC1">
            <w:pPr>
              <w:spacing w:before="0" w:after="0" w:line="320" w:lineRule="exact"/>
              <w:jc w:val="both"/>
              <w:rPr>
                <w:rFonts w:hint="cs"/>
              </w:rPr>
            </w:pPr>
            <w:r>
              <w:rPr>
                <w:rFonts w:hint="cs"/>
                <w:rtl/>
              </w:rPr>
              <w:t>ورم خبيث في الكبد والقنوات الصفراوية في داخل الكبد</w:t>
            </w:r>
          </w:p>
        </w:tc>
        <w:tc>
          <w:tcPr>
            <w:tcW w:w="1428" w:type="dxa"/>
            <w:tcBorders>
              <w:top w:val="nil"/>
              <w:bottom w:val="nil"/>
            </w:tcBorders>
          </w:tcPr>
          <w:p w:rsidR="00443EC1" w:rsidRDefault="00443EC1">
            <w:pPr>
              <w:spacing w:before="0" w:after="0" w:line="320" w:lineRule="exact"/>
              <w:jc w:val="center"/>
              <w:rPr>
                <w:rFonts w:hint="cs"/>
              </w:rPr>
            </w:pPr>
            <w:r>
              <w:rPr>
                <w:rFonts w:hint="cs"/>
                <w:rtl/>
              </w:rPr>
              <w:t>59</w:t>
            </w:r>
          </w:p>
        </w:tc>
        <w:tc>
          <w:tcPr>
            <w:tcW w:w="1428" w:type="dxa"/>
            <w:tcBorders>
              <w:top w:val="nil"/>
              <w:bottom w:val="nil"/>
            </w:tcBorders>
          </w:tcPr>
          <w:p w:rsidR="00443EC1" w:rsidRDefault="00443EC1">
            <w:pPr>
              <w:spacing w:before="0" w:after="0" w:line="320" w:lineRule="exact"/>
              <w:jc w:val="center"/>
              <w:rPr>
                <w:rFonts w:hint="cs"/>
              </w:rPr>
            </w:pPr>
            <w:r>
              <w:rPr>
                <w:rFonts w:hint="cs"/>
                <w:rtl/>
              </w:rPr>
              <w:t>69</w:t>
            </w:r>
          </w:p>
        </w:tc>
        <w:tc>
          <w:tcPr>
            <w:tcW w:w="1442" w:type="dxa"/>
            <w:tcBorders>
              <w:top w:val="nil"/>
              <w:bottom w:val="nil"/>
            </w:tcBorders>
          </w:tcPr>
          <w:p w:rsidR="00443EC1" w:rsidRDefault="00443EC1">
            <w:pPr>
              <w:spacing w:before="0" w:after="0" w:line="320" w:lineRule="exact"/>
              <w:jc w:val="center"/>
              <w:rPr>
                <w:rFonts w:hint="cs"/>
              </w:rPr>
            </w:pPr>
            <w:r>
              <w:rPr>
                <w:rFonts w:hint="cs"/>
                <w:rtl/>
              </w:rPr>
              <w:t>44</w:t>
            </w:r>
          </w:p>
        </w:tc>
      </w:tr>
      <w:tr w:rsidR="00443EC1" w:rsidTr="00443EC1">
        <w:tblPrEx>
          <w:tblCellMar>
            <w:top w:w="0" w:type="dxa"/>
            <w:bottom w:w="0" w:type="dxa"/>
          </w:tblCellMar>
        </w:tblPrEx>
        <w:trPr>
          <w:jc w:val="center"/>
        </w:trPr>
        <w:tc>
          <w:tcPr>
            <w:tcW w:w="5039" w:type="dxa"/>
            <w:tcBorders>
              <w:top w:val="nil"/>
              <w:bottom w:val="nil"/>
            </w:tcBorders>
          </w:tcPr>
          <w:p w:rsidR="00443EC1" w:rsidRDefault="00443EC1">
            <w:pPr>
              <w:spacing w:before="0" w:after="0" w:line="320" w:lineRule="exact"/>
              <w:jc w:val="both"/>
              <w:rPr>
                <w:rFonts w:hint="cs"/>
              </w:rPr>
            </w:pPr>
            <w:r>
              <w:rPr>
                <w:rFonts w:hint="cs"/>
                <w:rtl/>
              </w:rPr>
              <w:t>التهاب رئوي وأمراض غير محددة</w:t>
            </w:r>
          </w:p>
        </w:tc>
        <w:tc>
          <w:tcPr>
            <w:tcW w:w="1428" w:type="dxa"/>
            <w:tcBorders>
              <w:top w:val="nil"/>
              <w:bottom w:val="nil"/>
            </w:tcBorders>
          </w:tcPr>
          <w:p w:rsidR="00443EC1" w:rsidRDefault="00443EC1">
            <w:pPr>
              <w:spacing w:before="0" w:after="0" w:line="320" w:lineRule="exact"/>
              <w:jc w:val="center"/>
              <w:rPr>
                <w:rFonts w:hint="cs"/>
              </w:rPr>
            </w:pPr>
            <w:r>
              <w:rPr>
                <w:rFonts w:hint="cs"/>
                <w:rtl/>
              </w:rPr>
              <w:t>28</w:t>
            </w:r>
          </w:p>
        </w:tc>
        <w:tc>
          <w:tcPr>
            <w:tcW w:w="1428" w:type="dxa"/>
            <w:tcBorders>
              <w:top w:val="nil"/>
              <w:bottom w:val="nil"/>
            </w:tcBorders>
          </w:tcPr>
          <w:p w:rsidR="00443EC1" w:rsidRDefault="00443EC1">
            <w:pPr>
              <w:spacing w:before="0" w:after="0" w:line="320" w:lineRule="exact"/>
              <w:jc w:val="center"/>
              <w:rPr>
                <w:rFonts w:hint="cs"/>
              </w:rPr>
            </w:pPr>
            <w:r>
              <w:rPr>
                <w:rFonts w:hint="cs"/>
                <w:rtl/>
              </w:rPr>
              <w:t>37</w:t>
            </w:r>
          </w:p>
        </w:tc>
        <w:tc>
          <w:tcPr>
            <w:tcW w:w="1442" w:type="dxa"/>
            <w:tcBorders>
              <w:top w:val="nil"/>
              <w:bottom w:val="nil"/>
            </w:tcBorders>
          </w:tcPr>
          <w:p w:rsidR="00443EC1" w:rsidRDefault="00443EC1">
            <w:pPr>
              <w:spacing w:before="0" w:after="0" w:line="320" w:lineRule="exact"/>
              <w:jc w:val="center"/>
              <w:rPr>
                <w:rFonts w:hint="cs"/>
              </w:rPr>
            </w:pPr>
            <w:r>
              <w:rPr>
                <w:rFonts w:hint="cs"/>
                <w:rtl/>
              </w:rPr>
              <w:t>40</w:t>
            </w:r>
          </w:p>
        </w:tc>
      </w:tr>
      <w:tr w:rsidR="00443EC1" w:rsidTr="00443EC1">
        <w:tblPrEx>
          <w:tblCellMar>
            <w:top w:w="0" w:type="dxa"/>
            <w:bottom w:w="0" w:type="dxa"/>
          </w:tblCellMar>
        </w:tblPrEx>
        <w:trPr>
          <w:jc w:val="center"/>
        </w:trPr>
        <w:tc>
          <w:tcPr>
            <w:tcW w:w="5039" w:type="dxa"/>
            <w:tcBorders>
              <w:top w:val="nil"/>
            </w:tcBorders>
          </w:tcPr>
          <w:p w:rsidR="00443EC1" w:rsidRDefault="00443EC1">
            <w:pPr>
              <w:spacing w:before="0" w:after="0" w:line="320" w:lineRule="exact"/>
              <w:jc w:val="both"/>
              <w:rPr>
                <w:rFonts w:hint="cs"/>
              </w:rPr>
            </w:pPr>
            <w:r>
              <w:rPr>
                <w:rFonts w:hint="cs"/>
                <w:rtl/>
              </w:rPr>
              <w:t>أشكال أخرى من مرض القلب الإفقاري المزمن</w:t>
            </w:r>
          </w:p>
        </w:tc>
        <w:tc>
          <w:tcPr>
            <w:tcW w:w="1428" w:type="dxa"/>
            <w:tcBorders>
              <w:top w:val="nil"/>
            </w:tcBorders>
          </w:tcPr>
          <w:p w:rsidR="00443EC1" w:rsidRDefault="00443EC1">
            <w:pPr>
              <w:spacing w:before="0" w:after="0" w:line="320" w:lineRule="exact"/>
              <w:jc w:val="center"/>
              <w:rPr>
                <w:rFonts w:hint="cs"/>
              </w:rPr>
            </w:pPr>
            <w:r>
              <w:rPr>
                <w:rFonts w:hint="cs"/>
                <w:rtl/>
              </w:rPr>
              <w:t>47</w:t>
            </w:r>
          </w:p>
        </w:tc>
        <w:tc>
          <w:tcPr>
            <w:tcW w:w="1428" w:type="dxa"/>
            <w:tcBorders>
              <w:top w:val="nil"/>
            </w:tcBorders>
          </w:tcPr>
          <w:p w:rsidR="00443EC1" w:rsidRDefault="00443EC1">
            <w:pPr>
              <w:spacing w:before="0" w:after="0" w:line="320" w:lineRule="exact"/>
              <w:jc w:val="center"/>
              <w:rPr>
                <w:rFonts w:hint="cs"/>
              </w:rPr>
            </w:pPr>
            <w:r>
              <w:rPr>
                <w:rFonts w:hint="cs"/>
                <w:rtl/>
              </w:rPr>
              <w:t>44</w:t>
            </w:r>
          </w:p>
        </w:tc>
        <w:tc>
          <w:tcPr>
            <w:tcW w:w="1442" w:type="dxa"/>
            <w:tcBorders>
              <w:top w:val="nil"/>
            </w:tcBorders>
          </w:tcPr>
          <w:p w:rsidR="00443EC1" w:rsidRDefault="00443EC1">
            <w:pPr>
              <w:spacing w:before="0" w:after="0" w:line="320" w:lineRule="exact"/>
              <w:jc w:val="center"/>
              <w:rPr>
                <w:rFonts w:hint="cs"/>
              </w:rPr>
            </w:pPr>
            <w:r>
              <w:rPr>
                <w:rFonts w:hint="cs"/>
                <w:rtl/>
              </w:rPr>
              <w:t>38</w:t>
            </w:r>
          </w:p>
        </w:tc>
      </w:tr>
    </w:tbl>
    <w:p w:rsidR="00000000" w:rsidRDefault="00443EC1">
      <w:pPr>
        <w:spacing w:line="380" w:lineRule="exact"/>
        <w:jc w:val="both"/>
        <w:rPr>
          <w:rFonts w:hint="cs"/>
          <w:rtl/>
        </w:rPr>
      </w:pPr>
      <w:r>
        <w:rPr>
          <w:rFonts w:hint="cs"/>
          <w:i/>
          <w:iCs/>
          <w:rtl/>
        </w:rPr>
        <w:tab/>
        <w:t>المصدر</w:t>
      </w:r>
      <w:r>
        <w:rPr>
          <w:rFonts w:hint="cs"/>
          <w:rtl/>
        </w:rPr>
        <w:t>: إحصائيات السك</w:t>
      </w:r>
      <w:r>
        <w:rPr>
          <w:rFonts w:hint="cs"/>
          <w:rtl/>
        </w:rPr>
        <w:t>ان لعام 2001، إدارة الإحصاء والتعداد.</w:t>
      </w:r>
    </w:p>
    <w:p w:rsidR="00000000" w:rsidRDefault="00443EC1">
      <w:pPr>
        <w:tabs>
          <w:tab w:val="left" w:pos="787"/>
        </w:tabs>
        <w:spacing w:line="380" w:lineRule="exact"/>
        <w:jc w:val="both"/>
        <w:rPr>
          <w:rFonts w:hint="cs"/>
          <w:rtl/>
        </w:rPr>
      </w:pPr>
      <w:r>
        <w:rPr>
          <w:rFonts w:hint="cs"/>
          <w:rtl/>
        </w:rPr>
        <w:t>1023-   وفي عام 2002، أنشئ مركز لتقييم الصحة البدنية بغرض إجراء بحوث وتقييم صحة السكان البدنية. ويقدم المركز خدمة مجانية لاختبار الوظائف والقدرة البدنية والتكوين الجسماني بغية تعزيز المحافظة على الصحة وزيادة الإقبال عل</w:t>
      </w:r>
      <w:r>
        <w:rPr>
          <w:rFonts w:hint="cs"/>
          <w:rtl/>
        </w:rPr>
        <w:t>ى الرياضة. وتمثل كل من البرامج العلمية ومعدات الطب الرياضي وخدماته والرعاية الطبية وإعادة التأهيل والعلاج الفيزيائي عوامل تتضافر لتعزيز اللياقة البدنية لدى مواطني ماكاو وتحسن نوعية الحياة.</w:t>
      </w:r>
    </w:p>
    <w:p w:rsidR="00000000" w:rsidRDefault="00443EC1">
      <w:pPr>
        <w:tabs>
          <w:tab w:val="left" w:pos="773"/>
        </w:tabs>
        <w:spacing w:line="380" w:lineRule="exact"/>
        <w:jc w:val="both"/>
        <w:rPr>
          <w:rFonts w:hint="cs"/>
          <w:spacing w:val="0"/>
          <w:rtl/>
        </w:rPr>
      </w:pPr>
      <w:r>
        <w:rPr>
          <w:rFonts w:hint="cs"/>
          <w:spacing w:val="0"/>
          <w:rtl/>
        </w:rPr>
        <w:t>1024-</w:t>
      </w:r>
      <w:r>
        <w:rPr>
          <w:rFonts w:hint="cs"/>
          <w:rtl/>
        </w:rPr>
        <w:t xml:space="preserve">   </w:t>
      </w:r>
      <w:r>
        <w:rPr>
          <w:rFonts w:hint="cs"/>
          <w:spacing w:val="0"/>
          <w:rtl/>
        </w:rPr>
        <w:t>يتيسر لجميع السكان الحصول على الماء الآمن من الحنفية. وتجرى</w:t>
      </w:r>
      <w:r>
        <w:rPr>
          <w:rFonts w:hint="cs"/>
          <w:spacing w:val="0"/>
          <w:rtl/>
        </w:rPr>
        <w:t xml:space="preserve"> مراقبة السلامة والنوعية على مستويين مختلفين إذ تقوم بالأولى مؤسسة الشؤون المدنية والبلدية وبالثانية وزارة الصحة، وهما تعتمدان على مراقبة مخبرية تحليلية صارمة.</w:t>
      </w:r>
    </w:p>
    <w:p w:rsidR="00000000" w:rsidRDefault="00443EC1">
      <w:pPr>
        <w:tabs>
          <w:tab w:val="left" w:pos="773"/>
        </w:tabs>
        <w:spacing w:line="380" w:lineRule="exact"/>
        <w:jc w:val="both"/>
        <w:rPr>
          <w:rFonts w:hint="cs"/>
          <w:rtl/>
        </w:rPr>
      </w:pPr>
      <w:r>
        <w:rPr>
          <w:rFonts w:hint="cs"/>
          <w:rtl/>
        </w:rPr>
        <w:t>1025-   ت</w:t>
      </w:r>
      <w:r>
        <w:rPr>
          <w:rtl/>
        </w:rPr>
        <w:t xml:space="preserve">قوم </w:t>
      </w:r>
      <w:r>
        <w:rPr>
          <w:rFonts w:hint="cs"/>
          <w:rtl/>
        </w:rPr>
        <w:t>مؤسسة الشؤون المدنية والبلدية بمتابعة نوعية الماء الصالح للشرب المتوفر محليا وبمراق</w:t>
      </w:r>
      <w:r>
        <w:rPr>
          <w:rFonts w:hint="cs"/>
          <w:rtl/>
        </w:rPr>
        <w:t>بته من الشبكة العامة للتزويد بالماء الصالح للشرب التي تديرها شركة ماكاو للإمداد بالماء. وتؤخذ عينات من الماء قبل معالجته وعينات من الماء المعالج من محطات معالجة المياه ومن شبكة التوزيع لإجراء تحاليل بكتريولوجية وتحاليل فيزيائية وكيميائية عليها للتأكد من اس</w:t>
      </w:r>
      <w:r>
        <w:rPr>
          <w:rFonts w:hint="cs"/>
          <w:rtl/>
        </w:rPr>
        <w:t>تجابة نوعية الماء الذي يزود به السكان للمواصفات.</w:t>
      </w:r>
    </w:p>
    <w:p w:rsidR="00000000" w:rsidRDefault="00443EC1">
      <w:pPr>
        <w:tabs>
          <w:tab w:val="left" w:pos="773"/>
        </w:tabs>
        <w:spacing w:line="380" w:lineRule="exact"/>
        <w:jc w:val="both"/>
        <w:rPr>
          <w:rFonts w:hint="cs"/>
          <w:rtl/>
        </w:rPr>
      </w:pPr>
      <w:r>
        <w:rPr>
          <w:rFonts w:hint="cs"/>
          <w:rtl/>
        </w:rPr>
        <w:t xml:space="preserve">1026-   </w:t>
      </w:r>
      <w:r>
        <w:rPr>
          <w:rtl/>
        </w:rPr>
        <w:t>كما</w:t>
      </w:r>
      <w:r>
        <w:rPr>
          <w:rFonts w:hint="cs"/>
          <w:rtl/>
        </w:rPr>
        <w:t xml:space="preserve"> ت</w:t>
      </w:r>
      <w:r>
        <w:rPr>
          <w:rtl/>
        </w:rPr>
        <w:t xml:space="preserve">جري </w:t>
      </w:r>
      <w:r>
        <w:rPr>
          <w:rFonts w:hint="cs"/>
          <w:rtl/>
        </w:rPr>
        <w:t>مؤسسة الشؤون المدنية والبلدية جولات التفتيش الصحي في المسابح العامة وفي مسابح الفنادق ومسابح البنايات العامة المفتوحة للعموم. وفي كل عام، تؤخذ وتحلل حوالي 600 1 عينة من الماء الصالح للشرب و3</w:t>
      </w:r>
      <w:r>
        <w:rPr>
          <w:rFonts w:hint="cs"/>
          <w:rtl/>
        </w:rPr>
        <w:t>00 1 عينة من ماء المسابح في المتوسط.</w:t>
      </w:r>
    </w:p>
    <w:p w:rsidR="00000000" w:rsidRDefault="00443EC1">
      <w:pPr>
        <w:tabs>
          <w:tab w:val="left" w:pos="773"/>
        </w:tabs>
        <w:spacing w:line="380" w:lineRule="exact"/>
        <w:jc w:val="center"/>
        <w:rPr>
          <w:b/>
          <w:bCs/>
          <w:rtl/>
        </w:rPr>
      </w:pPr>
      <w:r>
        <w:rPr>
          <w:rFonts w:hint="cs"/>
          <w:b/>
          <w:bCs/>
          <w:rtl/>
        </w:rPr>
        <w:t xml:space="preserve">باء - </w:t>
      </w:r>
      <w:r>
        <w:rPr>
          <w:b/>
          <w:bCs/>
          <w:rtl/>
        </w:rPr>
        <w:t>السياسات المتعلقة بالصحة</w:t>
      </w:r>
    </w:p>
    <w:p w:rsidR="00000000" w:rsidRDefault="00443EC1">
      <w:pPr>
        <w:tabs>
          <w:tab w:val="left" w:pos="773"/>
        </w:tabs>
        <w:spacing w:line="380" w:lineRule="exact"/>
        <w:jc w:val="both"/>
        <w:rPr>
          <w:rFonts w:hint="cs"/>
          <w:rtl/>
        </w:rPr>
      </w:pPr>
      <w:r>
        <w:rPr>
          <w:rFonts w:hint="cs"/>
          <w:rtl/>
        </w:rPr>
        <w:t>1027-   عملاً ب</w:t>
      </w:r>
      <w:r>
        <w:rPr>
          <w:rtl/>
        </w:rPr>
        <w:t xml:space="preserve">المادة 123 من القانون الأساسي، </w:t>
      </w:r>
      <w:r>
        <w:rPr>
          <w:rFonts w:hint="cs"/>
          <w:rtl/>
        </w:rPr>
        <w:t xml:space="preserve">تضع </w:t>
      </w:r>
      <w:r>
        <w:rPr>
          <w:rtl/>
        </w:rPr>
        <w:t xml:space="preserve">حكومة </w:t>
      </w:r>
      <w:r>
        <w:rPr>
          <w:rFonts w:hint="cs"/>
          <w:rtl/>
        </w:rPr>
        <w:t xml:space="preserve">مقاطعة </w:t>
      </w:r>
      <w:r>
        <w:rPr>
          <w:rtl/>
        </w:rPr>
        <w:t>ماكاو الإدارية الخاصة السياسات المناسبة في مجال الصحة لتعزيز الصحة العامة وتوفير الخدمات الصحية والطبية الضرورية لتحقيق ذلك ا</w:t>
      </w:r>
      <w:r>
        <w:rPr>
          <w:rtl/>
        </w:rPr>
        <w:t>لغرض</w:t>
      </w:r>
      <w:r>
        <w:rPr>
          <w:rFonts w:hint="cs"/>
          <w:rtl/>
        </w:rPr>
        <w:t>. وتوفر نظم الرعاية الصحية مجموعة شاملة من خدمات الوقاية والتطبيب وإعادة التأهيل. ومن بين التدابير الرئيسية تقديم الخدمات والرعاية الطبيتين وتيسير الوصول إلى المراكز الصحية.</w:t>
      </w:r>
    </w:p>
    <w:p w:rsidR="00000000" w:rsidRDefault="00443EC1">
      <w:pPr>
        <w:tabs>
          <w:tab w:val="left" w:pos="773"/>
        </w:tabs>
        <w:spacing w:line="380" w:lineRule="exact"/>
        <w:jc w:val="both"/>
        <w:rPr>
          <w:rFonts w:hint="cs"/>
          <w:rtl/>
        </w:rPr>
      </w:pPr>
      <w:r>
        <w:rPr>
          <w:rFonts w:hint="cs"/>
          <w:rtl/>
        </w:rPr>
        <w:t>1028-   ويتاح الوصول إلى الرعاية الصحية لجميع السكان في المراكز الصحية، أما مت</w:t>
      </w:r>
      <w:r>
        <w:rPr>
          <w:rFonts w:hint="cs"/>
          <w:rtl/>
        </w:rPr>
        <w:t>ابعة الحالة الصحية والرعاية الطبية المتخصصة فتقدم في المستشفيات العامة لعلاج الأمراض الشائعة والإصابات. لكن الرعاية الصحية الأساسية تركز بالخصوص على النساء في سن الإنجاب وعلى الرضع والأطفال.</w:t>
      </w:r>
    </w:p>
    <w:p w:rsidR="00000000" w:rsidRDefault="00443EC1">
      <w:pPr>
        <w:tabs>
          <w:tab w:val="left" w:pos="773"/>
        </w:tabs>
        <w:spacing w:line="380" w:lineRule="exact"/>
        <w:jc w:val="both"/>
        <w:rPr>
          <w:rFonts w:hint="cs"/>
          <w:rtl/>
        </w:rPr>
      </w:pPr>
      <w:r>
        <w:rPr>
          <w:rFonts w:hint="cs"/>
          <w:rtl/>
        </w:rPr>
        <w:t>1029-   تساعد الرعاية الصحية الأساسية الموجهة لكبار السن على تحسي</w:t>
      </w:r>
      <w:r>
        <w:rPr>
          <w:rFonts w:hint="cs"/>
          <w:rtl/>
        </w:rPr>
        <w:t>ن نوعية الحياة من خلال تقييم درجة الاعتماد (الاعتماد الوظيفي) ومن خلال زيارات منزلية يقوم بها الأطباء والممرضات في حالات العجز، بالتعاون مع مؤسسة الرعاية الاجتماعية.</w:t>
      </w:r>
    </w:p>
    <w:p w:rsidR="00000000" w:rsidRDefault="00443EC1">
      <w:pPr>
        <w:tabs>
          <w:tab w:val="left" w:pos="773"/>
        </w:tabs>
        <w:spacing w:line="380" w:lineRule="exact"/>
        <w:jc w:val="both"/>
        <w:rPr>
          <w:rFonts w:hint="cs"/>
          <w:rtl/>
        </w:rPr>
      </w:pPr>
      <w:r>
        <w:rPr>
          <w:rFonts w:hint="cs"/>
          <w:rtl/>
        </w:rPr>
        <w:t xml:space="preserve">1030-   </w:t>
      </w:r>
      <w:r>
        <w:rPr>
          <w:rtl/>
        </w:rPr>
        <w:t xml:space="preserve">بالنسبة لمجموعات المستضعفين والمحرومين، </w:t>
      </w:r>
      <w:r>
        <w:rPr>
          <w:rFonts w:hint="cs"/>
          <w:rtl/>
        </w:rPr>
        <w:t>يتم التدخل أيضا على مستوى المراكز الصحية ب</w:t>
      </w:r>
      <w:r>
        <w:rPr>
          <w:rFonts w:hint="cs"/>
          <w:rtl/>
        </w:rPr>
        <w:t>التعاون مع مؤسسة الرعاية الاجتماعية. ويتاح للأشخاص المعوقين عقليا وجسديا الوصول إلى مركز الصحة العقلية الذي يوفر الرعاية النفسية المتخصصة والرعاية الاجتماعية.</w:t>
      </w:r>
    </w:p>
    <w:p w:rsidR="00000000" w:rsidRDefault="00443EC1">
      <w:pPr>
        <w:tabs>
          <w:tab w:val="left" w:pos="773"/>
        </w:tabs>
        <w:spacing w:line="380" w:lineRule="exact"/>
        <w:jc w:val="both"/>
        <w:rPr>
          <w:rFonts w:hint="cs"/>
          <w:spacing w:val="0"/>
          <w:rtl/>
        </w:rPr>
      </w:pPr>
      <w:r>
        <w:rPr>
          <w:rFonts w:hint="cs"/>
          <w:spacing w:val="0"/>
          <w:rtl/>
        </w:rPr>
        <w:t>1031-</w:t>
      </w:r>
      <w:r>
        <w:rPr>
          <w:rFonts w:hint="cs"/>
          <w:rtl/>
        </w:rPr>
        <w:t xml:space="preserve">   </w:t>
      </w:r>
      <w:r>
        <w:rPr>
          <w:rFonts w:hint="cs"/>
          <w:spacing w:val="0"/>
          <w:rtl/>
        </w:rPr>
        <w:t>و</w:t>
      </w:r>
      <w:r>
        <w:rPr>
          <w:spacing w:val="0"/>
          <w:rtl/>
        </w:rPr>
        <w:t>ضمن السياسة</w:t>
      </w:r>
      <w:r>
        <w:rPr>
          <w:rFonts w:hint="cs"/>
          <w:spacing w:val="0"/>
          <w:rtl/>
        </w:rPr>
        <w:t xml:space="preserve"> العامة</w:t>
      </w:r>
      <w:r>
        <w:rPr>
          <w:spacing w:val="0"/>
          <w:rtl/>
        </w:rPr>
        <w:t xml:space="preserve"> المتبعة في مجال </w:t>
      </w:r>
      <w:r>
        <w:rPr>
          <w:rFonts w:hint="cs"/>
          <w:spacing w:val="0"/>
          <w:rtl/>
        </w:rPr>
        <w:t>الصحة، تركز حكومة مقاطعة ماكاو الإدارية الخاصة على بر</w:t>
      </w:r>
      <w:r>
        <w:rPr>
          <w:rFonts w:hint="cs"/>
          <w:spacing w:val="0"/>
          <w:rtl/>
        </w:rPr>
        <w:t>امج تعزيز الصحة والتوعية بها فيما يتعلق بالمشاكل الصحية المنتشرة ومن بينها الوقاية من حمى الضنك وفيروس نقص المناعة البشرية المكتسب/الإيدز والوقاية من التدخين وتعاطي المخدرات والوقاية من داء السكري وداء السل والالتهاب الكبدي البائي.</w:t>
      </w:r>
    </w:p>
    <w:p w:rsidR="00000000" w:rsidRDefault="00443EC1">
      <w:pPr>
        <w:tabs>
          <w:tab w:val="left" w:pos="773"/>
        </w:tabs>
        <w:spacing w:line="380" w:lineRule="exact"/>
        <w:jc w:val="both"/>
        <w:rPr>
          <w:rFonts w:hint="cs"/>
          <w:rtl/>
        </w:rPr>
      </w:pPr>
      <w:r>
        <w:rPr>
          <w:rFonts w:hint="cs"/>
          <w:rtl/>
        </w:rPr>
        <w:t>1032-   وثمة نُهُج انتقا</w:t>
      </w:r>
      <w:r>
        <w:rPr>
          <w:rFonts w:hint="cs"/>
          <w:rtl/>
        </w:rPr>
        <w:t>ئية للتعامل مع مجموعات المستضعفين والمجموعات المعرضة للمخاطر التي قد تنشأ لديها بعض المشاكل الصحية: مشاكل الصحة البدنية والعقلية (نهج وقائي إزاء الأسرة/مجموعات الدعم في المجتمع المحلي والوقاية الثانوية والدعم الذي توفره مراكز الصحة العقلية) ومشاكل الصحة ال</w:t>
      </w:r>
      <w:r>
        <w:rPr>
          <w:rFonts w:hint="cs"/>
          <w:rtl/>
        </w:rPr>
        <w:t>ناجمة عن الشيخوخة (تقييم الوظيفة الإدراكية مقارنة بالمعرفة السابقة بنوعية الحياة من خلال الزيارات المنزلية التي تقوم بها الممرضات) والأمراض المعدية وداء السل (فحص المجموعات الأكثر عرضة لخطر الإصابة بداء السل، تحري مرض السل لدى المجموعات الأكثر عرضة لـه واك</w:t>
      </w:r>
      <w:r>
        <w:rPr>
          <w:rFonts w:hint="cs"/>
          <w:rtl/>
        </w:rPr>
        <w:t xml:space="preserve">تشافه في مرحلة مبكرة وعلاجه) والالتهاب الكبدي البائي، والأمراض المزمنة/الحرضية؛ </w:t>
      </w:r>
      <w:r>
        <w:rPr>
          <w:rFonts w:hint="cs"/>
          <w:spacing w:val="0"/>
          <w:rtl/>
        </w:rPr>
        <w:t>ومرض ترقق العظام وسرطان عنق الرحم وسرطان الثدي (لدى النساء) والأمراض ذات العلاقة بالقلب (لدى الكبار).</w:t>
      </w:r>
    </w:p>
    <w:p w:rsidR="00000000" w:rsidRDefault="00443EC1">
      <w:pPr>
        <w:tabs>
          <w:tab w:val="left" w:pos="773"/>
        </w:tabs>
        <w:spacing w:line="380" w:lineRule="exact"/>
        <w:jc w:val="both"/>
        <w:rPr>
          <w:rFonts w:hint="cs"/>
          <w:rtl/>
        </w:rPr>
      </w:pPr>
      <w:r>
        <w:rPr>
          <w:rFonts w:hint="cs"/>
          <w:rtl/>
        </w:rPr>
        <w:t xml:space="preserve">1033-   تشمل برامج الصحة التي تستهدف النساء في سن الإنجاب والرضع والأطفال </w:t>
      </w:r>
      <w:r>
        <w:rPr>
          <w:rFonts w:hint="cs"/>
          <w:rtl/>
        </w:rPr>
        <w:t>مجموعة من الجوانب كالتغذية وتنظيم الأسرة وحملات التلقيح والتوعية الصحية. ومن بين التدابير التي جرى اتخاذها، ثمة المراقبة أثناء الحمل وأثناء مرحلتي الرضاعة والطفولة التي تقدم في المستشفيات من قبل عاملين مدربين ومتخصصين وحملات التحصين ضد الأمراض، مما يساهم ف</w:t>
      </w:r>
      <w:r>
        <w:rPr>
          <w:rFonts w:hint="cs"/>
          <w:rtl/>
        </w:rPr>
        <w:t>ي تقليص معدل وفيات الرضع ويؤدي إلى اجتياز النساء لفترة الحمل بسلام.</w:t>
      </w:r>
    </w:p>
    <w:p w:rsidR="00000000" w:rsidRDefault="00443EC1">
      <w:pPr>
        <w:tabs>
          <w:tab w:val="left" w:pos="801"/>
        </w:tabs>
        <w:spacing w:line="380" w:lineRule="exact"/>
        <w:jc w:val="both"/>
        <w:rPr>
          <w:rFonts w:hint="cs"/>
          <w:rtl/>
        </w:rPr>
      </w:pPr>
      <w:r>
        <w:rPr>
          <w:rFonts w:hint="cs"/>
          <w:rtl/>
        </w:rPr>
        <w:t>1034-   وقد شرعت حكومة منطقة ماكاو الإدارية الخاصة في تنفيذ برنامج تحصين يركز على الأطفال منذ الولادة وحتى سن السادسة. وفيما يلي الإحصائيات الخاصة بالتلقيح ضد أهم أمراض الأطفال السارية.</w:t>
      </w:r>
    </w:p>
    <w:p w:rsidR="00000000" w:rsidRDefault="00443EC1">
      <w:pPr>
        <w:tabs>
          <w:tab w:val="left" w:pos="801"/>
        </w:tabs>
        <w:spacing w:line="380" w:lineRule="exact"/>
        <w:jc w:val="both"/>
        <w:rPr>
          <w:rFonts w:hint="cs"/>
          <w:rtl/>
        </w:rPr>
      </w:pPr>
    </w:p>
    <w:p w:rsidR="00000000" w:rsidRDefault="00443EC1">
      <w:pPr>
        <w:tabs>
          <w:tab w:val="left" w:pos="801"/>
        </w:tabs>
        <w:spacing w:line="380" w:lineRule="exact"/>
        <w:jc w:val="both"/>
        <w:rPr>
          <w:rFonts w:hint="cs"/>
          <w:rtl/>
        </w:rPr>
      </w:pPr>
    </w:p>
    <w:p w:rsidR="00000000" w:rsidRDefault="00443EC1">
      <w:pPr>
        <w:tabs>
          <w:tab w:val="left" w:pos="801"/>
        </w:tabs>
        <w:spacing w:line="380" w:lineRule="exact"/>
        <w:jc w:val="both"/>
        <w:rPr>
          <w:rFonts w:hint="cs"/>
          <w:rtl/>
        </w:rPr>
      </w:pPr>
    </w:p>
    <w:p w:rsidR="00000000" w:rsidRDefault="00443EC1">
      <w:pPr>
        <w:spacing w:line="380" w:lineRule="exact"/>
        <w:jc w:val="both"/>
        <w:rPr>
          <w:rFonts w:hint="cs"/>
          <w:b/>
          <w:bCs/>
          <w:rtl/>
        </w:rPr>
      </w:pPr>
      <w:r>
        <w:rPr>
          <w:rFonts w:hint="cs"/>
          <w:b/>
          <w:bCs/>
          <w:rtl/>
        </w:rPr>
        <w:t>سجل التلقيحات</w:t>
      </w:r>
    </w:p>
    <w:tbl>
      <w:tblPr>
        <w:bidiVisual/>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4492"/>
        <w:gridCol w:w="1652"/>
        <w:gridCol w:w="1652"/>
        <w:gridCol w:w="1652"/>
      </w:tblGrid>
      <w:tr w:rsidR="00443EC1" w:rsidTr="00443EC1">
        <w:tblPrEx>
          <w:tblCellMar>
            <w:top w:w="0" w:type="dxa"/>
            <w:bottom w:w="0" w:type="dxa"/>
          </w:tblCellMar>
        </w:tblPrEx>
        <w:trPr>
          <w:cantSplit/>
          <w:jc w:val="center"/>
        </w:trPr>
        <w:tc>
          <w:tcPr>
            <w:tcW w:w="4492" w:type="dxa"/>
            <w:tcBorders>
              <w:top w:val="single" w:sz="4" w:space="0" w:color="auto"/>
              <w:bottom w:val="single" w:sz="4" w:space="0" w:color="auto"/>
            </w:tcBorders>
          </w:tcPr>
          <w:p w:rsidR="00443EC1" w:rsidRDefault="00443EC1">
            <w:pPr>
              <w:spacing w:before="0" w:after="0" w:line="320" w:lineRule="exact"/>
              <w:jc w:val="center"/>
              <w:rPr>
                <w:rFonts w:hint="cs"/>
              </w:rPr>
            </w:pPr>
            <w:r>
              <w:rPr>
                <w:rFonts w:hint="cs"/>
                <w:rtl/>
              </w:rPr>
              <w:t>اللقاح</w:t>
            </w:r>
          </w:p>
        </w:tc>
        <w:tc>
          <w:tcPr>
            <w:tcW w:w="1652" w:type="dxa"/>
            <w:tcBorders>
              <w:top w:val="single" w:sz="4" w:space="0" w:color="auto"/>
              <w:bottom w:val="single" w:sz="4" w:space="0" w:color="auto"/>
            </w:tcBorders>
          </w:tcPr>
          <w:p w:rsidR="00443EC1" w:rsidRDefault="00443EC1">
            <w:pPr>
              <w:spacing w:before="0" w:after="0" w:line="320" w:lineRule="exact"/>
              <w:jc w:val="center"/>
              <w:rPr>
                <w:rFonts w:hint="cs"/>
              </w:rPr>
            </w:pPr>
            <w:r>
              <w:rPr>
                <w:rFonts w:hint="cs"/>
                <w:rtl/>
              </w:rPr>
              <w:t>1999</w:t>
            </w:r>
          </w:p>
        </w:tc>
        <w:tc>
          <w:tcPr>
            <w:tcW w:w="1652" w:type="dxa"/>
            <w:tcBorders>
              <w:top w:val="single" w:sz="4" w:space="0" w:color="auto"/>
              <w:bottom w:val="single" w:sz="4" w:space="0" w:color="auto"/>
            </w:tcBorders>
          </w:tcPr>
          <w:p w:rsidR="00443EC1" w:rsidRDefault="00443EC1">
            <w:pPr>
              <w:spacing w:before="0" w:after="0" w:line="320" w:lineRule="exact"/>
              <w:jc w:val="center"/>
              <w:rPr>
                <w:rFonts w:hint="cs"/>
              </w:rPr>
            </w:pPr>
            <w:r>
              <w:rPr>
                <w:rFonts w:hint="cs"/>
                <w:rtl/>
              </w:rPr>
              <w:t>2000</w:t>
            </w:r>
          </w:p>
        </w:tc>
        <w:tc>
          <w:tcPr>
            <w:tcW w:w="1652" w:type="dxa"/>
            <w:tcBorders>
              <w:top w:val="single" w:sz="4" w:space="0" w:color="auto"/>
              <w:bottom w:val="single" w:sz="4" w:space="0" w:color="auto"/>
            </w:tcBorders>
          </w:tcPr>
          <w:p w:rsidR="00443EC1" w:rsidRDefault="00443EC1">
            <w:pPr>
              <w:spacing w:before="0" w:after="0" w:line="320" w:lineRule="exact"/>
              <w:jc w:val="center"/>
              <w:rPr>
                <w:rFonts w:hint="cs"/>
              </w:rPr>
            </w:pPr>
            <w:r>
              <w:rPr>
                <w:rFonts w:hint="cs"/>
                <w:rtl/>
              </w:rPr>
              <w:t>2001</w:t>
            </w:r>
          </w:p>
        </w:tc>
      </w:tr>
      <w:tr w:rsidR="00443EC1" w:rsidTr="00443EC1">
        <w:tblPrEx>
          <w:tblCellMar>
            <w:top w:w="0" w:type="dxa"/>
            <w:bottom w:w="0" w:type="dxa"/>
          </w:tblCellMar>
        </w:tblPrEx>
        <w:trPr>
          <w:cantSplit/>
          <w:jc w:val="center"/>
        </w:trPr>
        <w:tc>
          <w:tcPr>
            <w:tcW w:w="4492" w:type="dxa"/>
            <w:tcBorders>
              <w:top w:val="single" w:sz="4" w:space="0" w:color="auto"/>
            </w:tcBorders>
          </w:tcPr>
          <w:p w:rsidR="00443EC1" w:rsidRDefault="00443EC1">
            <w:pPr>
              <w:spacing w:before="0" w:after="0" w:line="320" w:lineRule="exact"/>
              <w:jc w:val="both"/>
              <w:rPr>
                <w:rFonts w:hint="cs"/>
              </w:rPr>
            </w:pPr>
            <w:r>
              <w:rPr>
                <w:rFonts w:hint="cs"/>
                <w:rtl/>
              </w:rPr>
              <w:t>الخناق والتيتانوس (لقاح مزدوج)</w:t>
            </w:r>
          </w:p>
        </w:tc>
        <w:tc>
          <w:tcPr>
            <w:tcW w:w="1652" w:type="dxa"/>
            <w:tcBorders>
              <w:top w:val="single" w:sz="4" w:space="0" w:color="auto"/>
            </w:tcBorders>
          </w:tcPr>
          <w:p w:rsidR="00443EC1" w:rsidRDefault="00443EC1">
            <w:pPr>
              <w:spacing w:before="0" w:after="0" w:line="320" w:lineRule="exact"/>
              <w:ind w:firstLine="298"/>
              <w:jc w:val="both"/>
              <w:rPr>
                <w:rFonts w:hint="cs"/>
              </w:rPr>
            </w:pPr>
            <w:r>
              <w:rPr>
                <w:rFonts w:hint="cs"/>
                <w:rtl/>
              </w:rPr>
              <w:t>881 5</w:t>
            </w:r>
          </w:p>
        </w:tc>
        <w:tc>
          <w:tcPr>
            <w:tcW w:w="1652" w:type="dxa"/>
            <w:tcBorders>
              <w:top w:val="single" w:sz="4" w:space="0" w:color="auto"/>
            </w:tcBorders>
          </w:tcPr>
          <w:p w:rsidR="00443EC1" w:rsidRDefault="00443EC1">
            <w:pPr>
              <w:spacing w:before="0" w:after="0" w:line="320" w:lineRule="exact"/>
              <w:ind w:firstLine="298"/>
              <w:jc w:val="both"/>
              <w:rPr>
                <w:rFonts w:hint="cs"/>
              </w:rPr>
            </w:pPr>
            <w:r>
              <w:rPr>
                <w:rFonts w:hint="cs"/>
                <w:rtl/>
              </w:rPr>
              <w:t>949 5</w:t>
            </w:r>
          </w:p>
        </w:tc>
        <w:tc>
          <w:tcPr>
            <w:tcW w:w="1652" w:type="dxa"/>
            <w:tcBorders>
              <w:top w:val="single" w:sz="4" w:space="0" w:color="auto"/>
            </w:tcBorders>
          </w:tcPr>
          <w:p w:rsidR="00443EC1" w:rsidRDefault="00443EC1">
            <w:pPr>
              <w:spacing w:before="0" w:after="0" w:line="320" w:lineRule="exact"/>
              <w:ind w:firstLine="298"/>
              <w:jc w:val="both"/>
              <w:rPr>
                <w:rFonts w:hint="cs"/>
              </w:rPr>
            </w:pPr>
            <w:r>
              <w:rPr>
                <w:rFonts w:hint="cs"/>
                <w:rtl/>
              </w:rPr>
              <w:t>616 5</w:t>
            </w:r>
          </w:p>
        </w:tc>
      </w:tr>
      <w:tr w:rsidR="00443EC1" w:rsidTr="00443EC1">
        <w:tblPrEx>
          <w:tblCellMar>
            <w:top w:w="0" w:type="dxa"/>
            <w:bottom w:w="0" w:type="dxa"/>
          </w:tblCellMar>
        </w:tblPrEx>
        <w:trPr>
          <w:cantSplit/>
          <w:jc w:val="center"/>
        </w:trPr>
        <w:tc>
          <w:tcPr>
            <w:tcW w:w="4492" w:type="dxa"/>
          </w:tcPr>
          <w:p w:rsidR="00443EC1" w:rsidRDefault="00443EC1">
            <w:pPr>
              <w:spacing w:before="0" w:after="0" w:line="320" w:lineRule="exact"/>
              <w:jc w:val="both"/>
              <w:rPr>
                <w:rFonts w:hint="cs"/>
              </w:rPr>
            </w:pPr>
            <w:r>
              <w:rPr>
                <w:rFonts w:hint="cs"/>
                <w:rtl/>
              </w:rPr>
              <w:t>الحصبة</w:t>
            </w:r>
          </w:p>
        </w:tc>
        <w:tc>
          <w:tcPr>
            <w:tcW w:w="1652" w:type="dxa"/>
          </w:tcPr>
          <w:p w:rsidR="00443EC1" w:rsidRDefault="00443EC1">
            <w:pPr>
              <w:spacing w:before="0" w:after="0" w:line="320" w:lineRule="exact"/>
              <w:ind w:firstLine="298"/>
              <w:jc w:val="both"/>
              <w:rPr>
                <w:rFonts w:hint="cs"/>
              </w:rPr>
            </w:pPr>
            <w:r>
              <w:rPr>
                <w:rFonts w:hint="cs"/>
                <w:rtl/>
              </w:rPr>
              <w:t>723 3</w:t>
            </w:r>
          </w:p>
        </w:tc>
        <w:tc>
          <w:tcPr>
            <w:tcW w:w="1652" w:type="dxa"/>
          </w:tcPr>
          <w:p w:rsidR="00443EC1" w:rsidRDefault="00443EC1">
            <w:pPr>
              <w:spacing w:before="0" w:after="0" w:line="320" w:lineRule="exact"/>
              <w:ind w:firstLine="298"/>
              <w:jc w:val="both"/>
              <w:rPr>
                <w:rFonts w:hint="cs"/>
              </w:rPr>
            </w:pPr>
            <w:r>
              <w:rPr>
                <w:rFonts w:hint="cs"/>
                <w:rtl/>
              </w:rPr>
              <w:t>823 3</w:t>
            </w:r>
          </w:p>
        </w:tc>
        <w:tc>
          <w:tcPr>
            <w:tcW w:w="1652" w:type="dxa"/>
          </w:tcPr>
          <w:p w:rsidR="00443EC1" w:rsidRDefault="00443EC1">
            <w:pPr>
              <w:spacing w:before="0" w:after="0" w:line="320" w:lineRule="exact"/>
              <w:ind w:firstLine="298"/>
              <w:jc w:val="both"/>
              <w:rPr>
                <w:rFonts w:hint="cs"/>
              </w:rPr>
            </w:pPr>
            <w:r>
              <w:rPr>
                <w:rFonts w:hint="cs"/>
                <w:rtl/>
              </w:rPr>
              <w:t>486 3</w:t>
            </w:r>
          </w:p>
        </w:tc>
      </w:tr>
      <w:tr w:rsidR="00443EC1" w:rsidTr="00443EC1">
        <w:tblPrEx>
          <w:tblCellMar>
            <w:top w:w="0" w:type="dxa"/>
            <w:bottom w:w="0" w:type="dxa"/>
          </w:tblCellMar>
        </w:tblPrEx>
        <w:trPr>
          <w:cantSplit/>
          <w:jc w:val="center"/>
        </w:trPr>
        <w:tc>
          <w:tcPr>
            <w:tcW w:w="4492" w:type="dxa"/>
          </w:tcPr>
          <w:p w:rsidR="00443EC1" w:rsidRDefault="00443EC1">
            <w:pPr>
              <w:spacing w:before="0" w:after="0" w:line="320" w:lineRule="exact"/>
              <w:jc w:val="both"/>
              <w:rPr>
                <w:rFonts w:hint="cs"/>
              </w:rPr>
            </w:pPr>
            <w:r>
              <w:rPr>
                <w:rFonts w:hint="cs"/>
                <w:rtl/>
              </w:rPr>
              <w:t>لقاح "بي.سي.جي" ضد السل</w:t>
            </w:r>
          </w:p>
        </w:tc>
        <w:tc>
          <w:tcPr>
            <w:tcW w:w="1652" w:type="dxa"/>
          </w:tcPr>
          <w:p w:rsidR="00443EC1" w:rsidRDefault="00443EC1">
            <w:pPr>
              <w:spacing w:before="0" w:after="0" w:line="320" w:lineRule="exact"/>
              <w:ind w:firstLine="298"/>
              <w:jc w:val="both"/>
              <w:rPr>
                <w:rFonts w:hint="cs"/>
              </w:rPr>
            </w:pPr>
            <w:r>
              <w:rPr>
                <w:rFonts w:hint="cs"/>
                <w:rtl/>
              </w:rPr>
              <w:t>315 4</w:t>
            </w:r>
          </w:p>
        </w:tc>
        <w:tc>
          <w:tcPr>
            <w:tcW w:w="1652" w:type="dxa"/>
          </w:tcPr>
          <w:p w:rsidR="00443EC1" w:rsidRDefault="00443EC1">
            <w:pPr>
              <w:spacing w:before="0" w:after="0" w:line="320" w:lineRule="exact"/>
              <w:ind w:firstLine="298"/>
              <w:jc w:val="both"/>
              <w:rPr>
                <w:rFonts w:hint="cs"/>
              </w:rPr>
            </w:pPr>
            <w:r>
              <w:rPr>
                <w:rFonts w:hint="cs"/>
                <w:rtl/>
              </w:rPr>
              <w:t>440 4</w:t>
            </w:r>
          </w:p>
        </w:tc>
        <w:tc>
          <w:tcPr>
            <w:tcW w:w="1652" w:type="dxa"/>
          </w:tcPr>
          <w:p w:rsidR="00443EC1" w:rsidRDefault="00443EC1">
            <w:pPr>
              <w:spacing w:before="0" w:after="0" w:line="320" w:lineRule="exact"/>
              <w:ind w:firstLine="298"/>
              <w:jc w:val="both"/>
              <w:rPr>
                <w:rFonts w:hint="cs"/>
              </w:rPr>
            </w:pPr>
            <w:r>
              <w:rPr>
                <w:rFonts w:hint="cs"/>
                <w:rtl/>
              </w:rPr>
              <w:t>902 1</w:t>
            </w:r>
          </w:p>
        </w:tc>
      </w:tr>
      <w:tr w:rsidR="00443EC1" w:rsidTr="00443EC1">
        <w:tblPrEx>
          <w:tblCellMar>
            <w:top w:w="0" w:type="dxa"/>
            <w:bottom w:w="0" w:type="dxa"/>
          </w:tblCellMar>
        </w:tblPrEx>
        <w:trPr>
          <w:cantSplit/>
          <w:jc w:val="center"/>
        </w:trPr>
        <w:tc>
          <w:tcPr>
            <w:tcW w:w="4492" w:type="dxa"/>
          </w:tcPr>
          <w:p w:rsidR="00443EC1" w:rsidRDefault="00443EC1">
            <w:pPr>
              <w:spacing w:before="0" w:after="0" w:line="320" w:lineRule="exact"/>
              <w:jc w:val="both"/>
              <w:rPr>
                <w:rFonts w:hint="cs"/>
              </w:rPr>
            </w:pPr>
            <w:r>
              <w:rPr>
                <w:rFonts w:hint="cs"/>
                <w:rtl/>
              </w:rPr>
              <w:t>الحصبة الألمانية</w:t>
            </w:r>
          </w:p>
        </w:tc>
        <w:tc>
          <w:tcPr>
            <w:tcW w:w="1652" w:type="dxa"/>
          </w:tcPr>
          <w:p w:rsidR="00443EC1" w:rsidRDefault="00443EC1">
            <w:pPr>
              <w:spacing w:before="0" w:after="0" w:line="320" w:lineRule="exact"/>
              <w:ind w:firstLine="298"/>
              <w:jc w:val="both"/>
              <w:rPr>
                <w:rFonts w:hint="cs"/>
              </w:rPr>
            </w:pPr>
            <w:r>
              <w:rPr>
                <w:rFonts w:hint="cs"/>
                <w:rtl/>
              </w:rPr>
              <w:t>993</w:t>
            </w:r>
          </w:p>
        </w:tc>
        <w:tc>
          <w:tcPr>
            <w:tcW w:w="1652" w:type="dxa"/>
          </w:tcPr>
          <w:p w:rsidR="00443EC1" w:rsidRDefault="00443EC1">
            <w:pPr>
              <w:spacing w:before="0" w:after="0" w:line="320" w:lineRule="exact"/>
              <w:ind w:firstLine="298"/>
              <w:jc w:val="both"/>
              <w:rPr>
                <w:rFonts w:hint="cs"/>
              </w:rPr>
            </w:pPr>
            <w:r>
              <w:rPr>
                <w:rFonts w:hint="cs"/>
                <w:rtl/>
              </w:rPr>
              <w:t>41</w:t>
            </w:r>
          </w:p>
        </w:tc>
        <w:tc>
          <w:tcPr>
            <w:tcW w:w="1652" w:type="dxa"/>
          </w:tcPr>
          <w:p w:rsidR="00443EC1" w:rsidRDefault="00443EC1">
            <w:pPr>
              <w:spacing w:before="0" w:after="0" w:line="320" w:lineRule="exact"/>
              <w:ind w:firstLine="298"/>
              <w:jc w:val="both"/>
              <w:rPr>
                <w:rFonts w:hint="cs"/>
              </w:rPr>
            </w:pPr>
            <w:r>
              <w:rPr>
                <w:rFonts w:hint="cs"/>
                <w:rtl/>
              </w:rPr>
              <w:t>20</w:t>
            </w:r>
          </w:p>
        </w:tc>
      </w:tr>
      <w:tr w:rsidR="00443EC1" w:rsidTr="00443EC1">
        <w:tblPrEx>
          <w:tblCellMar>
            <w:top w:w="0" w:type="dxa"/>
            <w:bottom w:w="0" w:type="dxa"/>
          </w:tblCellMar>
        </w:tblPrEx>
        <w:trPr>
          <w:cantSplit/>
          <w:jc w:val="center"/>
        </w:trPr>
        <w:tc>
          <w:tcPr>
            <w:tcW w:w="4492" w:type="dxa"/>
          </w:tcPr>
          <w:p w:rsidR="00443EC1" w:rsidRDefault="00443EC1">
            <w:pPr>
              <w:spacing w:before="0" w:after="0" w:line="320" w:lineRule="exact"/>
              <w:jc w:val="both"/>
              <w:rPr>
                <w:rFonts w:hint="cs"/>
              </w:rPr>
            </w:pPr>
            <w:r>
              <w:rPr>
                <w:rFonts w:hint="cs"/>
                <w:rtl/>
              </w:rPr>
              <w:t>الحصبة والنكاف والحصبة الألمانية</w:t>
            </w:r>
          </w:p>
        </w:tc>
        <w:tc>
          <w:tcPr>
            <w:tcW w:w="1652" w:type="dxa"/>
          </w:tcPr>
          <w:p w:rsidR="00443EC1" w:rsidRDefault="00443EC1">
            <w:pPr>
              <w:spacing w:before="0" w:after="0" w:line="320" w:lineRule="exact"/>
              <w:ind w:firstLine="298"/>
              <w:jc w:val="both"/>
              <w:rPr>
                <w:rFonts w:hint="cs"/>
              </w:rPr>
            </w:pPr>
            <w:r>
              <w:rPr>
                <w:rFonts w:hint="cs"/>
                <w:rtl/>
              </w:rPr>
              <w:t>158 14</w:t>
            </w:r>
          </w:p>
        </w:tc>
        <w:tc>
          <w:tcPr>
            <w:tcW w:w="1652" w:type="dxa"/>
          </w:tcPr>
          <w:p w:rsidR="00443EC1" w:rsidRDefault="00443EC1">
            <w:pPr>
              <w:spacing w:before="0" w:after="0" w:line="320" w:lineRule="exact"/>
              <w:ind w:firstLine="298"/>
              <w:jc w:val="both"/>
              <w:rPr>
                <w:rFonts w:hint="cs"/>
              </w:rPr>
            </w:pPr>
            <w:r>
              <w:rPr>
                <w:rFonts w:hint="cs"/>
                <w:rtl/>
              </w:rPr>
              <w:t>330 14</w:t>
            </w:r>
          </w:p>
        </w:tc>
        <w:tc>
          <w:tcPr>
            <w:tcW w:w="1652" w:type="dxa"/>
          </w:tcPr>
          <w:p w:rsidR="00443EC1" w:rsidRDefault="00443EC1">
            <w:pPr>
              <w:spacing w:before="0" w:after="0" w:line="320" w:lineRule="exact"/>
              <w:ind w:firstLine="298"/>
              <w:jc w:val="both"/>
              <w:rPr>
                <w:rFonts w:hint="cs"/>
              </w:rPr>
            </w:pPr>
            <w:r>
              <w:rPr>
                <w:rFonts w:hint="cs"/>
                <w:rtl/>
              </w:rPr>
              <w:t>962 15</w:t>
            </w:r>
          </w:p>
        </w:tc>
      </w:tr>
      <w:tr w:rsidR="00443EC1" w:rsidTr="00443EC1">
        <w:tblPrEx>
          <w:tblCellMar>
            <w:top w:w="0" w:type="dxa"/>
            <w:bottom w:w="0" w:type="dxa"/>
          </w:tblCellMar>
        </w:tblPrEx>
        <w:trPr>
          <w:cantSplit/>
          <w:jc w:val="center"/>
        </w:trPr>
        <w:tc>
          <w:tcPr>
            <w:tcW w:w="4492" w:type="dxa"/>
          </w:tcPr>
          <w:p w:rsidR="00443EC1" w:rsidRDefault="00443EC1">
            <w:pPr>
              <w:spacing w:before="0" w:after="0" w:line="320" w:lineRule="exact"/>
              <w:jc w:val="both"/>
            </w:pPr>
            <w:r>
              <w:rPr>
                <w:rFonts w:hint="cs"/>
                <w:rtl/>
              </w:rPr>
              <w:t>الخناق والتيتانوس والسعال الديكي (لقاح ثلاثي)</w:t>
            </w:r>
          </w:p>
        </w:tc>
        <w:tc>
          <w:tcPr>
            <w:tcW w:w="1652" w:type="dxa"/>
          </w:tcPr>
          <w:p w:rsidR="00443EC1" w:rsidRDefault="00443EC1">
            <w:pPr>
              <w:spacing w:before="0" w:after="0" w:line="320" w:lineRule="exact"/>
              <w:ind w:firstLine="298"/>
              <w:jc w:val="both"/>
              <w:rPr>
                <w:rFonts w:hint="cs"/>
              </w:rPr>
            </w:pPr>
            <w:r>
              <w:rPr>
                <w:rFonts w:hint="cs"/>
                <w:rtl/>
              </w:rPr>
              <w:t>500 15</w:t>
            </w:r>
          </w:p>
        </w:tc>
        <w:tc>
          <w:tcPr>
            <w:tcW w:w="1652" w:type="dxa"/>
          </w:tcPr>
          <w:p w:rsidR="00443EC1" w:rsidRDefault="00443EC1">
            <w:pPr>
              <w:spacing w:before="0" w:after="0" w:line="320" w:lineRule="exact"/>
              <w:ind w:firstLine="298"/>
              <w:jc w:val="both"/>
              <w:rPr>
                <w:rFonts w:hint="cs"/>
              </w:rPr>
            </w:pPr>
            <w:r>
              <w:rPr>
                <w:rFonts w:hint="cs"/>
                <w:rtl/>
              </w:rPr>
              <w:t>367 14</w:t>
            </w:r>
          </w:p>
        </w:tc>
        <w:tc>
          <w:tcPr>
            <w:tcW w:w="1652" w:type="dxa"/>
          </w:tcPr>
          <w:p w:rsidR="00443EC1" w:rsidRDefault="00443EC1">
            <w:pPr>
              <w:spacing w:before="0" w:after="0" w:line="320" w:lineRule="exact"/>
              <w:ind w:firstLine="298"/>
              <w:jc w:val="both"/>
              <w:rPr>
                <w:rFonts w:hint="cs"/>
              </w:rPr>
            </w:pPr>
            <w:r>
              <w:rPr>
                <w:rFonts w:hint="cs"/>
                <w:rtl/>
              </w:rPr>
              <w:t>618 13</w:t>
            </w:r>
          </w:p>
        </w:tc>
      </w:tr>
      <w:tr w:rsidR="00443EC1" w:rsidTr="00443EC1">
        <w:tblPrEx>
          <w:tblCellMar>
            <w:top w:w="0" w:type="dxa"/>
            <w:bottom w:w="0" w:type="dxa"/>
          </w:tblCellMar>
        </w:tblPrEx>
        <w:trPr>
          <w:cantSplit/>
          <w:jc w:val="center"/>
        </w:trPr>
        <w:tc>
          <w:tcPr>
            <w:tcW w:w="4492" w:type="dxa"/>
          </w:tcPr>
          <w:p w:rsidR="00443EC1" w:rsidRDefault="00443EC1">
            <w:pPr>
              <w:spacing w:before="0" w:after="0" w:line="320" w:lineRule="exact"/>
              <w:jc w:val="both"/>
              <w:rPr>
                <w:rFonts w:hint="cs"/>
              </w:rPr>
            </w:pPr>
            <w:r>
              <w:rPr>
                <w:rFonts w:hint="cs"/>
                <w:rtl/>
              </w:rPr>
              <w:t>لقاح شلل الأطفال</w:t>
            </w:r>
          </w:p>
        </w:tc>
        <w:tc>
          <w:tcPr>
            <w:tcW w:w="1652" w:type="dxa"/>
          </w:tcPr>
          <w:p w:rsidR="00443EC1" w:rsidRDefault="00443EC1">
            <w:pPr>
              <w:spacing w:before="0" w:after="0" w:line="320" w:lineRule="exact"/>
              <w:ind w:firstLine="298"/>
              <w:jc w:val="both"/>
              <w:rPr>
                <w:rFonts w:hint="cs"/>
              </w:rPr>
            </w:pPr>
            <w:r>
              <w:rPr>
                <w:rFonts w:hint="cs"/>
                <w:rtl/>
              </w:rPr>
              <w:t>321 24</w:t>
            </w:r>
          </w:p>
        </w:tc>
        <w:tc>
          <w:tcPr>
            <w:tcW w:w="1652" w:type="dxa"/>
          </w:tcPr>
          <w:p w:rsidR="00443EC1" w:rsidRDefault="00443EC1">
            <w:pPr>
              <w:spacing w:before="0" w:after="0" w:line="320" w:lineRule="exact"/>
              <w:ind w:firstLine="298"/>
              <w:jc w:val="both"/>
              <w:rPr>
                <w:rFonts w:hint="cs"/>
              </w:rPr>
            </w:pPr>
            <w:r>
              <w:rPr>
                <w:rFonts w:hint="cs"/>
                <w:rtl/>
              </w:rPr>
              <w:t>773 22</w:t>
            </w:r>
          </w:p>
        </w:tc>
        <w:tc>
          <w:tcPr>
            <w:tcW w:w="1652" w:type="dxa"/>
          </w:tcPr>
          <w:p w:rsidR="00443EC1" w:rsidRDefault="00443EC1">
            <w:pPr>
              <w:spacing w:before="0" w:after="0" w:line="320" w:lineRule="exact"/>
              <w:ind w:firstLine="298"/>
              <w:jc w:val="both"/>
              <w:rPr>
                <w:rFonts w:hint="cs"/>
              </w:rPr>
            </w:pPr>
            <w:r>
              <w:rPr>
                <w:rFonts w:hint="cs"/>
                <w:rtl/>
              </w:rPr>
              <w:t>941 21</w:t>
            </w:r>
          </w:p>
        </w:tc>
      </w:tr>
      <w:tr w:rsidR="00443EC1" w:rsidTr="00443EC1">
        <w:tblPrEx>
          <w:tblCellMar>
            <w:top w:w="0" w:type="dxa"/>
            <w:bottom w:w="0" w:type="dxa"/>
          </w:tblCellMar>
        </w:tblPrEx>
        <w:trPr>
          <w:cantSplit/>
          <w:jc w:val="center"/>
        </w:trPr>
        <w:tc>
          <w:tcPr>
            <w:tcW w:w="4492" w:type="dxa"/>
          </w:tcPr>
          <w:p w:rsidR="00443EC1" w:rsidRDefault="00443EC1">
            <w:pPr>
              <w:spacing w:before="0" w:after="0" w:line="320" w:lineRule="exact"/>
              <w:jc w:val="both"/>
              <w:rPr>
                <w:rFonts w:hint="cs"/>
              </w:rPr>
            </w:pPr>
            <w:r>
              <w:rPr>
                <w:rFonts w:hint="cs"/>
                <w:rtl/>
              </w:rPr>
              <w:t>التيتانوس</w:t>
            </w:r>
          </w:p>
        </w:tc>
        <w:tc>
          <w:tcPr>
            <w:tcW w:w="1652" w:type="dxa"/>
          </w:tcPr>
          <w:p w:rsidR="00443EC1" w:rsidRDefault="00443EC1">
            <w:pPr>
              <w:spacing w:before="0" w:after="0" w:line="320" w:lineRule="exact"/>
              <w:ind w:firstLine="298"/>
              <w:jc w:val="both"/>
              <w:rPr>
                <w:rFonts w:hint="cs"/>
              </w:rPr>
            </w:pPr>
            <w:r>
              <w:rPr>
                <w:rFonts w:hint="cs"/>
                <w:rtl/>
              </w:rPr>
              <w:t>275 21</w:t>
            </w:r>
          </w:p>
        </w:tc>
        <w:tc>
          <w:tcPr>
            <w:tcW w:w="1652" w:type="dxa"/>
          </w:tcPr>
          <w:p w:rsidR="00443EC1" w:rsidRDefault="00443EC1">
            <w:pPr>
              <w:spacing w:before="0" w:after="0" w:line="320" w:lineRule="exact"/>
              <w:ind w:firstLine="298"/>
              <w:jc w:val="both"/>
              <w:rPr>
                <w:rFonts w:hint="cs"/>
              </w:rPr>
            </w:pPr>
            <w:r>
              <w:rPr>
                <w:rFonts w:hint="cs"/>
                <w:rtl/>
              </w:rPr>
              <w:t>612 24</w:t>
            </w:r>
          </w:p>
        </w:tc>
        <w:tc>
          <w:tcPr>
            <w:tcW w:w="1652" w:type="dxa"/>
          </w:tcPr>
          <w:p w:rsidR="00443EC1" w:rsidRDefault="00443EC1">
            <w:pPr>
              <w:spacing w:before="0" w:after="0" w:line="320" w:lineRule="exact"/>
              <w:ind w:firstLine="298"/>
              <w:jc w:val="both"/>
              <w:rPr>
                <w:rFonts w:hint="cs"/>
              </w:rPr>
            </w:pPr>
            <w:r>
              <w:rPr>
                <w:rFonts w:hint="cs"/>
                <w:rtl/>
              </w:rPr>
              <w:t>797 19</w:t>
            </w:r>
          </w:p>
        </w:tc>
      </w:tr>
      <w:tr w:rsidR="00443EC1" w:rsidTr="00443EC1">
        <w:tblPrEx>
          <w:tblCellMar>
            <w:top w:w="0" w:type="dxa"/>
            <w:bottom w:w="0" w:type="dxa"/>
          </w:tblCellMar>
        </w:tblPrEx>
        <w:trPr>
          <w:cantSplit/>
          <w:jc w:val="center"/>
        </w:trPr>
        <w:tc>
          <w:tcPr>
            <w:tcW w:w="4492" w:type="dxa"/>
          </w:tcPr>
          <w:p w:rsidR="00443EC1" w:rsidRDefault="00443EC1">
            <w:pPr>
              <w:spacing w:before="0" w:after="0" w:line="320" w:lineRule="exact"/>
              <w:jc w:val="both"/>
              <w:rPr>
                <w:rFonts w:hint="cs"/>
              </w:rPr>
            </w:pPr>
            <w:r>
              <w:rPr>
                <w:rFonts w:hint="cs"/>
                <w:rtl/>
              </w:rPr>
              <w:t>الحمى الصفراء</w:t>
            </w:r>
          </w:p>
        </w:tc>
        <w:tc>
          <w:tcPr>
            <w:tcW w:w="1652" w:type="dxa"/>
          </w:tcPr>
          <w:p w:rsidR="00443EC1" w:rsidRDefault="00443EC1">
            <w:pPr>
              <w:spacing w:before="0" w:after="0" w:line="320" w:lineRule="exact"/>
              <w:ind w:firstLine="298"/>
              <w:jc w:val="both"/>
              <w:rPr>
                <w:rFonts w:hint="cs"/>
              </w:rPr>
            </w:pPr>
            <w:r>
              <w:rPr>
                <w:rFonts w:hint="cs"/>
                <w:rtl/>
              </w:rPr>
              <w:t>5</w:t>
            </w:r>
          </w:p>
        </w:tc>
        <w:tc>
          <w:tcPr>
            <w:tcW w:w="1652" w:type="dxa"/>
          </w:tcPr>
          <w:p w:rsidR="00443EC1" w:rsidRDefault="00443EC1">
            <w:pPr>
              <w:spacing w:before="0" w:after="0" w:line="320" w:lineRule="exact"/>
              <w:ind w:firstLine="298"/>
              <w:jc w:val="both"/>
              <w:rPr>
                <w:rFonts w:hint="cs"/>
              </w:rPr>
            </w:pPr>
            <w:r>
              <w:rPr>
                <w:rFonts w:hint="cs"/>
                <w:rtl/>
              </w:rPr>
              <w:t>24</w:t>
            </w:r>
          </w:p>
        </w:tc>
        <w:tc>
          <w:tcPr>
            <w:tcW w:w="1652" w:type="dxa"/>
          </w:tcPr>
          <w:p w:rsidR="00443EC1" w:rsidRDefault="00443EC1">
            <w:pPr>
              <w:spacing w:before="0" w:after="0" w:line="320" w:lineRule="exact"/>
              <w:ind w:firstLine="298"/>
              <w:jc w:val="both"/>
              <w:rPr>
                <w:rFonts w:hint="cs"/>
              </w:rPr>
            </w:pPr>
            <w:r>
              <w:rPr>
                <w:rFonts w:hint="cs"/>
                <w:rtl/>
              </w:rPr>
              <w:t>18</w:t>
            </w:r>
          </w:p>
        </w:tc>
      </w:tr>
      <w:tr w:rsidR="00443EC1" w:rsidTr="00443EC1">
        <w:tblPrEx>
          <w:tblCellMar>
            <w:top w:w="0" w:type="dxa"/>
            <w:bottom w:w="0" w:type="dxa"/>
          </w:tblCellMar>
        </w:tblPrEx>
        <w:trPr>
          <w:cantSplit/>
          <w:jc w:val="center"/>
        </w:trPr>
        <w:tc>
          <w:tcPr>
            <w:tcW w:w="4492" w:type="dxa"/>
          </w:tcPr>
          <w:p w:rsidR="00443EC1" w:rsidRDefault="00443EC1">
            <w:pPr>
              <w:spacing w:before="0" w:after="0" w:line="320" w:lineRule="exact"/>
              <w:jc w:val="both"/>
              <w:rPr>
                <w:rtl/>
              </w:rPr>
            </w:pPr>
            <w:r>
              <w:rPr>
                <w:rFonts w:hint="cs"/>
                <w:rtl/>
              </w:rPr>
              <w:t xml:space="preserve">الالتهاب الكبدي </w:t>
            </w:r>
            <w:r>
              <w:t>A</w:t>
            </w:r>
          </w:p>
        </w:tc>
        <w:tc>
          <w:tcPr>
            <w:tcW w:w="1652" w:type="dxa"/>
          </w:tcPr>
          <w:p w:rsidR="00443EC1" w:rsidRDefault="00443EC1">
            <w:pPr>
              <w:spacing w:before="0" w:after="0" w:line="320" w:lineRule="exact"/>
              <w:ind w:firstLine="298"/>
              <w:jc w:val="both"/>
              <w:rPr>
                <w:rFonts w:hint="cs"/>
              </w:rPr>
            </w:pPr>
            <w:r>
              <w:rPr>
                <w:rFonts w:hint="cs"/>
                <w:rtl/>
              </w:rPr>
              <w:t>60</w:t>
            </w:r>
          </w:p>
        </w:tc>
        <w:tc>
          <w:tcPr>
            <w:tcW w:w="1652" w:type="dxa"/>
          </w:tcPr>
          <w:p w:rsidR="00443EC1" w:rsidRDefault="00443EC1">
            <w:pPr>
              <w:spacing w:before="0" w:after="0" w:line="320" w:lineRule="exact"/>
              <w:ind w:firstLine="298"/>
              <w:jc w:val="both"/>
              <w:rPr>
                <w:rFonts w:hint="cs"/>
              </w:rPr>
            </w:pPr>
            <w:r>
              <w:rPr>
                <w:rFonts w:hint="cs"/>
                <w:rtl/>
              </w:rPr>
              <w:t>20</w:t>
            </w:r>
          </w:p>
        </w:tc>
        <w:tc>
          <w:tcPr>
            <w:tcW w:w="1652" w:type="dxa"/>
          </w:tcPr>
          <w:p w:rsidR="00443EC1" w:rsidRDefault="00443EC1">
            <w:pPr>
              <w:spacing w:before="0" w:after="0" w:line="320" w:lineRule="exact"/>
              <w:ind w:firstLine="298"/>
              <w:jc w:val="both"/>
              <w:rPr>
                <w:rFonts w:hint="cs"/>
              </w:rPr>
            </w:pPr>
            <w:r>
              <w:rPr>
                <w:rFonts w:hint="cs"/>
                <w:rtl/>
              </w:rPr>
              <w:t>85</w:t>
            </w:r>
          </w:p>
        </w:tc>
      </w:tr>
      <w:tr w:rsidR="00443EC1" w:rsidTr="00443EC1">
        <w:tblPrEx>
          <w:tblCellMar>
            <w:top w:w="0" w:type="dxa"/>
            <w:bottom w:w="0" w:type="dxa"/>
          </w:tblCellMar>
        </w:tblPrEx>
        <w:trPr>
          <w:cantSplit/>
          <w:jc w:val="center"/>
        </w:trPr>
        <w:tc>
          <w:tcPr>
            <w:tcW w:w="4492" w:type="dxa"/>
          </w:tcPr>
          <w:p w:rsidR="00443EC1" w:rsidRDefault="00443EC1">
            <w:pPr>
              <w:spacing w:before="0" w:after="0" w:line="320" w:lineRule="exact"/>
              <w:jc w:val="both"/>
              <w:rPr>
                <w:rtl/>
              </w:rPr>
            </w:pPr>
            <w:r>
              <w:rPr>
                <w:rFonts w:hint="cs"/>
                <w:rtl/>
              </w:rPr>
              <w:t>الالتهاب الكبدي البائي</w:t>
            </w:r>
          </w:p>
        </w:tc>
        <w:tc>
          <w:tcPr>
            <w:tcW w:w="1652" w:type="dxa"/>
          </w:tcPr>
          <w:p w:rsidR="00443EC1" w:rsidRDefault="00443EC1">
            <w:pPr>
              <w:spacing w:before="0" w:after="0" w:line="320" w:lineRule="exact"/>
              <w:ind w:firstLine="298"/>
              <w:jc w:val="both"/>
              <w:rPr>
                <w:rFonts w:hint="cs"/>
              </w:rPr>
            </w:pPr>
            <w:r>
              <w:rPr>
                <w:rFonts w:hint="cs"/>
                <w:rtl/>
              </w:rPr>
              <w:t>612 25</w:t>
            </w:r>
          </w:p>
        </w:tc>
        <w:tc>
          <w:tcPr>
            <w:tcW w:w="1652" w:type="dxa"/>
          </w:tcPr>
          <w:p w:rsidR="00443EC1" w:rsidRDefault="00443EC1">
            <w:pPr>
              <w:spacing w:before="0" w:after="0" w:line="320" w:lineRule="exact"/>
              <w:ind w:firstLine="298"/>
              <w:jc w:val="both"/>
              <w:rPr>
                <w:rFonts w:hint="cs"/>
              </w:rPr>
            </w:pPr>
            <w:r>
              <w:rPr>
                <w:rFonts w:hint="cs"/>
                <w:rtl/>
              </w:rPr>
              <w:t>680 28</w:t>
            </w:r>
          </w:p>
        </w:tc>
        <w:tc>
          <w:tcPr>
            <w:tcW w:w="1652" w:type="dxa"/>
          </w:tcPr>
          <w:p w:rsidR="00443EC1" w:rsidRDefault="00443EC1">
            <w:pPr>
              <w:spacing w:before="0" w:after="0" w:line="320" w:lineRule="exact"/>
              <w:ind w:firstLine="298"/>
              <w:jc w:val="both"/>
              <w:rPr>
                <w:rFonts w:hint="cs"/>
              </w:rPr>
            </w:pPr>
            <w:r>
              <w:rPr>
                <w:rFonts w:hint="cs"/>
                <w:rtl/>
              </w:rPr>
              <w:t>271 23</w:t>
            </w:r>
          </w:p>
        </w:tc>
      </w:tr>
      <w:tr w:rsidR="00443EC1" w:rsidTr="00443EC1">
        <w:tblPrEx>
          <w:tblCellMar>
            <w:top w:w="0" w:type="dxa"/>
            <w:bottom w:w="0" w:type="dxa"/>
          </w:tblCellMar>
        </w:tblPrEx>
        <w:trPr>
          <w:cantSplit/>
          <w:jc w:val="center"/>
        </w:trPr>
        <w:tc>
          <w:tcPr>
            <w:tcW w:w="4492" w:type="dxa"/>
          </w:tcPr>
          <w:p w:rsidR="00443EC1" w:rsidRDefault="00443EC1">
            <w:pPr>
              <w:spacing w:before="0" w:after="0" w:line="320" w:lineRule="exact"/>
              <w:jc w:val="both"/>
              <w:rPr>
                <w:rFonts w:hint="cs"/>
                <w:rtl/>
              </w:rPr>
            </w:pPr>
            <w:r>
              <w:rPr>
                <w:rFonts w:hint="cs"/>
                <w:rtl/>
              </w:rPr>
              <w:t>الجديري</w:t>
            </w:r>
          </w:p>
        </w:tc>
        <w:tc>
          <w:tcPr>
            <w:tcW w:w="1652" w:type="dxa"/>
          </w:tcPr>
          <w:p w:rsidR="00443EC1" w:rsidRDefault="00443EC1">
            <w:pPr>
              <w:spacing w:before="0" w:after="0" w:line="320" w:lineRule="exact"/>
              <w:ind w:firstLine="298"/>
              <w:jc w:val="both"/>
              <w:rPr>
                <w:rFonts w:hint="cs"/>
              </w:rPr>
            </w:pPr>
            <w:r>
              <w:rPr>
                <w:rFonts w:hint="cs"/>
                <w:rtl/>
              </w:rPr>
              <w:t>2</w:t>
            </w:r>
          </w:p>
        </w:tc>
        <w:tc>
          <w:tcPr>
            <w:tcW w:w="1652" w:type="dxa"/>
          </w:tcPr>
          <w:p w:rsidR="00443EC1" w:rsidRDefault="00443EC1">
            <w:pPr>
              <w:spacing w:before="0" w:after="0" w:line="320" w:lineRule="exact"/>
              <w:ind w:firstLine="298"/>
              <w:jc w:val="both"/>
              <w:rPr>
                <w:rFonts w:hint="cs"/>
              </w:rPr>
            </w:pPr>
            <w:r>
              <w:rPr>
                <w:rFonts w:hint="cs"/>
                <w:rtl/>
              </w:rPr>
              <w:t>147</w:t>
            </w:r>
          </w:p>
        </w:tc>
        <w:tc>
          <w:tcPr>
            <w:tcW w:w="1652" w:type="dxa"/>
          </w:tcPr>
          <w:p w:rsidR="00443EC1" w:rsidRDefault="00443EC1">
            <w:pPr>
              <w:spacing w:before="0" w:after="0" w:line="320" w:lineRule="exact"/>
              <w:ind w:firstLine="298"/>
              <w:jc w:val="both"/>
              <w:rPr>
                <w:rFonts w:hint="cs"/>
              </w:rPr>
            </w:pPr>
            <w:r>
              <w:rPr>
                <w:rFonts w:hint="cs"/>
                <w:rtl/>
              </w:rPr>
              <w:t>306</w:t>
            </w:r>
          </w:p>
        </w:tc>
      </w:tr>
      <w:tr w:rsidR="00443EC1" w:rsidTr="00443EC1">
        <w:tblPrEx>
          <w:tblCellMar>
            <w:top w:w="0" w:type="dxa"/>
            <w:bottom w:w="0" w:type="dxa"/>
          </w:tblCellMar>
        </w:tblPrEx>
        <w:trPr>
          <w:cantSplit/>
          <w:jc w:val="center"/>
        </w:trPr>
        <w:tc>
          <w:tcPr>
            <w:tcW w:w="4492" w:type="dxa"/>
          </w:tcPr>
          <w:p w:rsidR="00443EC1" w:rsidRDefault="00443EC1">
            <w:pPr>
              <w:spacing w:before="0" w:after="0" w:line="320" w:lineRule="exact"/>
              <w:jc w:val="both"/>
              <w:rPr>
                <w:rFonts w:hint="cs"/>
                <w:rtl/>
              </w:rPr>
            </w:pPr>
            <w:r>
              <w:rPr>
                <w:rFonts w:hint="cs"/>
                <w:rtl/>
              </w:rPr>
              <w:t>النزلة (الإنفلونزا)</w:t>
            </w:r>
          </w:p>
        </w:tc>
        <w:tc>
          <w:tcPr>
            <w:tcW w:w="1652" w:type="dxa"/>
          </w:tcPr>
          <w:p w:rsidR="00443EC1" w:rsidRDefault="00443EC1">
            <w:pPr>
              <w:spacing w:before="0" w:after="0" w:line="320" w:lineRule="exact"/>
              <w:ind w:firstLine="298"/>
              <w:jc w:val="both"/>
              <w:rPr>
                <w:rFonts w:hint="cs"/>
              </w:rPr>
            </w:pPr>
            <w:r>
              <w:rPr>
                <w:rFonts w:hint="cs"/>
                <w:rtl/>
              </w:rPr>
              <w:t>133</w:t>
            </w:r>
          </w:p>
        </w:tc>
        <w:tc>
          <w:tcPr>
            <w:tcW w:w="1652" w:type="dxa"/>
          </w:tcPr>
          <w:p w:rsidR="00443EC1" w:rsidRDefault="00443EC1">
            <w:pPr>
              <w:spacing w:before="0" w:after="0" w:line="320" w:lineRule="exact"/>
              <w:ind w:firstLine="298"/>
              <w:jc w:val="both"/>
              <w:rPr>
                <w:rFonts w:hint="cs"/>
              </w:rPr>
            </w:pPr>
            <w:r>
              <w:rPr>
                <w:rFonts w:hint="cs"/>
                <w:rtl/>
              </w:rPr>
              <w:t>603</w:t>
            </w:r>
          </w:p>
        </w:tc>
        <w:tc>
          <w:tcPr>
            <w:tcW w:w="1652" w:type="dxa"/>
          </w:tcPr>
          <w:p w:rsidR="00443EC1" w:rsidRDefault="00443EC1">
            <w:pPr>
              <w:spacing w:before="0" w:after="0" w:line="320" w:lineRule="exact"/>
              <w:ind w:firstLine="298"/>
              <w:jc w:val="both"/>
              <w:rPr>
                <w:rFonts w:hint="cs"/>
              </w:rPr>
            </w:pPr>
            <w:r>
              <w:rPr>
                <w:rFonts w:hint="cs"/>
                <w:rtl/>
              </w:rPr>
              <w:t>221 2</w:t>
            </w:r>
          </w:p>
        </w:tc>
      </w:tr>
      <w:tr w:rsidR="00443EC1" w:rsidTr="00443EC1">
        <w:tblPrEx>
          <w:tblCellMar>
            <w:top w:w="0" w:type="dxa"/>
            <w:bottom w:w="0" w:type="dxa"/>
          </w:tblCellMar>
        </w:tblPrEx>
        <w:trPr>
          <w:cantSplit/>
          <w:jc w:val="center"/>
        </w:trPr>
        <w:tc>
          <w:tcPr>
            <w:tcW w:w="4492" w:type="dxa"/>
            <w:tcBorders>
              <w:bottom w:val="single" w:sz="4" w:space="0" w:color="auto"/>
            </w:tcBorders>
          </w:tcPr>
          <w:p w:rsidR="00443EC1" w:rsidRDefault="00443EC1">
            <w:pPr>
              <w:spacing w:before="0" w:after="0" w:line="320" w:lineRule="exact"/>
              <w:jc w:val="both"/>
              <w:rPr>
                <w:rFonts w:hint="cs"/>
                <w:rtl/>
              </w:rPr>
            </w:pPr>
            <w:r>
              <w:rPr>
                <w:rFonts w:hint="cs"/>
                <w:rtl/>
              </w:rPr>
              <w:t>غير ذلك من الأمراض</w:t>
            </w:r>
          </w:p>
        </w:tc>
        <w:tc>
          <w:tcPr>
            <w:tcW w:w="1652" w:type="dxa"/>
            <w:tcBorders>
              <w:bottom w:val="single" w:sz="4" w:space="0" w:color="auto"/>
            </w:tcBorders>
          </w:tcPr>
          <w:p w:rsidR="00443EC1" w:rsidRDefault="00443EC1">
            <w:pPr>
              <w:spacing w:before="0" w:after="0" w:line="320" w:lineRule="exact"/>
              <w:ind w:firstLine="298"/>
              <w:jc w:val="both"/>
              <w:rPr>
                <w:rFonts w:hint="cs"/>
              </w:rPr>
            </w:pPr>
            <w:r>
              <w:rPr>
                <w:rFonts w:hint="cs"/>
                <w:rtl/>
              </w:rPr>
              <w:t>201 1</w:t>
            </w:r>
          </w:p>
        </w:tc>
        <w:tc>
          <w:tcPr>
            <w:tcW w:w="1652" w:type="dxa"/>
            <w:tcBorders>
              <w:bottom w:val="single" w:sz="4" w:space="0" w:color="auto"/>
            </w:tcBorders>
          </w:tcPr>
          <w:p w:rsidR="00443EC1" w:rsidRDefault="00443EC1">
            <w:pPr>
              <w:spacing w:before="0" w:after="0" w:line="320" w:lineRule="exact"/>
              <w:ind w:firstLine="298"/>
              <w:jc w:val="both"/>
              <w:rPr>
                <w:rFonts w:hint="cs"/>
              </w:rPr>
            </w:pPr>
            <w:r>
              <w:rPr>
                <w:rFonts w:hint="cs"/>
                <w:rtl/>
              </w:rPr>
              <w:t>793 2</w:t>
            </w:r>
          </w:p>
        </w:tc>
        <w:tc>
          <w:tcPr>
            <w:tcW w:w="1652" w:type="dxa"/>
            <w:tcBorders>
              <w:bottom w:val="single" w:sz="4" w:space="0" w:color="auto"/>
            </w:tcBorders>
          </w:tcPr>
          <w:p w:rsidR="00443EC1" w:rsidRDefault="00443EC1">
            <w:pPr>
              <w:spacing w:before="0" w:after="0" w:line="320" w:lineRule="exact"/>
              <w:ind w:firstLine="298"/>
              <w:jc w:val="both"/>
              <w:rPr>
                <w:rFonts w:hint="cs"/>
              </w:rPr>
            </w:pPr>
            <w:r>
              <w:rPr>
                <w:rFonts w:hint="cs"/>
                <w:rtl/>
              </w:rPr>
              <w:t>289 5*</w:t>
            </w:r>
          </w:p>
        </w:tc>
      </w:tr>
      <w:tr w:rsidR="00443EC1" w:rsidTr="00443EC1">
        <w:tblPrEx>
          <w:tblCellMar>
            <w:top w:w="0" w:type="dxa"/>
            <w:bottom w:w="0" w:type="dxa"/>
          </w:tblCellMar>
        </w:tblPrEx>
        <w:trPr>
          <w:cantSplit/>
          <w:jc w:val="center"/>
        </w:trPr>
        <w:tc>
          <w:tcPr>
            <w:tcW w:w="4492" w:type="dxa"/>
            <w:tcBorders>
              <w:top w:val="single" w:sz="4" w:space="0" w:color="auto"/>
              <w:bottom w:val="single" w:sz="4" w:space="0" w:color="auto"/>
            </w:tcBorders>
          </w:tcPr>
          <w:p w:rsidR="00443EC1" w:rsidRDefault="00443EC1">
            <w:pPr>
              <w:spacing w:before="0" w:after="0" w:line="320" w:lineRule="exact"/>
              <w:jc w:val="both"/>
              <w:rPr>
                <w:rFonts w:hint="cs"/>
                <w:rtl/>
              </w:rPr>
            </w:pPr>
            <w:r>
              <w:rPr>
                <w:rFonts w:hint="cs"/>
                <w:rtl/>
              </w:rPr>
              <w:t>المجموع</w:t>
            </w:r>
          </w:p>
        </w:tc>
        <w:tc>
          <w:tcPr>
            <w:tcW w:w="1652" w:type="dxa"/>
            <w:tcBorders>
              <w:top w:val="single" w:sz="4" w:space="0" w:color="auto"/>
              <w:bottom w:val="single" w:sz="4" w:space="0" w:color="auto"/>
            </w:tcBorders>
          </w:tcPr>
          <w:p w:rsidR="00443EC1" w:rsidRDefault="00443EC1">
            <w:pPr>
              <w:spacing w:before="0" w:after="0" w:line="320" w:lineRule="exact"/>
              <w:ind w:firstLine="298"/>
              <w:jc w:val="both"/>
              <w:rPr>
                <w:rFonts w:hint="cs"/>
              </w:rPr>
            </w:pPr>
            <w:r>
              <w:rPr>
                <w:rFonts w:hint="cs"/>
                <w:rtl/>
              </w:rPr>
              <w:t>179 117</w:t>
            </w:r>
          </w:p>
        </w:tc>
        <w:tc>
          <w:tcPr>
            <w:tcW w:w="1652" w:type="dxa"/>
            <w:tcBorders>
              <w:top w:val="single" w:sz="4" w:space="0" w:color="auto"/>
              <w:bottom w:val="single" w:sz="4" w:space="0" w:color="auto"/>
            </w:tcBorders>
          </w:tcPr>
          <w:p w:rsidR="00443EC1" w:rsidRDefault="00443EC1">
            <w:pPr>
              <w:spacing w:before="0" w:after="0" w:line="320" w:lineRule="exact"/>
              <w:ind w:firstLine="298"/>
              <w:jc w:val="both"/>
              <w:rPr>
                <w:rFonts w:hint="cs"/>
              </w:rPr>
            </w:pPr>
            <w:r>
              <w:rPr>
                <w:rFonts w:hint="cs"/>
                <w:rtl/>
              </w:rPr>
              <w:t>602 122</w:t>
            </w:r>
          </w:p>
        </w:tc>
        <w:tc>
          <w:tcPr>
            <w:tcW w:w="1652" w:type="dxa"/>
            <w:tcBorders>
              <w:top w:val="single" w:sz="4" w:space="0" w:color="auto"/>
              <w:bottom w:val="single" w:sz="4" w:space="0" w:color="auto"/>
            </w:tcBorders>
          </w:tcPr>
          <w:p w:rsidR="00443EC1" w:rsidRDefault="00443EC1">
            <w:pPr>
              <w:spacing w:before="0" w:after="0" w:line="320" w:lineRule="exact"/>
              <w:ind w:firstLine="298"/>
              <w:jc w:val="both"/>
              <w:rPr>
                <w:rFonts w:hint="cs"/>
              </w:rPr>
            </w:pPr>
            <w:r>
              <w:rPr>
                <w:rFonts w:hint="cs"/>
                <w:rtl/>
              </w:rPr>
              <w:t>532 113</w:t>
            </w:r>
          </w:p>
        </w:tc>
      </w:tr>
    </w:tbl>
    <w:p w:rsidR="00000000" w:rsidRDefault="00443EC1">
      <w:pPr>
        <w:spacing w:before="120" w:after="120" w:line="380" w:lineRule="exact"/>
        <w:jc w:val="both"/>
        <w:rPr>
          <w:rFonts w:hint="cs"/>
          <w:rtl/>
        </w:rPr>
      </w:pPr>
      <w:r>
        <w:rPr>
          <w:rFonts w:hint="cs"/>
          <w:i/>
          <w:iCs/>
          <w:rtl/>
        </w:rPr>
        <w:tab/>
        <w:t>المصدر</w:t>
      </w:r>
      <w:r>
        <w:rPr>
          <w:rFonts w:hint="cs"/>
          <w:rtl/>
        </w:rPr>
        <w:t>: الحولية الإحصائية لعام 2001، إدارة الإحصاء والتعداد.</w:t>
      </w:r>
    </w:p>
    <w:p w:rsidR="00000000" w:rsidRDefault="00443EC1">
      <w:pPr>
        <w:spacing w:before="120" w:after="120" w:line="380" w:lineRule="exact"/>
        <w:jc w:val="both"/>
        <w:rPr>
          <w:rFonts w:hint="cs"/>
          <w:rtl/>
        </w:rPr>
      </w:pPr>
      <w:r>
        <w:rPr>
          <w:rFonts w:hint="cs"/>
          <w:rtl/>
        </w:rPr>
        <w:tab/>
        <w:t>*</w:t>
      </w:r>
      <w:r>
        <w:rPr>
          <w:rtl/>
        </w:rPr>
        <w:tab/>
      </w:r>
      <w:r>
        <w:rPr>
          <w:rFonts w:hint="cs"/>
          <w:rtl/>
        </w:rPr>
        <w:t>بما في ذلك 087 5 تلقيحاً للسل و141 مستضداً سطحياً للالتهاب الكبدي البائي.</w:t>
      </w:r>
    </w:p>
    <w:p w:rsidR="00000000" w:rsidRDefault="00443EC1">
      <w:pPr>
        <w:tabs>
          <w:tab w:val="left" w:pos="787"/>
        </w:tabs>
        <w:spacing w:line="380" w:lineRule="exact"/>
        <w:jc w:val="both"/>
        <w:rPr>
          <w:rFonts w:hint="cs"/>
          <w:rtl/>
        </w:rPr>
      </w:pPr>
      <w:r>
        <w:rPr>
          <w:rFonts w:hint="cs"/>
          <w:rtl/>
        </w:rPr>
        <w:t>1035-   يتم تناول موضوع الرع</w:t>
      </w:r>
      <w:r>
        <w:rPr>
          <w:rFonts w:hint="cs"/>
          <w:rtl/>
        </w:rPr>
        <w:t>اية الصحية للأطفال تناولا وافيا في ذلك الجزء من تقرير الصين المتعلق بتنفيذ اتفاقية حقوق الطفل في مقاطعة ماكاو الإدارية الخاصة.</w:t>
      </w:r>
    </w:p>
    <w:p w:rsidR="00000000" w:rsidRDefault="00443EC1">
      <w:pPr>
        <w:tabs>
          <w:tab w:val="left" w:pos="773"/>
        </w:tabs>
        <w:spacing w:line="380" w:lineRule="exact"/>
        <w:jc w:val="both"/>
        <w:rPr>
          <w:rFonts w:hint="cs"/>
          <w:rtl/>
        </w:rPr>
      </w:pPr>
      <w:r>
        <w:rPr>
          <w:rFonts w:hint="cs"/>
          <w:rtl/>
        </w:rPr>
        <w:t>1036-</w:t>
      </w:r>
      <w:r>
        <w:rPr>
          <w:rtl/>
        </w:rPr>
        <w:tab/>
      </w:r>
      <w:r>
        <w:rPr>
          <w:rFonts w:hint="cs"/>
          <w:rtl/>
        </w:rPr>
        <w:t xml:space="preserve">وفي عام 2001، تم إخطار سلطات الصحة العامة ب‍ 655 3 حالة من الأمراض السارية الواجبة التبليغ. وكان من بينها 490 1 حالة جديري </w:t>
      </w:r>
      <w:r>
        <w:rPr>
          <w:rFonts w:hint="cs"/>
          <w:rtl/>
        </w:rPr>
        <w:t>418 1 حالة من حمى الضنك المعروفة و410 حالة درن رئوي و92 حالة التهاب كبدي"ج" حاد.</w:t>
      </w:r>
    </w:p>
    <w:p w:rsidR="00000000" w:rsidRDefault="00443EC1">
      <w:pPr>
        <w:tabs>
          <w:tab w:val="left" w:pos="773"/>
        </w:tabs>
        <w:spacing w:line="380" w:lineRule="exact"/>
        <w:jc w:val="both"/>
        <w:rPr>
          <w:rFonts w:hint="cs"/>
          <w:rtl/>
        </w:rPr>
      </w:pPr>
      <w:r>
        <w:rPr>
          <w:rFonts w:hint="cs"/>
          <w:rtl/>
        </w:rPr>
        <w:t>1037-   ويجري تنفيذ برامج وحملات للمراقبة والتوعية بغية الوقاية من انتشار الآفات والأمراض الحيوانية مثل حمى الضنك وغير ذلك من الأنشطة البيئية والمتعلقة بالنظافة الصحية بالتنسي</w:t>
      </w:r>
      <w:r>
        <w:rPr>
          <w:rFonts w:hint="cs"/>
          <w:rtl/>
        </w:rPr>
        <w:t xml:space="preserve">ق مع وزارة الصحة من قبل عدد من الهيئات كمؤسسة الشؤون المدنية والبلدية ومجلس حماية البيئة. </w:t>
      </w:r>
    </w:p>
    <w:p w:rsidR="00000000" w:rsidRDefault="00443EC1">
      <w:pPr>
        <w:tabs>
          <w:tab w:val="left" w:pos="773"/>
        </w:tabs>
        <w:spacing w:line="380" w:lineRule="exact"/>
        <w:jc w:val="both"/>
        <w:rPr>
          <w:rFonts w:hint="cs"/>
          <w:b/>
          <w:bCs/>
          <w:rtl/>
        </w:rPr>
      </w:pPr>
      <w:r>
        <w:rPr>
          <w:rFonts w:hint="cs"/>
          <w:b/>
          <w:bCs/>
          <w:rtl/>
        </w:rPr>
        <w:t>الوقاية من فيروس نقص المناعة البشرية المكتسب/الإيدز ومكافحته</w:t>
      </w:r>
    </w:p>
    <w:p w:rsidR="00000000" w:rsidRDefault="00443EC1">
      <w:pPr>
        <w:tabs>
          <w:tab w:val="left" w:pos="773"/>
        </w:tabs>
        <w:spacing w:line="380" w:lineRule="exact"/>
        <w:jc w:val="both"/>
        <w:rPr>
          <w:rFonts w:hint="cs"/>
          <w:rtl/>
        </w:rPr>
      </w:pPr>
      <w:r>
        <w:rPr>
          <w:rFonts w:hint="cs"/>
          <w:rtl/>
        </w:rPr>
        <w:t>1038-   شهدت مقاطعة ماكاو حتى الآن نسبة انتشار منخفضة لفيروس نقص المناعة البشرية المكتسب غير أن هذا الفي</w:t>
      </w:r>
      <w:r>
        <w:rPr>
          <w:rFonts w:hint="cs"/>
          <w:rtl/>
        </w:rPr>
        <w:t>روس ما فتئ يستشري بسرعة في أرجاء آسيا. فقد نشأت بواعث قلق كبيرة عن حركة التنقل عبر الحدود الكثيرة والمتزايدة وتغير سلوك الشباب وغيرهم من المجموعات المستضعفة أو المعرضة للمخاطر. وكان على سلطات الصحة العامة أن تستجيب للوضع بتنظيم حملات توعية على مستوى رفيع ب</w:t>
      </w:r>
      <w:r>
        <w:rPr>
          <w:rFonts w:hint="cs"/>
          <w:rtl/>
        </w:rPr>
        <w:t xml:space="preserve">فيروس نقص المناعة البشرية المكتسب/الإيدز فقدمت معارف أساسية للجمهور وللمجموعات المستهدفة. كما أنها تمدّ يد المساعدة للمصابين بفيروس نقص المناعة البشرية المكتسب/ الإيدز ولأسرهم. ويعد التعليم والإعلام واستشارة المهنيين عناصر أساسية في معالجة مشكلة فيروس نقص </w:t>
      </w:r>
      <w:r>
        <w:rPr>
          <w:rFonts w:hint="cs"/>
          <w:rtl/>
        </w:rPr>
        <w:t>المناعة البشرية المكتسب/الإيدز.</w:t>
      </w:r>
    </w:p>
    <w:p w:rsidR="00000000" w:rsidRDefault="00443EC1">
      <w:pPr>
        <w:tabs>
          <w:tab w:val="left" w:pos="773"/>
        </w:tabs>
        <w:spacing w:line="380" w:lineRule="exact"/>
        <w:jc w:val="both"/>
        <w:rPr>
          <w:rFonts w:hint="cs"/>
          <w:rtl/>
        </w:rPr>
      </w:pPr>
      <w:r>
        <w:rPr>
          <w:rFonts w:hint="cs"/>
          <w:rtl/>
        </w:rPr>
        <w:t>1039-   وفي عامي 2002 و2003، أطلقت وزارة الصحة حملة (في إطار اليوم العالمي لمكافحة الإيدز) بالتنسيق مع مؤسسات أخرى ترتكز على مبدأ عدم التمييز وحماية حقوق الإنسان الأساسية للمصابين بفيروس نقص المناعة البشرية المكتسب/الإيدز. و</w:t>
      </w:r>
      <w:r>
        <w:rPr>
          <w:rFonts w:hint="cs"/>
          <w:rtl/>
        </w:rPr>
        <w:t>الغاية من ذلك رعرعة الإحساس بالتضامن والاحترام بين أفراد المجتمع وتعزيز رعاية المرضى المصابين بفيروس نقص المناعة البشرية المكتسب/الإيدز.</w:t>
      </w:r>
    </w:p>
    <w:p w:rsidR="00000000" w:rsidRDefault="00443EC1">
      <w:pPr>
        <w:tabs>
          <w:tab w:val="left" w:pos="773"/>
        </w:tabs>
        <w:spacing w:line="380" w:lineRule="exact"/>
        <w:jc w:val="both"/>
        <w:rPr>
          <w:rFonts w:hint="cs"/>
          <w:rtl/>
        </w:rPr>
      </w:pPr>
      <w:r>
        <w:rPr>
          <w:rFonts w:hint="cs"/>
          <w:rtl/>
        </w:rPr>
        <w:t>1040-   وحتى نهاية تشرين الأول/أكتوبر 2002، تم الإبلاغ عن 255 حالة تمثل العدد الإجمالي للإصابات بفيروس نقص المناعة البش</w:t>
      </w:r>
      <w:r>
        <w:rPr>
          <w:rFonts w:hint="cs"/>
          <w:rtl/>
        </w:rPr>
        <w:t>رية المكتسب في منطقة ماكاو الإدارية الخاصة، تطورت 21 حالة من بينها إلى مرض الإيدز وهي تحت مراقبة سلطات الصحة العامة.</w:t>
      </w:r>
    </w:p>
    <w:p w:rsidR="00000000" w:rsidRDefault="00443EC1">
      <w:pPr>
        <w:tabs>
          <w:tab w:val="left" w:pos="773"/>
        </w:tabs>
        <w:spacing w:line="380" w:lineRule="exact"/>
        <w:jc w:val="both"/>
        <w:rPr>
          <w:rFonts w:hint="cs"/>
          <w:rtl/>
        </w:rPr>
      </w:pPr>
      <w:r>
        <w:rPr>
          <w:rFonts w:hint="cs"/>
          <w:rtl/>
        </w:rPr>
        <w:t>1041-   أغلب المصابين بفيروس نقص المناعة البشرية المكتسب هم من المقيمين المؤقتين العاملين في ميدان الترفيه (67.8 في المائة). وينتقل المرض أ</w:t>
      </w:r>
      <w:r>
        <w:rPr>
          <w:rFonts w:hint="cs"/>
          <w:rtl/>
        </w:rPr>
        <w:t>ساسا بالاتصال الجنسي (78.4 في المائة) مع غلبة الاتصال الجنسي بين المتغايرين جنسيا (69.4 في المائة) يليه الاتصال الجنسي بين المتماثلين جنسيا (9 في المائة) ثم الانتقال بالحقن في الوريد ما بين مدمني المخدرات (5.1 في المائة).</w:t>
      </w:r>
    </w:p>
    <w:p w:rsidR="00000000" w:rsidRDefault="00443EC1">
      <w:pPr>
        <w:tabs>
          <w:tab w:val="left" w:pos="773"/>
        </w:tabs>
        <w:spacing w:line="380" w:lineRule="exact"/>
        <w:jc w:val="both"/>
        <w:rPr>
          <w:rFonts w:hint="cs"/>
          <w:rtl/>
        </w:rPr>
      </w:pPr>
      <w:r>
        <w:rPr>
          <w:rFonts w:hint="cs"/>
          <w:rtl/>
        </w:rPr>
        <w:t>1042-   وأنشئت مؤخرا وحدات خاصة في</w:t>
      </w:r>
      <w:r>
        <w:rPr>
          <w:rFonts w:hint="cs"/>
          <w:rtl/>
        </w:rPr>
        <w:t xml:space="preserve"> مختبر الصحة العامة وفي وزارة الصحة. وأنشئ خط هاتف مباشر خاص بمرض الإيدز لتقديم المشورة والدعم النفسي والاجتماعي للمصابين بفيروس نقص المناعة البشرية المكتسب/الإيدز ولأسرهم. كما تم تيسير الحصول على الخدمات الاستشارية والحصص التعليمية والمساعدة من الأخصائيين</w:t>
      </w:r>
      <w:r>
        <w:rPr>
          <w:rFonts w:hint="cs"/>
          <w:rtl/>
        </w:rPr>
        <w:t xml:space="preserve"> الاجتماعيين ومن مؤسسة الرعاية الاجتماعية قبل إجراء الفحص وبعده. وتحاط فحوص تحري فيروس نقص المناعة البشرية بالسرية وتجرى مجاناً.</w:t>
      </w:r>
    </w:p>
    <w:p w:rsidR="00000000" w:rsidRDefault="00443EC1">
      <w:pPr>
        <w:tabs>
          <w:tab w:val="left" w:pos="773"/>
        </w:tabs>
        <w:spacing w:line="380" w:lineRule="exact"/>
        <w:jc w:val="both"/>
        <w:rPr>
          <w:rFonts w:hint="cs"/>
          <w:b/>
          <w:bCs/>
          <w:rtl/>
        </w:rPr>
      </w:pPr>
      <w:r>
        <w:rPr>
          <w:rFonts w:hint="cs"/>
          <w:b/>
          <w:bCs/>
          <w:rtl/>
        </w:rPr>
        <w:t>إدمان المخدرات</w:t>
      </w:r>
    </w:p>
    <w:p w:rsidR="00000000" w:rsidRDefault="00443EC1">
      <w:pPr>
        <w:tabs>
          <w:tab w:val="left" w:pos="773"/>
        </w:tabs>
        <w:spacing w:line="380" w:lineRule="exact"/>
        <w:jc w:val="both"/>
        <w:rPr>
          <w:rFonts w:hint="cs"/>
          <w:rtl/>
        </w:rPr>
      </w:pPr>
      <w:r>
        <w:rPr>
          <w:rFonts w:hint="cs"/>
          <w:rtl/>
        </w:rPr>
        <w:t xml:space="preserve">1043-   يمثل إدمان المخدرات مشكلة كبرى. وقد تبنت حكومة مقاطعة ماكاو الإدارية الخاصة نهجا متوازنا </w:t>
      </w:r>
      <w:r>
        <w:rPr>
          <w:rFonts w:hint="cs"/>
          <w:spacing w:val="0"/>
          <w:rtl/>
        </w:rPr>
        <w:t>ومتكاملا للتصدي</w:t>
      </w:r>
      <w:r>
        <w:rPr>
          <w:rFonts w:hint="cs"/>
          <w:spacing w:val="0"/>
          <w:rtl/>
        </w:rPr>
        <w:t xml:space="preserve"> لمشكلة المخدرات ترتكز من ناحية على الوقاية واتخاذ تدابير للحد من المخاطر/ الضرر وتوفير برامج علاج لمدمني المخدرات، ومن ناحية أخرى على تعزيز المراقبة وتطبيق القانون لمكافحة الاتجار غير المشروع بالمخدرات.</w:t>
      </w:r>
    </w:p>
    <w:p w:rsidR="00000000" w:rsidRDefault="00443EC1">
      <w:pPr>
        <w:tabs>
          <w:tab w:val="left" w:pos="773"/>
        </w:tabs>
        <w:spacing w:line="380" w:lineRule="exact"/>
        <w:jc w:val="both"/>
        <w:rPr>
          <w:rFonts w:hint="cs"/>
          <w:rtl/>
        </w:rPr>
      </w:pPr>
      <w:r>
        <w:rPr>
          <w:rFonts w:hint="cs"/>
          <w:rtl/>
        </w:rPr>
        <w:t>1044-   وتقدَّم لمدمني المخدرات خدمة طبية مجانية تشم</w:t>
      </w:r>
      <w:r>
        <w:rPr>
          <w:rFonts w:hint="cs"/>
          <w:rtl/>
        </w:rPr>
        <w:t>ل الفحوص الطبية لتحري وجود أي أمراض معدية (كفيروس نقص المناعة البشرية والالتهاب الكبدي البائي والتهاب الكبد "</w:t>
      </w:r>
      <w:r>
        <w:t>C</w:t>
      </w:r>
      <w:r>
        <w:rPr>
          <w:rFonts w:hint="cs"/>
          <w:rtl/>
        </w:rPr>
        <w:t>" والتدرن) وغير ذلك من الفحوص الكيميائية الحيوية (كفحوص الدم والبول وبرامج العلاج وإعادة التأهيل).</w:t>
      </w:r>
    </w:p>
    <w:p w:rsidR="00000000" w:rsidRDefault="00443EC1">
      <w:pPr>
        <w:tabs>
          <w:tab w:val="left" w:pos="773"/>
        </w:tabs>
        <w:spacing w:line="380" w:lineRule="exact"/>
        <w:jc w:val="both"/>
        <w:rPr>
          <w:rFonts w:hint="cs"/>
          <w:rtl/>
        </w:rPr>
      </w:pPr>
      <w:r>
        <w:rPr>
          <w:rFonts w:hint="cs"/>
          <w:rtl/>
        </w:rPr>
        <w:t>1045-   وإن وضع المدمنين الصحي لأسوأ بكثير من ا</w:t>
      </w:r>
      <w:r>
        <w:rPr>
          <w:rFonts w:hint="cs"/>
          <w:rtl/>
        </w:rPr>
        <w:t>لوضع الصحي لغالبية السكان، وهو ما تبينه النسب الأعلى للإصابة بالالتهاب الكبدي البائي وبالتهاب الكبد "</w:t>
      </w:r>
      <w:r>
        <w:t>C</w:t>
      </w:r>
      <w:r>
        <w:rPr>
          <w:rFonts w:hint="cs"/>
          <w:rtl/>
        </w:rPr>
        <w:t>" وبالأمراض المنقولة جنسيا في أوساط مستعملي المخدرات بالحقن في الوريد وغير ذلك من الأمراض العضوية المعدية.</w:t>
      </w:r>
    </w:p>
    <w:p w:rsidR="00000000" w:rsidRDefault="00443EC1">
      <w:pPr>
        <w:tabs>
          <w:tab w:val="left" w:pos="773"/>
        </w:tabs>
        <w:spacing w:line="380" w:lineRule="exact"/>
        <w:jc w:val="both"/>
        <w:rPr>
          <w:rFonts w:hint="cs"/>
          <w:rtl/>
        </w:rPr>
      </w:pPr>
      <w:r>
        <w:rPr>
          <w:rFonts w:hint="cs"/>
          <w:rtl/>
        </w:rPr>
        <w:t>1046-   وتُنفذ برامج الحد من الضرر، بما فيها ال</w:t>
      </w:r>
      <w:r>
        <w:rPr>
          <w:rFonts w:hint="cs"/>
          <w:rtl/>
        </w:rPr>
        <w:t xml:space="preserve">وقاية من الاشتراك في استعمال إبر الحقن والممارسات الجنسية </w:t>
      </w:r>
      <w:r>
        <w:rPr>
          <w:rFonts w:hint="cs"/>
          <w:spacing w:val="0"/>
          <w:rtl/>
        </w:rPr>
        <w:t>الآمنة، في معظم برامج العلاج. والمراد بتلك التدابير تقليص معدل انتقال الأمراض المعدية داخل هذه المجموعة ورصدها.</w:t>
      </w:r>
    </w:p>
    <w:p w:rsidR="00000000" w:rsidRDefault="00443EC1">
      <w:pPr>
        <w:tabs>
          <w:tab w:val="left" w:pos="773"/>
        </w:tabs>
        <w:spacing w:line="380" w:lineRule="exact"/>
        <w:jc w:val="both"/>
        <w:rPr>
          <w:rFonts w:hint="cs"/>
          <w:rtl/>
        </w:rPr>
      </w:pPr>
      <w:r>
        <w:rPr>
          <w:rFonts w:hint="cs"/>
          <w:rtl/>
        </w:rPr>
        <w:t>1047-   و</w:t>
      </w:r>
      <w:r>
        <w:rPr>
          <w:rtl/>
        </w:rPr>
        <w:t>جميع التدابير المذكورة آنفا لا تطب</w:t>
      </w:r>
      <w:r>
        <w:rPr>
          <w:rFonts w:hint="cs"/>
          <w:rtl/>
        </w:rPr>
        <w:t>َّ</w:t>
      </w:r>
      <w:r>
        <w:rPr>
          <w:rtl/>
        </w:rPr>
        <w:t>ق إلا على المدمنين الذين يسعون طوعا للحصو</w:t>
      </w:r>
      <w:r>
        <w:rPr>
          <w:rtl/>
        </w:rPr>
        <w:t xml:space="preserve">ل على </w:t>
      </w:r>
      <w:r>
        <w:rPr>
          <w:rFonts w:hint="cs"/>
          <w:rtl/>
        </w:rPr>
        <w:t>علاج (فالعلاج ليس إجباريا وإنما يوصى به بشدة).</w:t>
      </w:r>
    </w:p>
    <w:p w:rsidR="00000000" w:rsidRDefault="00443EC1">
      <w:pPr>
        <w:tabs>
          <w:tab w:val="left" w:pos="773"/>
        </w:tabs>
        <w:spacing w:line="380" w:lineRule="exact"/>
        <w:jc w:val="both"/>
        <w:rPr>
          <w:rFonts w:hint="cs"/>
          <w:rtl/>
        </w:rPr>
      </w:pPr>
      <w:r>
        <w:rPr>
          <w:rFonts w:hint="cs"/>
          <w:rtl/>
        </w:rPr>
        <w:t>1048-   و</w:t>
      </w:r>
      <w:r>
        <w:rPr>
          <w:rtl/>
        </w:rPr>
        <w:t>في عام 2001، كان هناك</w:t>
      </w:r>
      <w:r>
        <w:rPr>
          <w:rFonts w:hint="cs"/>
          <w:rtl/>
        </w:rPr>
        <w:t xml:space="preserve"> نحو 330 مدمناً للمخدرات مسجلاً لاتباع برامج علاج إرادية (85 في المائة منهم من الذكور ويتراوح متوسط العمر ما بين 30 و35 سنة وهم يعانون من البطالة ومن إدمان الهيروين ومن تدني</w:t>
      </w:r>
      <w:r>
        <w:rPr>
          <w:rFonts w:hint="cs"/>
          <w:rtl/>
        </w:rPr>
        <w:t xml:space="preserve"> المستوى التعليمي).</w:t>
      </w:r>
    </w:p>
    <w:p w:rsidR="00000000" w:rsidRDefault="00443EC1">
      <w:pPr>
        <w:tabs>
          <w:tab w:val="left" w:pos="773"/>
        </w:tabs>
        <w:spacing w:line="380" w:lineRule="exact"/>
        <w:jc w:val="both"/>
        <w:rPr>
          <w:rFonts w:hint="cs"/>
          <w:b/>
          <w:bCs/>
          <w:rtl/>
        </w:rPr>
      </w:pPr>
      <w:r>
        <w:rPr>
          <w:rFonts w:hint="cs"/>
          <w:b/>
          <w:bCs/>
          <w:rtl/>
        </w:rPr>
        <w:t>التوعية الصحية</w:t>
      </w:r>
    </w:p>
    <w:p w:rsidR="00000000" w:rsidRDefault="00443EC1">
      <w:pPr>
        <w:tabs>
          <w:tab w:val="left" w:pos="773"/>
        </w:tabs>
        <w:spacing w:line="380" w:lineRule="exact"/>
        <w:jc w:val="both"/>
        <w:rPr>
          <w:rFonts w:hint="cs"/>
          <w:rtl/>
        </w:rPr>
      </w:pPr>
      <w:r>
        <w:rPr>
          <w:rFonts w:hint="cs"/>
          <w:rtl/>
        </w:rPr>
        <w:t xml:space="preserve">1049-   </w:t>
      </w:r>
      <w:r>
        <w:rPr>
          <w:rtl/>
        </w:rPr>
        <w:t xml:space="preserve">كما سلف الذكر، </w:t>
      </w:r>
      <w:r>
        <w:rPr>
          <w:rFonts w:hint="cs"/>
          <w:rtl/>
        </w:rPr>
        <w:t>ل</w:t>
      </w:r>
      <w:r>
        <w:rPr>
          <w:rtl/>
        </w:rPr>
        <w:t>لتوعية الصحية دور</w:t>
      </w:r>
      <w:r>
        <w:rPr>
          <w:rFonts w:hint="cs"/>
          <w:rtl/>
        </w:rPr>
        <w:t xml:space="preserve"> أساسي في تنفيذ سياسة الحكومة في مجال الصحة. ومنذ عام 1994، أدرجت التوعية الصحية ضمن المناهج المدرسية في مراحل التعليم ما قبل الابتدائي والابتدائي والثانوي. وهي تتمحور حول وقاية ال</w:t>
      </w:r>
      <w:r>
        <w:rPr>
          <w:rFonts w:hint="cs"/>
          <w:rtl/>
        </w:rPr>
        <w:t>صحة من الأمراض، وحول العلاج والتوعية. كما تشجع في المدارس الأنشطة الخاصة بالتوعية المجتمعية والأنشطة خارج المنهاج الدراسي.</w:t>
      </w:r>
    </w:p>
    <w:p w:rsidR="00000000" w:rsidRDefault="00443EC1">
      <w:pPr>
        <w:tabs>
          <w:tab w:val="left" w:pos="773"/>
        </w:tabs>
        <w:spacing w:line="380" w:lineRule="exact"/>
        <w:jc w:val="both"/>
        <w:rPr>
          <w:rFonts w:hint="cs"/>
          <w:rtl/>
        </w:rPr>
      </w:pPr>
      <w:r>
        <w:rPr>
          <w:rFonts w:hint="cs"/>
          <w:rtl/>
        </w:rPr>
        <w:t>1050-   تدعم مؤسسات الصحة والمدارس والجمعيات الخاصة مساهمة المجتمع المحلي في أنشطة المدارس وفي مكان العمل بغية الوقاية من أنواع السلو</w:t>
      </w:r>
      <w:r>
        <w:rPr>
          <w:rFonts w:hint="cs"/>
          <w:rtl/>
        </w:rPr>
        <w:t>ك الخطرة جدا والتشجيع على اتباع أساليب عيش صحية.</w:t>
      </w:r>
    </w:p>
    <w:p w:rsidR="00000000" w:rsidRDefault="00443EC1">
      <w:pPr>
        <w:tabs>
          <w:tab w:val="left" w:pos="773"/>
        </w:tabs>
        <w:spacing w:line="380" w:lineRule="exact"/>
        <w:jc w:val="both"/>
        <w:rPr>
          <w:rFonts w:hint="cs"/>
          <w:rtl/>
        </w:rPr>
      </w:pPr>
      <w:r>
        <w:rPr>
          <w:rFonts w:hint="cs"/>
          <w:rtl/>
        </w:rPr>
        <w:t>1051-   ويجري نشر المعلومات المتعلقة بالصحة بين عموم الناس وهي تستهدف مجموعات مختارة من خلال وسائط الإعلام وتوزيع كتيبات إعلامية وصحف وأقراص مدمجة وغير ذلك.</w:t>
      </w:r>
    </w:p>
    <w:p w:rsidR="00000000" w:rsidRDefault="00443EC1">
      <w:pPr>
        <w:spacing w:line="380" w:lineRule="exact"/>
        <w:jc w:val="center"/>
        <w:rPr>
          <w:rFonts w:hint="cs"/>
          <w:b/>
          <w:bCs/>
          <w:spacing w:val="0"/>
          <w:sz w:val="32"/>
          <w:rtl/>
        </w:rPr>
      </w:pPr>
      <w:r>
        <w:rPr>
          <w:rFonts w:hint="cs"/>
          <w:b/>
          <w:bCs/>
          <w:spacing w:val="0"/>
          <w:sz w:val="32"/>
          <w:rtl/>
        </w:rPr>
        <w:t>جيم- نظام الصحة العامة</w:t>
      </w:r>
    </w:p>
    <w:p w:rsidR="00000000" w:rsidRDefault="00443EC1">
      <w:pPr>
        <w:tabs>
          <w:tab w:val="left" w:pos="894"/>
        </w:tabs>
        <w:spacing w:line="380" w:lineRule="exact"/>
        <w:jc w:val="both"/>
        <w:rPr>
          <w:rFonts w:hint="cs"/>
          <w:spacing w:val="0"/>
          <w:sz w:val="32"/>
          <w:rtl/>
        </w:rPr>
      </w:pPr>
      <w:r>
        <w:rPr>
          <w:rFonts w:hint="cs"/>
          <w:spacing w:val="0"/>
          <w:sz w:val="32"/>
          <w:rtl/>
        </w:rPr>
        <w:t>1052-</w:t>
      </w:r>
      <w:r>
        <w:rPr>
          <w:rFonts w:hint="cs"/>
          <w:spacing w:val="0"/>
          <w:sz w:val="32"/>
          <w:rtl/>
        </w:rPr>
        <w:tab/>
        <w:t>ي</w:t>
      </w:r>
      <w:r>
        <w:rPr>
          <w:spacing w:val="0"/>
          <w:sz w:val="32"/>
          <w:rtl/>
        </w:rPr>
        <w:t xml:space="preserve">قدم </w:t>
      </w:r>
      <w:r>
        <w:rPr>
          <w:rFonts w:hint="cs"/>
          <w:spacing w:val="0"/>
          <w:sz w:val="32"/>
          <w:rtl/>
        </w:rPr>
        <w:t xml:space="preserve">ما مجموعه </w:t>
      </w:r>
      <w:r>
        <w:rPr>
          <w:spacing w:val="0"/>
          <w:sz w:val="32"/>
          <w:rtl/>
        </w:rPr>
        <w:t>367 مؤ</w:t>
      </w:r>
      <w:r>
        <w:rPr>
          <w:spacing w:val="0"/>
          <w:sz w:val="32"/>
          <w:rtl/>
        </w:rPr>
        <w:t xml:space="preserve">سسة عامة وخاصة خدمات الرعاية الطبية والصحية </w:t>
      </w:r>
      <w:r>
        <w:rPr>
          <w:rFonts w:hint="cs"/>
          <w:spacing w:val="0"/>
          <w:sz w:val="32"/>
          <w:rtl/>
        </w:rPr>
        <w:t xml:space="preserve">للسكان </w:t>
      </w:r>
      <w:r>
        <w:rPr>
          <w:spacing w:val="0"/>
          <w:sz w:val="32"/>
          <w:rtl/>
        </w:rPr>
        <w:t>في م</w:t>
      </w:r>
      <w:r>
        <w:rPr>
          <w:rFonts w:hint="cs"/>
          <w:spacing w:val="0"/>
          <w:sz w:val="32"/>
          <w:rtl/>
        </w:rPr>
        <w:t>قاطعة</w:t>
      </w:r>
      <w:r>
        <w:rPr>
          <w:spacing w:val="0"/>
          <w:sz w:val="32"/>
          <w:rtl/>
        </w:rPr>
        <w:t xml:space="preserve"> ماكاو الإد</w:t>
      </w:r>
      <w:r>
        <w:rPr>
          <w:rFonts w:hint="cs"/>
          <w:spacing w:val="0"/>
          <w:sz w:val="32"/>
          <w:rtl/>
        </w:rPr>
        <w:t>ا</w:t>
      </w:r>
      <w:r>
        <w:rPr>
          <w:spacing w:val="0"/>
          <w:sz w:val="32"/>
          <w:rtl/>
        </w:rPr>
        <w:t>رية الخاصة</w:t>
      </w:r>
      <w:r>
        <w:rPr>
          <w:rFonts w:hint="cs"/>
          <w:spacing w:val="0"/>
          <w:sz w:val="32"/>
          <w:rtl/>
        </w:rPr>
        <w:t>. وتبلغ نسبة المؤسسات الخاصة 95.9 في المائة بينما تمثل المؤسسات العامة 4.1 في المائة من أصل 365 مركزاً للرعاية الصحية.</w:t>
      </w:r>
    </w:p>
    <w:p w:rsidR="00000000" w:rsidRDefault="00443EC1">
      <w:pPr>
        <w:spacing w:line="380" w:lineRule="exact"/>
        <w:jc w:val="both"/>
        <w:rPr>
          <w:rFonts w:hint="cs"/>
          <w:b/>
          <w:bCs/>
          <w:spacing w:val="0"/>
          <w:sz w:val="32"/>
          <w:rtl/>
        </w:rPr>
      </w:pPr>
      <w:r>
        <w:rPr>
          <w:rFonts w:hint="cs"/>
          <w:b/>
          <w:bCs/>
          <w:spacing w:val="0"/>
          <w:sz w:val="32"/>
          <w:rtl/>
        </w:rPr>
        <w:t>مؤسسات الرعاية الصحية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98"/>
        <w:gridCol w:w="849"/>
        <w:gridCol w:w="713"/>
        <w:gridCol w:w="762"/>
        <w:gridCol w:w="900"/>
        <w:gridCol w:w="720"/>
        <w:gridCol w:w="876"/>
        <w:gridCol w:w="924"/>
        <w:gridCol w:w="720"/>
        <w:gridCol w:w="900"/>
      </w:tblGrid>
      <w:tr w:rsidR="00443EC1" w:rsidTr="00443EC1">
        <w:tblPrEx>
          <w:tblCellMar>
            <w:top w:w="0" w:type="dxa"/>
            <w:bottom w:w="0" w:type="dxa"/>
          </w:tblCellMar>
        </w:tblPrEx>
        <w:trPr>
          <w:jc w:val="center"/>
        </w:trPr>
        <w:tc>
          <w:tcPr>
            <w:tcW w:w="2098" w:type="dxa"/>
          </w:tcPr>
          <w:p w:rsidR="00443EC1" w:rsidRDefault="00443EC1">
            <w:pPr>
              <w:spacing w:before="0" w:after="0" w:line="320" w:lineRule="exact"/>
              <w:jc w:val="center"/>
              <w:rPr>
                <w:rFonts w:hint="cs"/>
                <w:spacing w:val="0"/>
                <w:sz w:val="28"/>
                <w:szCs w:val="28"/>
              </w:rPr>
            </w:pPr>
            <w:r>
              <w:rPr>
                <w:rFonts w:hint="cs"/>
                <w:spacing w:val="0"/>
                <w:sz w:val="28"/>
                <w:szCs w:val="28"/>
                <w:rtl/>
              </w:rPr>
              <w:t>التصنيف</w:t>
            </w:r>
          </w:p>
        </w:tc>
        <w:tc>
          <w:tcPr>
            <w:tcW w:w="2324" w:type="dxa"/>
            <w:gridSpan w:val="3"/>
          </w:tcPr>
          <w:p w:rsidR="00443EC1" w:rsidRDefault="00443EC1">
            <w:pPr>
              <w:spacing w:before="0" w:after="0" w:line="320" w:lineRule="exact"/>
              <w:jc w:val="center"/>
              <w:rPr>
                <w:rFonts w:hint="cs"/>
                <w:spacing w:val="0"/>
                <w:sz w:val="28"/>
                <w:szCs w:val="28"/>
              </w:rPr>
            </w:pPr>
            <w:r>
              <w:rPr>
                <w:rFonts w:hint="cs"/>
                <w:spacing w:val="0"/>
                <w:sz w:val="28"/>
                <w:szCs w:val="28"/>
                <w:rtl/>
              </w:rPr>
              <w:t>1999</w:t>
            </w:r>
          </w:p>
        </w:tc>
        <w:tc>
          <w:tcPr>
            <w:tcW w:w="2496" w:type="dxa"/>
            <w:gridSpan w:val="3"/>
          </w:tcPr>
          <w:p w:rsidR="00443EC1" w:rsidRDefault="00443EC1">
            <w:pPr>
              <w:spacing w:before="0" w:after="0" w:line="320" w:lineRule="exact"/>
              <w:jc w:val="center"/>
              <w:rPr>
                <w:rFonts w:hint="cs"/>
                <w:spacing w:val="0"/>
                <w:sz w:val="28"/>
                <w:szCs w:val="28"/>
              </w:rPr>
            </w:pPr>
            <w:r>
              <w:rPr>
                <w:rFonts w:hint="cs"/>
                <w:spacing w:val="0"/>
                <w:sz w:val="28"/>
                <w:szCs w:val="28"/>
                <w:rtl/>
              </w:rPr>
              <w:t>2000</w:t>
            </w:r>
          </w:p>
        </w:tc>
        <w:tc>
          <w:tcPr>
            <w:tcW w:w="2544" w:type="dxa"/>
            <w:gridSpan w:val="3"/>
          </w:tcPr>
          <w:p w:rsidR="00443EC1" w:rsidRDefault="00443EC1">
            <w:pPr>
              <w:spacing w:before="0" w:after="0" w:line="320" w:lineRule="exact"/>
              <w:jc w:val="center"/>
              <w:rPr>
                <w:rFonts w:hint="cs"/>
                <w:spacing w:val="0"/>
                <w:sz w:val="28"/>
                <w:szCs w:val="28"/>
              </w:rPr>
            </w:pPr>
            <w:r>
              <w:rPr>
                <w:rFonts w:hint="cs"/>
                <w:spacing w:val="0"/>
                <w:sz w:val="28"/>
                <w:szCs w:val="28"/>
                <w:rtl/>
              </w:rPr>
              <w:t>2001</w:t>
            </w:r>
          </w:p>
        </w:tc>
      </w:tr>
      <w:tr w:rsidR="00443EC1" w:rsidTr="00443EC1">
        <w:tblPrEx>
          <w:tblCellMar>
            <w:top w:w="0" w:type="dxa"/>
            <w:bottom w:w="0" w:type="dxa"/>
          </w:tblCellMar>
        </w:tblPrEx>
        <w:trPr>
          <w:cantSplit/>
          <w:jc w:val="center"/>
        </w:trPr>
        <w:tc>
          <w:tcPr>
            <w:tcW w:w="2098" w:type="dxa"/>
          </w:tcPr>
          <w:p w:rsidR="00443EC1" w:rsidRDefault="00443EC1">
            <w:pPr>
              <w:spacing w:before="0" w:after="0" w:line="320" w:lineRule="exact"/>
              <w:jc w:val="center"/>
              <w:rPr>
                <w:spacing w:val="0"/>
                <w:sz w:val="28"/>
                <w:szCs w:val="28"/>
              </w:rPr>
            </w:pPr>
          </w:p>
        </w:tc>
        <w:tc>
          <w:tcPr>
            <w:tcW w:w="849" w:type="dxa"/>
          </w:tcPr>
          <w:p w:rsidR="00443EC1" w:rsidRDefault="00443EC1">
            <w:pPr>
              <w:spacing w:before="0" w:after="0" w:line="320" w:lineRule="exact"/>
              <w:jc w:val="center"/>
              <w:rPr>
                <w:rFonts w:hint="cs"/>
                <w:spacing w:val="0"/>
                <w:sz w:val="28"/>
                <w:szCs w:val="28"/>
              </w:rPr>
            </w:pPr>
            <w:r>
              <w:rPr>
                <w:rFonts w:hint="cs"/>
                <w:spacing w:val="0"/>
                <w:sz w:val="28"/>
                <w:szCs w:val="28"/>
                <w:rtl/>
              </w:rPr>
              <w:t>المجموع</w:t>
            </w:r>
          </w:p>
        </w:tc>
        <w:tc>
          <w:tcPr>
            <w:tcW w:w="713" w:type="dxa"/>
          </w:tcPr>
          <w:p w:rsidR="00443EC1" w:rsidRDefault="00443EC1">
            <w:pPr>
              <w:spacing w:before="0" w:after="0" w:line="320" w:lineRule="exact"/>
              <w:jc w:val="center"/>
              <w:rPr>
                <w:rFonts w:hint="cs"/>
                <w:spacing w:val="0"/>
                <w:sz w:val="28"/>
                <w:szCs w:val="28"/>
              </w:rPr>
            </w:pPr>
            <w:r>
              <w:rPr>
                <w:rFonts w:hint="cs"/>
                <w:spacing w:val="0"/>
                <w:sz w:val="28"/>
                <w:szCs w:val="28"/>
                <w:rtl/>
              </w:rPr>
              <w:t>عام</w:t>
            </w:r>
          </w:p>
        </w:tc>
        <w:tc>
          <w:tcPr>
            <w:tcW w:w="762" w:type="dxa"/>
          </w:tcPr>
          <w:p w:rsidR="00443EC1" w:rsidRDefault="00443EC1">
            <w:pPr>
              <w:spacing w:before="0" w:after="0" w:line="320" w:lineRule="exact"/>
              <w:jc w:val="center"/>
              <w:rPr>
                <w:rFonts w:hint="cs"/>
                <w:spacing w:val="0"/>
                <w:sz w:val="28"/>
                <w:szCs w:val="28"/>
              </w:rPr>
            </w:pPr>
            <w:r>
              <w:rPr>
                <w:rFonts w:hint="cs"/>
                <w:spacing w:val="0"/>
                <w:sz w:val="28"/>
                <w:szCs w:val="28"/>
                <w:rtl/>
              </w:rPr>
              <w:t>خاص</w:t>
            </w:r>
          </w:p>
        </w:tc>
        <w:tc>
          <w:tcPr>
            <w:tcW w:w="900" w:type="dxa"/>
          </w:tcPr>
          <w:p w:rsidR="00443EC1" w:rsidRDefault="00443EC1">
            <w:pPr>
              <w:spacing w:before="0" w:after="0" w:line="320" w:lineRule="exact"/>
              <w:jc w:val="center"/>
              <w:rPr>
                <w:rFonts w:hint="cs"/>
                <w:spacing w:val="0"/>
                <w:sz w:val="28"/>
                <w:szCs w:val="28"/>
              </w:rPr>
            </w:pPr>
            <w:r>
              <w:rPr>
                <w:rFonts w:hint="cs"/>
                <w:spacing w:val="0"/>
                <w:sz w:val="28"/>
                <w:szCs w:val="28"/>
                <w:rtl/>
              </w:rPr>
              <w:t>المجموع</w:t>
            </w:r>
          </w:p>
        </w:tc>
        <w:tc>
          <w:tcPr>
            <w:tcW w:w="720" w:type="dxa"/>
          </w:tcPr>
          <w:p w:rsidR="00443EC1" w:rsidRDefault="00443EC1">
            <w:pPr>
              <w:spacing w:before="0" w:after="0" w:line="320" w:lineRule="exact"/>
              <w:jc w:val="center"/>
              <w:rPr>
                <w:rFonts w:hint="cs"/>
                <w:spacing w:val="0"/>
                <w:sz w:val="28"/>
                <w:szCs w:val="28"/>
              </w:rPr>
            </w:pPr>
            <w:r>
              <w:rPr>
                <w:rFonts w:hint="cs"/>
                <w:spacing w:val="0"/>
                <w:sz w:val="28"/>
                <w:szCs w:val="28"/>
                <w:rtl/>
              </w:rPr>
              <w:t>عام</w:t>
            </w:r>
          </w:p>
        </w:tc>
        <w:tc>
          <w:tcPr>
            <w:tcW w:w="876" w:type="dxa"/>
          </w:tcPr>
          <w:p w:rsidR="00443EC1" w:rsidRDefault="00443EC1">
            <w:pPr>
              <w:spacing w:before="0" w:after="0" w:line="320" w:lineRule="exact"/>
              <w:jc w:val="center"/>
              <w:rPr>
                <w:rFonts w:hint="cs"/>
                <w:spacing w:val="0"/>
                <w:sz w:val="28"/>
                <w:szCs w:val="28"/>
              </w:rPr>
            </w:pPr>
            <w:r>
              <w:rPr>
                <w:rFonts w:hint="cs"/>
                <w:spacing w:val="0"/>
                <w:sz w:val="28"/>
                <w:szCs w:val="28"/>
                <w:rtl/>
              </w:rPr>
              <w:t>خاص</w:t>
            </w:r>
          </w:p>
        </w:tc>
        <w:tc>
          <w:tcPr>
            <w:tcW w:w="924" w:type="dxa"/>
          </w:tcPr>
          <w:p w:rsidR="00443EC1" w:rsidRDefault="00443EC1">
            <w:pPr>
              <w:spacing w:before="0" w:after="0" w:line="320" w:lineRule="exact"/>
              <w:jc w:val="center"/>
              <w:rPr>
                <w:rFonts w:hint="cs"/>
                <w:spacing w:val="0"/>
                <w:sz w:val="28"/>
                <w:szCs w:val="28"/>
              </w:rPr>
            </w:pPr>
            <w:r>
              <w:rPr>
                <w:rFonts w:hint="cs"/>
                <w:spacing w:val="0"/>
                <w:sz w:val="28"/>
                <w:szCs w:val="28"/>
                <w:rtl/>
              </w:rPr>
              <w:t>المجموع</w:t>
            </w:r>
          </w:p>
        </w:tc>
        <w:tc>
          <w:tcPr>
            <w:tcW w:w="720" w:type="dxa"/>
          </w:tcPr>
          <w:p w:rsidR="00443EC1" w:rsidRDefault="00443EC1">
            <w:pPr>
              <w:spacing w:before="0" w:after="0" w:line="320" w:lineRule="exact"/>
              <w:jc w:val="center"/>
              <w:rPr>
                <w:rFonts w:hint="cs"/>
                <w:spacing w:val="0"/>
                <w:sz w:val="28"/>
                <w:szCs w:val="28"/>
              </w:rPr>
            </w:pPr>
            <w:r>
              <w:rPr>
                <w:rFonts w:hint="cs"/>
                <w:spacing w:val="0"/>
                <w:sz w:val="28"/>
                <w:szCs w:val="28"/>
                <w:rtl/>
              </w:rPr>
              <w:t>عام</w:t>
            </w:r>
          </w:p>
        </w:tc>
        <w:tc>
          <w:tcPr>
            <w:tcW w:w="900" w:type="dxa"/>
          </w:tcPr>
          <w:p w:rsidR="00443EC1" w:rsidRDefault="00443EC1">
            <w:pPr>
              <w:spacing w:before="0" w:after="0" w:line="320" w:lineRule="exact"/>
              <w:jc w:val="center"/>
              <w:rPr>
                <w:rFonts w:hint="cs"/>
                <w:spacing w:val="0"/>
                <w:sz w:val="28"/>
                <w:szCs w:val="28"/>
              </w:rPr>
            </w:pPr>
            <w:r>
              <w:rPr>
                <w:rFonts w:hint="cs"/>
                <w:spacing w:val="0"/>
                <w:sz w:val="28"/>
                <w:szCs w:val="28"/>
                <w:rtl/>
              </w:rPr>
              <w:t>خاص</w:t>
            </w:r>
          </w:p>
        </w:tc>
      </w:tr>
      <w:tr w:rsidR="00443EC1" w:rsidTr="00443EC1">
        <w:tblPrEx>
          <w:tblCellMar>
            <w:top w:w="0" w:type="dxa"/>
            <w:bottom w:w="0" w:type="dxa"/>
          </w:tblCellMar>
        </w:tblPrEx>
        <w:trPr>
          <w:cantSplit/>
          <w:jc w:val="center"/>
        </w:trPr>
        <w:tc>
          <w:tcPr>
            <w:tcW w:w="2098" w:type="dxa"/>
            <w:tcBorders>
              <w:bottom w:val="single" w:sz="4" w:space="0" w:color="auto"/>
            </w:tcBorders>
          </w:tcPr>
          <w:p w:rsidR="00443EC1" w:rsidRDefault="00443EC1">
            <w:pPr>
              <w:spacing w:before="0" w:after="0" w:line="320" w:lineRule="exact"/>
              <w:jc w:val="both"/>
              <w:rPr>
                <w:spacing w:val="0"/>
                <w:sz w:val="28"/>
                <w:szCs w:val="28"/>
              </w:rPr>
            </w:pPr>
            <w:r>
              <w:rPr>
                <w:spacing w:val="0"/>
                <w:sz w:val="28"/>
                <w:szCs w:val="28"/>
                <w:rtl/>
              </w:rPr>
              <w:tab/>
            </w:r>
            <w:r>
              <w:rPr>
                <w:rFonts w:hint="cs"/>
                <w:spacing w:val="0"/>
                <w:sz w:val="28"/>
                <w:szCs w:val="28"/>
                <w:rtl/>
              </w:rPr>
              <w:t>المجموع</w:t>
            </w:r>
          </w:p>
        </w:tc>
        <w:tc>
          <w:tcPr>
            <w:tcW w:w="849" w:type="dxa"/>
            <w:tcBorders>
              <w:bottom w:val="single" w:sz="4" w:space="0" w:color="auto"/>
            </w:tcBorders>
          </w:tcPr>
          <w:p w:rsidR="00443EC1" w:rsidRDefault="00443EC1">
            <w:pPr>
              <w:spacing w:before="0" w:after="0" w:line="320" w:lineRule="exact"/>
              <w:jc w:val="both"/>
              <w:rPr>
                <w:rFonts w:hint="cs"/>
                <w:spacing w:val="0"/>
                <w:sz w:val="28"/>
                <w:szCs w:val="28"/>
              </w:rPr>
            </w:pPr>
            <w:r>
              <w:rPr>
                <w:rFonts w:hint="cs"/>
                <w:spacing w:val="0"/>
                <w:sz w:val="28"/>
                <w:szCs w:val="28"/>
                <w:rtl/>
              </w:rPr>
              <w:t>386</w:t>
            </w:r>
          </w:p>
        </w:tc>
        <w:tc>
          <w:tcPr>
            <w:tcW w:w="713" w:type="dxa"/>
            <w:tcBorders>
              <w:bottom w:val="single" w:sz="4" w:space="0" w:color="auto"/>
            </w:tcBorders>
          </w:tcPr>
          <w:p w:rsidR="00443EC1" w:rsidRDefault="00443EC1">
            <w:pPr>
              <w:spacing w:before="0" w:after="0" w:line="320" w:lineRule="exact"/>
              <w:jc w:val="both"/>
              <w:rPr>
                <w:rFonts w:hint="cs"/>
                <w:spacing w:val="0"/>
                <w:sz w:val="28"/>
                <w:szCs w:val="28"/>
              </w:rPr>
            </w:pPr>
            <w:r>
              <w:rPr>
                <w:rFonts w:hint="cs"/>
                <w:spacing w:val="0"/>
                <w:sz w:val="28"/>
                <w:szCs w:val="28"/>
                <w:rtl/>
              </w:rPr>
              <w:t>14</w:t>
            </w:r>
          </w:p>
        </w:tc>
        <w:tc>
          <w:tcPr>
            <w:tcW w:w="762" w:type="dxa"/>
            <w:tcBorders>
              <w:bottom w:val="single" w:sz="4" w:space="0" w:color="auto"/>
            </w:tcBorders>
          </w:tcPr>
          <w:p w:rsidR="00443EC1" w:rsidRDefault="00443EC1">
            <w:pPr>
              <w:spacing w:before="0" w:after="0" w:line="320" w:lineRule="exact"/>
              <w:jc w:val="both"/>
              <w:rPr>
                <w:rFonts w:hint="cs"/>
                <w:spacing w:val="0"/>
                <w:sz w:val="28"/>
                <w:szCs w:val="28"/>
              </w:rPr>
            </w:pPr>
            <w:r>
              <w:rPr>
                <w:rFonts w:hint="cs"/>
                <w:spacing w:val="0"/>
                <w:sz w:val="28"/>
                <w:szCs w:val="28"/>
                <w:rtl/>
              </w:rPr>
              <w:t>372</w:t>
            </w:r>
          </w:p>
        </w:tc>
        <w:tc>
          <w:tcPr>
            <w:tcW w:w="900" w:type="dxa"/>
            <w:tcBorders>
              <w:bottom w:val="single" w:sz="4" w:space="0" w:color="auto"/>
            </w:tcBorders>
          </w:tcPr>
          <w:p w:rsidR="00443EC1" w:rsidRDefault="00443EC1">
            <w:pPr>
              <w:spacing w:before="0" w:after="0" w:line="320" w:lineRule="exact"/>
              <w:jc w:val="both"/>
              <w:rPr>
                <w:rFonts w:hint="cs"/>
                <w:spacing w:val="0"/>
                <w:sz w:val="28"/>
                <w:szCs w:val="28"/>
              </w:rPr>
            </w:pPr>
            <w:r>
              <w:rPr>
                <w:rFonts w:hint="cs"/>
                <w:spacing w:val="0"/>
                <w:sz w:val="28"/>
                <w:szCs w:val="28"/>
                <w:rtl/>
              </w:rPr>
              <w:t>360</w:t>
            </w:r>
          </w:p>
        </w:tc>
        <w:tc>
          <w:tcPr>
            <w:tcW w:w="720" w:type="dxa"/>
            <w:tcBorders>
              <w:bottom w:val="single" w:sz="4" w:space="0" w:color="auto"/>
            </w:tcBorders>
          </w:tcPr>
          <w:p w:rsidR="00443EC1" w:rsidRDefault="00443EC1">
            <w:pPr>
              <w:spacing w:before="0" w:after="0" w:line="320" w:lineRule="exact"/>
              <w:jc w:val="both"/>
              <w:rPr>
                <w:rFonts w:hint="cs"/>
                <w:spacing w:val="0"/>
                <w:sz w:val="28"/>
                <w:szCs w:val="28"/>
              </w:rPr>
            </w:pPr>
            <w:r>
              <w:rPr>
                <w:rFonts w:hint="cs"/>
                <w:spacing w:val="0"/>
                <w:sz w:val="28"/>
                <w:szCs w:val="28"/>
                <w:rtl/>
              </w:rPr>
              <w:t>13</w:t>
            </w:r>
          </w:p>
        </w:tc>
        <w:tc>
          <w:tcPr>
            <w:tcW w:w="876" w:type="dxa"/>
            <w:tcBorders>
              <w:bottom w:val="single" w:sz="4" w:space="0" w:color="auto"/>
            </w:tcBorders>
          </w:tcPr>
          <w:p w:rsidR="00443EC1" w:rsidRDefault="00443EC1">
            <w:pPr>
              <w:spacing w:before="0" w:after="0" w:line="320" w:lineRule="exact"/>
              <w:jc w:val="both"/>
              <w:rPr>
                <w:rFonts w:hint="cs"/>
                <w:spacing w:val="0"/>
                <w:sz w:val="28"/>
                <w:szCs w:val="28"/>
              </w:rPr>
            </w:pPr>
            <w:r>
              <w:rPr>
                <w:rFonts w:hint="cs"/>
                <w:spacing w:val="0"/>
                <w:sz w:val="28"/>
                <w:szCs w:val="28"/>
                <w:rtl/>
              </w:rPr>
              <w:t>347</w:t>
            </w:r>
          </w:p>
        </w:tc>
        <w:tc>
          <w:tcPr>
            <w:tcW w:w="924" w:type="dxa"/>
            <w:tcBorders>
              <w:bottom w:val="single" w:sz="4" w:space="0" w:color="auto"/>
            </w:tcBorders>
          </w:tcPr>
          <w:p w:rsidR="00443EC1" w:rsidRDefault="00443EC1">
            <w:pPr>
              <w:spacing w:before="0" w:after="0" w:line="320" w:lineRule="exact"/>
              <w:jc w:val="both"/>
              <w:rPr>
                <w:rFonts w:hint="cs"/>
                <w:spacing w:val="0"/>
                <w:sz w:val="28"/>
                <w:szCs w:val="28"/>
              </w:rPr>
            </w:pPr>
            <w:r>
              <w:rPr>
                <w:rFonts w:hint="cs"/>
                <w:spacing w:val="0"/>
                <w:sz w:val="28"/>
                <w:szCs w:val="28"/>
                <w:rtl/>
              </w:rPr>
              <w:t>367</w:t>
            </w:r>
          </w:p>
        </w:tc>
        <w:tc>
          <w:tcPr>
            <w:tcW w:w="720" w:type="dxa"/>
            <w:tcBorders>
              <w:bottom w:val="single" w:sz="4" w:space="0" w:color="auto"/>
            </w:tcBorders>
          </w:tcPr>
          <w:p w:rsidR="00443EC1" w:rsidRDefault="00443EC1">
            <w:pPr>
              <w:spacing w:before="0" w:after="0" w:line="320" w:lineRule="exact"/>
              <w:jc w:val="both"/>
              <w:rPr>
                <w:rFonts w:hint="cs"/>
                <w:spacing w:val="0"/>
                <w:sz w:val="28"/>
                <w:szCs w:val="28"/>
              </w:rPr>
            </w:pPr>
            <w:r>
              <w:rPr>
                <w:rFonts w:hint="cs"/>
                <w:spacing w:val="0"/>
                <w:sz w:val="28"/>
                <w:szCs w:val="28"/>
                <w:rtl/>
              </w:rPr>
              <w:t>16</w:t>
            </w:r>
          </w:p>
        </w:tc>
        <w:tc>
          <w:tcPr>
            <w:tcW w:w="900" w:type="dxa"/>
            <w:tcBorders>
              <w:bottom w:val="single" w:sz="4" w:space="0" w:color="auto"/>
            </w:tcBorders>
          </w:tcPr>
          <w:p w:rsidR="00443EC1" w:rsidRDefault="00443EC1">
            <w:pPr>
              <w:spacing w:before="0" w:after="0" w:line="320" w:lineRule="exact"/>
              <w:jc w:val="both"/>
              <w:rPr>
                <w:rFonts w:hint="cs"/>
                <w:spacing w:val="0"/>
                <w:sz w:val="28"/>
                <w:szCs w:val="28"/>
              </w:rPr>
            </w:pPr>
            <w:r>
              <w:rPr>
                <w:rFonts w:hint="cs"/>
                <w:spacing w:val="0"/>
                <w:sz w:val="28"/>
                <w:szCs w:val="28"/>
                <w:rtl/>
              </w:rPr>
              <w:t>351</w:t>
            </w:r>
          </w:p>
        </w:tc>
      </w:tr>
      <w:tr w:rsidR="00443EC1" w:rsidTr="00443EC1">
        <w:tblPrEx>
          <w:tblCellMar>
            <w:top w:w="0" w:type="dxa"/>
            <w:bottom w:w="0" w:type="dxa"/>
          </w:tblCellMar>
        </w:tblPrEx>
        <w:trPr>
          <w:cantSplit/>
          <w:jc w:val="center"/>
        </w:trPr>
        <w:tc>
          <w:tcPr>
            <w:tcW w:w="2098" w:type="dxa"/>
            <w:tcBorders>
              <w:bottom w:val="nil"/>
            </w:tcBorders>
          </w:tcPr>
          <w:p w:rsidR="00443EC1" w:rsidRDefault="00443EC1">
            <w:pPr>
              <w:spacing w:before="0" w:after="0" w:line="320" w:lineRule="exact"/>
              <w:jc w:val="both"/>
              <w:rPr>
                <w:rFonts w:hint="cs"/>
                <w:spacing w:val="0"/>
                <w:sz w:val="28"/>
                <w:szCs w:val="28"/>
              </w:rPr>
            </w:pPr>
            <w:r>
              <w:rPr>
                <w:rFonts w:hint="cs"/>
                <w:spacing w:val="0"/>
                <w:sz w:val="28"/>
                <w:szCs w:val="28"/>
                <w:rtl/>
              </w:rPr>
              <w:t>المستشفيات</w:t>
            </w:r>
          </w:p>
        </w:tc>
        <w:tc>
          <w:tcPr>
            <w:tcW w:w="849" w:type="dxa"/>
            <w:tcBorders>
              <w:bottom w:val="nil"/>
            </w:tcBorders>
          </w:tcPr>
          <w:p w:rsidR="00443EC1" w:rsidRDefault="00443EC1">
            <w:pPr>
              <w:spacing w:before="0" w:after="0" w:line="320" w:lineRule="exact"/>
              <w:jc w:val="both"/>
              <w:rPr>
                <w:rFonts w:hint="cs"/>
                <w:spacing w:val="0"/>
                <w:sz w:val="28"/>
                <w:szCs w:val="28"/>
              </w:rPr>
            </w:pPr>
            <w:r>
              <w:rPr>
                <w:rFonts w:hint="cs"/>
                <w:spacing w:val="0"/>
                <w:sz w:val="28"/>
                <w:szCs w:val="28"/>
                <w:rtl/>
              </w:rPr>
              <w:t>2</w:t>
            </w:r>
          </w:p>
        </w:tc>
        <w:tc>
          <w:tcPr>
            <w:tcW w:w="713" w:type="dxa"/>
            <w:tcBorders>
              <w:bottom w:val="nil"/>
            </w:tcBorders>
          </w:tcPr>
          <w:p w:rsidR="00443EC1" w:rsidRDefault="00443EC1">
            <w:pPr>
              <w:spacing w:before="0" w:after="0" w:line="320" w:lineRule="exact"/>
              <w:jc w:val="both"/>
              <w:rPr>
                <w:rFonts w:hint="cs"/>
                <w:spacing w:val="0"/>
                <w:sz w:val="28"/>
                <w:szCs w:val="28"/>
              </w:rPr>
            </w:pPr>
            <w:r>
              <w:rPr>
                <w:rFonts w:hint="cs"/>
                <w:spacing w:val="0"/>
                <w:sz w:val="28"/>
                <w:szCs w:val="28"/>
                <w:rtl/>
              </w:rPr>
              <w:t>1</w:t>
            </w:r>
          </w:p>
        </w:tc>
        <w:tc>
          <w:tcPr>
            <w:tcW w:w="762" w:type="dxa"/>
            <w:tcBorders>
              <w:bottom w:val="nil"/>
            </w:tcBorders>
          </w:tcPr>
          <w:p w:rsidR="00443EC1" w:rsidRDefault="00443EC1">
            <w:pPr>
              <w:spacing w:before="0" w:after="0" w:line="320" w:lineRule="exact"/>
              <w:jc w:val="both"/>
              <w:rPr>
                <w:rFonts w:hint="cs"/>
                <w:spacing w:val="0"/>
                <w:sz w:val="28"/>
                <w:szCs w:val="28"/>
              </w:rPr>
            </w:pPr>
            <w:r>
              <w:rPr>
                <w:rFonts w:hint="cs"/>
                <w:spacing w:val="0"/>
                <w:sz w:val="28"/>
                <w:szCs w:val="28"/>
                <w:rtl/>
              </w:rPr>
              <w:t>1</w:t>
            </w:r>
          </w:p>
        </w:tc>
        <w:tc>
          <w:tcPr>
            <w:tcW w:w="900" w:type="dxa"/>
            <w:tcBorders>
              <w:bottom w:val="nil"/>
            </w:tcBorders>
          </w:tcPr>
          <w:p w:rsidR="00443EC1" w:rsidRDefault="00443EC1">
            <w:pPr>
              <w:spacing w:before="0" w:after="0" w:line="320" w:lineRule="exact"/>
              <w:jc w:val="both"/>
              <w:rPr>
                <w:rFonts w:hint="cs"/>
                <w:spacing w:val="0"/>
                <w:sz w:val="28"/>
                <w:szCs w:val="28"/>
              </w:rPr>
            </w:pPr>
            <w:r>
              <w:rPr>
                <w:rFonts w:hint="cs"/>
                <w:spacing w:val="0"/>
                <w:sz w:val="28"/>
                <w:szCs w:val="28"/>
                <w:rtl/>
              </w:rPr>
              <w:t>2</w:t>
            </w:r>
          </w:p>
        </w:tc>
        <w:tc>
          <w:tcPr>
            <w:tcW w:w="720" w:type="dxa"/>
            <w:tcBorders>
              <w:bottom w:val="nil"/>
            </w:tcBorders>
          </w:tcPr>
          <w:p w:rsidR="00443EC1" w:rsidRDefault="00443EC1">
            <w:pPr>
              <w:spacing w:before="0" w:after="0" w:line="320" w:lineRule="exact"/>
              <w:jc w:val="both"/>
              <w:rPr>
                <w:rFonts w:hint="cs"/>
                <w:spacing w:val="0"/>
                <w:sz w:val="28"/>
                <w:szCs w:val="28"/>
              </w:rPr>
            </w:pPr>
            <w:r>
              <w:rPr>
                <w:rFonts w:hint="cs"/>
                <w:spacing w:val="0"/>
                <w:sz w:val="28"/>
                <w:szCs w:val="28"/>
                <w:rtl/>
              </w:rPr>
              <w:t>1</w:t>
            </w:r>
          </w:p>
        </w:tc>
        <w:tc>
          <w:tcPr>
            <w:tcW w:w="876" w:type="dxa"/>
            <w:tcBorders>
              <w:bottom w:val="nil"/>
            </w:tcBorders>
          </w:tcPr>
          <w:p w:rsidR="00443EC1" w:rsidRDefault="00443EC1">
            <w:pPr>
              <w:spacing w:before="0" w:after="0" w:line="320" w:lineRule="exact"/>
              <w:jc w:val="both"/>
              <w:rPr>
                <w:rFonts w:hint="cs"/>
                <w:spacing w:val="0"/>
                <w:sz w:val="28"/>
                <w:szCs w:val="28"/>
              </w:rPr>
            </w:pPr>
            <w:r>
              <w:rPr>
                <w:rFonts w:hint="cs"/>
                <w:spacing w:val="0"/>
                <w:sz w:val="28"/>
                <w:szCs w:val="28"/>
                <w:rtl/>
              </w:rPr>
              <w:t>1</w:t>
            </w:r>
          </w:p>
        </w:tc>
        <w:tc>
          <w:tcPr>
            <w:tcW w:w="924" w:type="dxa"/>
            <w:tcBorders>
              <w:bottom w:val="nil"/>
            </w:tcBorders>
          </w:tcPr>
          <w:p w:rsidR="00443EC1" w:rsidRDefault="00443EC1">
            <w:pPr>
              <w:spacing w:before="0" w:after="0" w:line="320" w:lineRule="exact"/>
              <w:jc w:val="both"/>
              <w:rPr>
                <w:rFonts w:hint="cs"/>
                <w:spacing w:val="0"/>
                <w:sz w:val="28"/>
                <w:szCs w:val="28"/>
              </w:rPr>
            </w:pPr>
            <w:r>
              <w:rPr>
                <w:rFonts w:hint="cs"/>
                <w:spacing w:val="0"/>
                <w:sz w:val="28"/>
                <w:szCs w:val="28"/>
                <w:rtl/>
              </w:rPr>
              <w:t>2</w:t>
            </w:r>
          </w:p>
        </w:tc>
        <w:tc>
          <w:tcPr>
            <w:tcW w:w="720" w:type="dxa"/>
            <w:tcBorders>
              <w:bottom w:val="nil"/>
            </w:tcBorders>
          </w:tcPr>
          <w:p w:rsidR="00443EC1" w:rsidRDefault="00443EC1">
            <w:pPr>
              <w:spacing w:before="0" w:after="0" w:line="320" w:lineRule="exact"/>
              <w:jc w:val="both"/>
              <w:rPr>
                <w:rFonts w:hint="cs"/>
                <w:spacing w:val="0"/>
                <w:sz w:val="28"/>
                <w:szCs w:val="28"/>
              </w:rPr>
            </w:pPr>
            <w:r>
              <w:rPr>
                <w:rFonts w:hint="cs"/>
                <w:spacing w:val="0"/>
                <w:sz w:val="28"/>
                <w:szCs w:val="28"/>
                <w:rtl/>
              </w:rPr>
              <w:t>1</w:t>
            </w:r>
          </w:p>
        </w:tc>
        <w:tc>
          <w:tcPr>
            <w:tcW w:w="900" w:type="dxa"/>
            <w:tcBorders>
              <w:bottom w:val="nil"/>
            </w:tcBorders>
          </w:tcPr>
          <w:p w:rsidR="00443EC1" w:rsidRDefault="00443EC1">
            <w:pPr>
              <w:spacing w:before="0" w:after="0" w:line="320" w:lineRule="exact"/>
              <w:jc w:val="both"/>
              <w:rPr>
                <w:rFonts w:hint="cs"/>
                <w:spacing w:val="0"/>
                <w:sz w:val="28"/>
                <w:szCs w:val="28"/>
              </w:rPr>
            </w:pPr>
            <w:r>
              <w:rPr>
                <w:rFonts w:hint="cs"/>
                <w:spacing w:val="0"/>
                <w:sz w:val="28"/>
                <w:szCs w:val="28"/>
                <w:rtl/>
              </w:rPr>
              <w:t>1</w:t>
            </w:r>
          </w:p>
        </w:tc>
      </w:tr>
      <w:tr w:rsidR="00443EC1" w:rsidTr="00443EC1">
        <w:tblPrEx>
          <w:tblCellMar>
            <w:top w:w="0" w:type="dxa"/>
            <w:bottom w:w="0" w:type="dxa"/>
          </w:tblCellMar>
        </w:tblPrEx>
        <w:trPr>
          <w:cantSplit/>
          <w:jc w:val="center"/>
        </w:trPr>
        <w:tc>
          <w:tcPr>
            <w:tcW w:w="2098" w:type="dxa"/>
            <w:tcBorders>
              <w:top w:val="nil"/>
            </w:tcBorders>
          </w:tcPr>
          <w:p w:rsidR="00443EC1" w:rsidRDefault="00443EC1">
            <w:pPr>
              <w:spacing w:before="0" w:after="0" w:line="320" w:lineRule="exact"/>
              <w:jc w:val="both"/>
              <w:rPr>
                <w:rFonts w:hint="cs"/>
                <w:spacing w:val="0"/>
                <w:sz w:val="28"/>
                <w:szCs w:val="28"/>
              </w:rPr>
            </w:pPr>
            <w:r>
              <w:rPr>
                <w:rFonts w:hint="cs"/>
                <w:spacing w:val="0"/>
                <w:sz w:val="28"/>
                <w:szCs w:val="28"/>
                <w:rtl/>
              </w:rPr>
              <w:t>المراكز الصحية</w:t>
            </w:r>
          </w:p>
        </w:tc>
        <w:tc>
          <w:tcPr>
            <w:tcW w:w="849" w:type="dxa"/>
            <w:tcBorders>
              <w:top w:val="nil"/>
            </w:tcBorders>
          </w:tcPr>
          <w:p w:rsidR="00443EC1" w:rsidRDefault="00443EC1">
            <w:pPr>
              <w:spacing w:before="0" w:after="0" w:line="320" w:lineRule="exact"/>
              <w:jc w:val="both"/>
              <w:rPr>
                <w:rFonts w:hint="cs"/>
                <w:spacing w:val="0"/>
                <w:sz w:val="28"/>
                <w:szCs w:val="28"/>
              </w:rPr>
            </w:pPr>
            <w:r>
              <w:rPr>
                <w:rFonts w:hint="cs"/>
                <w:spacing w:val="0"/>
                <w:sz w:val="28"/>
                <w:szCs w:val="28"/>
                <w:rtl/>
              </w:rPr>
              <w:t>384</w:t>
            </w:r>
          </w:p>
        </w:tc>
        <w:tc>
          <w:tcPr>
            <w:tcW w:w="713" w:type="dxa"/>
            <w:tcBorders>
              <w:top w:val="nil"/>
            </w:tcBorders>
          </w:tcPr>
          <w:p w:rsidR="00443EC1" w:rsidRDefault="00443EC1">
            <w:pPr>
              <w:spacing w:before="0" w:after="0" w:line="320" w:lineRule="exact"/>
              <w:jc w:val="both"/>
              <w:rPr>
                <w:rFonts w:hint="cs"/>
                <w:spacing w:val="0"/>
                <w:sz w:val="28"/>
                <w:szCs w:val="28"/>
              </w:rPr>
            </w:pPr>
            <w:r>
              <w:rPr>
                <w:rFonts w:hint="cs"/>
                <w:spacing w:val="0"/>
                <w:sz w:val="28"/>
                <w:szCs w:val="28"/>
                <w:rtl/>
              </w:rPr>
              <w:t>13</w:t>
            </w:r>
          </w:p>
        </w:tc>
        <w:tc>
          <w:tcPr>
            <w:tcW w:w="762" w:type="dxa"/>
            <w:tcBorders>
              <w:top w:val="nil"/>
            </w:tcBorders>
          </w:tcPr>
          <w:p w:rsidR="00443EC1" w:rsidRDefault="00443EC1">
            <w:pPr>
              <w:spacing w:before="0" w:after="0" w:line="320" w:lineRule="exact"/>
              <w:jc w:val="both"/>
              <w:rPr>
                <w:rFonts w:hint="cs"/>
                <w:spacing w:val="0"/>
                <w:sz w:val="28"/>
                <w:szCs w:val="28"/>
              </w:rPr>
            </w:pPr>
            <w:r>
              <w:rPr>
                <w:rFonts w:hint="cs"/>
                <w:spacing w:val="0"/>
                <w:sz w:val="28"/>
                <w:szCs w:val="28"/>
                <w:rtl/>
              </w:rPr>
              <w:t>371</w:t>
            </w:r>
          </w:p>
        </w:tc>
        <w:tc>
          <w:tcPr>
            <w:tcW w:w="900" w:type="dxa"/>
            <w:tcBorders>
              <w:top w:val="nil"/>
            </w:tcBorders>
          </w:tcPr>
          <w:p w:rsidR="00443EC1" w:rsidRDefault="00443EC1">
            <w:pPr>
              <w:spacing w:before="0" w:after="0" w:line="320" w:lineRule="exact"/>
              <w:jc w:val="both"/>
              <w:rPr>
                <w:rFonts w:hint="cs"/>
                <w:spacing w:val="0"/>
                <w:sz w:val="28"/>
                <w:szCs w:val="28"/>
              </w:rPr>
            </w:pPr>
            <w:r>
              <w:rPr>
                <w:rFonts w:hint="cs"/>
                <w:spacing w:val="0"/>
                <w:sz w:val="28"/>
                <w:szCs w:val="28"/>
                <w:rtl/>
              </w:rPr>
              <w:t>358</w:t>
            </w:r>
          </w:p>
        </w:tc>
        <w:tc>
          <w:tcPr>
            <w:tcW w:w="720" w:type="dxa"/>
            <w:tcBorders>
              <w:top w:val="nil"/>
            </w:tcBorders>
          </w:tcPr>
          <w:p w:rsidR="00443EC1" w:rsidRDefault="00443EC1">
            <w:pPr>
              <w:spacing w:before="0" w:after="0" w:line="320" w:lineRule="exact"/>
              <w:jc w:val="both"/>
              <w:rPr>
                <w:rFonts w:hint="cs"/>
                <w:spacing w:val="0"/>
                <w:sz w:val="28"/>
                <w:szCs w:val="28"/>
              </w:rPr>
            </w:pPr>
            <w:r>
              <w:rPr>
                <w:rFonts w:hint="cs"/>
                <w:spacing w:val="0"/>
                <w:sz w:val="28"/>
                <w:szCs w:val="28"/>
                <w:rtl/>
              </w:rPr>
              <w:t>12</w:t>
            </w:r>
          </w:p>
        </w:tc>
        <w:tc>
          <w:tcPr>
            <w:tcW w:w="876" w:type="dxa"/>
            <w:tcBorders>
              <w:top w:val="nil"/>
            </w:tcBorders>
          </w:tcPr>
          <w:p w:rsidR="00443EC1" w:rsidRDefault="00443EC1">
            <w:pPr>
              <w:spacing w:before="0" w:after="0" w:line="320" w:lineRule="exact"/>
              <w:jc w:val="both"/>
              <w:rPr>
                <w:rFonts w:hint="cs"/>
                <w:spacing w:val="0"/>
                <w:sz w:val="28"/>
                <w:szCs w:val="28"/>
              </w:rPr>
            </w:pPr>
            <w:r>
              <w:rPr>
                <w:rFonts w:hint="cs"/>
                <w:spacing w:val="0"/>
                <w:sz w:val="28"/>
                <w:szCs w:val="28"/>
                <w:rtl/>
              </w:rPr>
              <w:t>346</w:t>
            </w:r>
          </w:p>
        </w:tc>
        <w:tc>
          <w:tcPr>
            <w:tcW w:w="924" w:type="dxa"/>
            <w:tcBorders>
              <w:top w:val="nil"/>
            </w:tcBorders>
          </w:tcPr>
          <w:p w:rsidR="00443EC1" w:rsidRDefault="00443EC1">
            <w:pPr>
              <w:spacing w:before="0" w:after="0" w:line="320" w:lineRule="exact"/>
              <w:jc w:val="both"/>
              <w:rPr>
                <w:rFonts w:hint="cs"/>
                <w:spacing w:val="0"/>
                <w:sz w:val="28"/>
                <w:szCs w:val="28"/>
              </w:rPr>
            </w:pPr>
            <w:r>
              <w:rPr>
                <w:rFonts w:hint="cs"/>
                <w:spacing w:val="0"/>
                <w:sz w:val="28"/>
                <w:szCs w:val="28"/>
                <w:rtl/>
              </w:rPr>
              <w:t>365</w:t>
            </w:r>
          </w:p>
        </w:tc>
        <w:tc>
          <w:tcPr>
            <w:tcW w:w="720" w:type="dxa"/>
            <w:tcBorders>
              <w:top w:val="nil"/>
            </w:tcBorders>
          </w:tcPr>
          <w:p w:rsidR="00443EC1" w:rsidRDefault="00443EC1">
            <w:pPr>
              <w:spacing w:before="0" w:after="0" w:line="320" w:lineRule="exact"/>
              <w:jc w:val="both"/>
              <w:rPr>
                <w:rFonts w:hint="cs"/>
                <w:spacing w:val="0"/>
                <w:sz w:val="28"/>
                <w:szCs w:val="28"/>
              </w:rPr>
            </w:pPr>
            <w:r>
              <w:rPr>
                <w:rFonts w:hint="cs"/>
                <w:spacing w:val="0"/>
                <w:sz w:val="28"/>
                <w:szCs w:val="28"/>
                <w:rtl/>
              </w:rPr>
              <w:t>15</w:t>
            </w:r>
          </w:p>
        </w:tc>
        <w:tc>
          <w:tcPr>
            <w:tcW w:w="900" w:type="dxa"/>
            <w:tcBorders>
              <w:top w:val="nil"/>
            </w:tcBorders>
          </w:tcPr>
          <w:p w:rsidR="00443EC1" w:rsidRDefault="00443EC1">
            <w:pPr>
              <w:spacing w:before="0" w:after="0" w:line="320" w:lineRule="exact"/>
              <w:jc w:val="both"/>
              <w:rPr>
                <w:rFonts w:hint="cs"/>
                <w:spacing w:val="0"/>
                <w:sz w:val="28"/>
                <w:szCs w:val="28"/>
              </w:rPr>
            </w:pPr>
            <w:r>
              <w:rPr>
                <w:rFonts w:hint="cs"/>
                <w:spacing w:val="0"/>
                <w:sz w:val="28"/>
                <w:szCs w:val="28"/>
                <w:rtl/>
              </w:rPr>
              <w:t>350</w:t>
            </w:r>
          </w:p>
        </w:tc>
      </w:tr>
    </w:tbl>
    <w:p w:rsidR="00000000" w:rsidRDefault="00443EC1">
      <w:pPr>
        <w:spacing w:line="380" w:lineRule="exact"/>
        <w:jc w:val="both"/>
        <w:rPr>
          <w:rFonts w:hint="cs"/>
          <w:spacing w:val="0"/>
          <w:sz w:val="32"/>
          <w:rtl/>
        </w:rPr>
      </w:pPr>
      <w:r>
        <w:rPr>
          <w:rFonts w:hint="cs"/>
          <w:spacing w:val="0"/>
          <w:sz w:val="32"/>
          <w:rtl/>
        </w:rPr>
        <w:tab/>
        <w:t>ا</w:t>
      </w:r>
      <w:r>
        <w:rPr>
          <w:rFonts w:hint="cs"/>
          <w:i/>
          <w:iCs/>
          <w:spacing w:val="0"/>
          <w:sz w:val="32"/>
          <w:rtl/>
        </w:rPr>
        <w:t>لمصدر</w:t>
      </w:r>
      <w:r>
        <w:rPr>
          <w:rFonts w:hint="cs"/>
          <w:spacing w:val="0"/>
          <w:sz w:val="32"/>
          <w:rtl/>
        </w:rPr>
        <w:t>:</w:t>
      </w:r>
      <w:r>
        <w:rPr>
          <w:rFonts w:hint="cs"/>
          <w:spacing w:val="0"/>
          <w:sz w:val="32"/>
          <w:rtl/>
        </w:rPr>
        <w:tab/>
        <w:t>الحولية الإحصائية لعام 2001، إدارة الإحصاء والتعداد.</w:t>
      </w:r>
    </w:p>
    <w:p w:rsidR="00000000" w:rsidRDefault="00443EC1">
      <w:pPr>
        <w:tabs>
          <w:tab w:val="left" w:pos="894"/>
        </w:tabs>
        <w:spacing w:line="380" w:lineRule="exact"/>
        <w:jc w:val="both"/>
        <w:rPr>
          <w:rFonts w:hint="cs"/>
          <w:spacing w:val="0"/>
          <w:sz w:val="32"/>
          <w:rtl/>
        </w:rPr>
      </w:pPr>
      <w:r>
        <w:rPr>
          <w:rFonts w:hint="cs"/>
          <w:spacing w:val="0"/>
          <w:sz w:val="32"/>
          <w:rtl/>
        </w:rPr>
        <w:t>1053-</w:t>
      </w:r>
      <w:r>
        <w:rPr>
          <w:spacing w:val="0"/>
          <w:sz w:val="32"/>
          <w:rtl/>
        </w:rPr>
        <w:tab/>
      </w:r>
      <w:r>
        <w:rPr>
          <w:rFonts w:hint="cs"/>
          <w:spacing w:val="0"/>
          <w:sz w:val="32"/>
          <w:rtl/>
        </w:rPr>
        <w:t>يوفر المستشفيان عدداً إجم</w:t>
      </w:r>
      <w:r>
        <w:rPr>
          <w:rFonts w:hint="cs"/>
          <w:spacing w:val="0"/>
          <w:sz w:val="32"/>
          <w:rtl/>
        </w:rPr>
        <w:t>الياً من الأسرة يبلغ 1099 سريراً (980 سريراً منها للاحتجاز و119 سريراً منها للحالات المستعجلة) إضافة إلى 4 غرف توليد و15 غرفة عمليات.  ويبلغ معدل الإقامة في المستشفى 71.2 في المائة.</w:t>
      </w:r>
    </w:p>
    <w:p w:rsidR="00000000" w:rsidRDefault="00443EC1">
      <w:pPr>
        <w:tabs>
          <w:tab w:val="left" w:pos="894"/>
        </w:tabs>
        <w:spacing w:line="380" w:lineRule="exact"/>
        <w:jc w:val="both"/>
        <w:rPr>
          <w:rFonts w:hint="cs"/>
          <w:spacing w:val="0"/>
          <w:sz w:val="32"/>
          <w:rtl/>
        </w:rPr>
      </w:pPr>
      <w:r>
        <w:rPr>
          <w:rFonts w:hint="cs"/>
          <w:spacing w:val="0"/>
          <w:sz w:val="32"/>
          <w:rtl/>
        </w:rPr>
        <w:t>1054-</w:t>
      </w:r>
      <w:r>
        <w:rPr>
          <w:spacing w:val="0"/>
          <w:sz w:val="32"/>
          <w:rtl/>
        </w:rPr>
        <w:tab/>
      </w:r>
      <w:r>
        <w:rPr>
          <w:rFonts w:hint="cs"/>
          <w:spacing w:val="0"/>
          <w:sz w:val="32"/>
          <w:rtl/>
        </w:rPr>
        <w:t xml:space="preserve">وما انفك الطلب على خدمات المستشفيات يتزايد. وفي عام 2001 شهدت وحدتا </w:t>
      </w:r>
      <w:r>
        <w:rPr>
          <w:rFonts w:hint="cs"/>
          <w:spacing w:val="0"/>
          <w:sz w:val="32"/>
          <w:rtl/>
        </w:rPr>
        <w:t>الاستعجالات في كلا المستشفيين، 073 250 حالة في المجموع أي بزيادة قدرتها 13.8 في المائة بالمقارنة مع العام السابق. وكانت الأسباب وراء معظم الحالات تتمثل في المرض (94.5 في المائة) يليه الحمل (1.6 في المائة). وبلغ مجموع الاستشارات الطبية التي سجلها المستشفى ا</w:t>
      </w:r>
      <w:r>
        <w:rPr>
          <w:rFonts w:hint="cs"/>
          <w:spacing w:val="0"/>
          <w:sz w:val="32"/>
          <w:rtl/>
        </w:rPr>
        <w:t>لعام 360 175 استشارة كان معظمها يتعلق بأمراض النساء والتوليد وأمراض العيون وجراحة العظام والإصابات.</w:t>
      </w:r>
    </w:p>
    <w:p w:rsidR="00000000" w:rsidRDefault="00443EC1">
      <w:pPr>
        <w:tabs>
          <w:tab w:val="left" w:pos="894"/>
        </w:tabs>
        <w:spacing w:line="380" w:lineRule="exact"/>
        <w:jc w:val="both"/>
        <w:rPr>
          <w:rFonts w:hint="cs"/>
          <w:spacing w:val="0"/>
          <w:sz w:val="32"/>
          <w:rtl/>
        </w:rPr>
      </w:pPr>
      <w:r>
        <w:rPr>
          <w:rFonts w:hint="cs"/>
          <w:spacing w:val="0"/>
          <w:sz w:val="32"/>
          <w:rtl/>
        </w:rPr>
        <w:t>1055-</w:t>
      </w:r>
      <w:r>
        <w:rPr>
          <w:spacing w:val="0"/>
          <w:sz w:val="32"/>
          <w:rtl/>
        </w:rPr>
        <w:tab/>
        <w:t xml:space="preserve">علاوة على ذلك، هناك مركز للوقاية من الأمراض ورصدها في خمس </w:t>
      </w:r>
      <w:r>
        <w:rPr>
          <w:rFonts w:hint="cs"/>
          <w:spacing w:val="0"/>
          <w:sz w:val="32"/>
          <w:rtl/>
        </w:rPr>
        <w:t>مجالات</w:t>
      </w:r>
      <w:r>
        <w:rPr>
          <w:spacing w:val="0"/>
          <w:sz w:val="32"/>
          <w:rtl/>
        </w:rPr>
        <w:t xml:space="preserve"> وظيفية </w:t>
      </w:r>
      <w:r>
        <w:rPr>
          <w:rFonts w:hint="cs"/>
          <w:spacing w:val="0"/>
          <w:sz w:val="32"/>
          <w:rtl/>
        </w:rPr>
        <w:t>هي: وحدة الوقاية من الأمراض المعدية، ووحدة الأغذية والبيئة، ووحدة التخطيط الصح</w:t>
      </w:r>
      <w:r>
        <w:rPr>
          <w:rFonts w:hint="cs"/>
          <w:spacing w:val="0"/>
          <w:sz w:val="32"/>
          <w:rtl/>
        </w:rPr>
        <w:t>ي، ووحدة التوعية الصحية ورصد الأمراض المزمنة، ووحدة الصحة المهنية.</w:t>
      </w:r>
    </w:p>
    <w:p w:rsidR="00000000" w:rsidRDefault="00443EC1">
      <w:pPr>
        <w:tabs>
          <w:tab w:val="left" w:pos="894"/>
        </w:tabs>
        <w:spacing w:line="380" w:lineRule="exact"/>
        <w:jc w:val="both"/>
        <w:rPr>
          <w:rFonts w:hint="cs"/>
          <w:spacing w:val="0"/>
          <w:sz w:val="32"/>
          <w:rtl/>
        </w:rPr>
      </w:pPr>
      <w:r>
        <w:rPr>
          <w:rFonts w:hint="cs"/>
          <w:spacing w:val="0"/>
          <w:sz w:val="32"/>
          <w:rtl/>
        </w:rPr>
        <w:t>1056-</w:t>
      </w:r>
      <w:r>
        <w:rPr>
          <w:spacing w:val="0"/>
          <w:sz w:val="32"/>
          <w:rtl/>
        </w:rPr>
        <w:tab/>
      </w:r>
      <w:r>
        <w:rPr>
          <w:rFonts w:hint="cs"/>
          <w:spacing w:val="0"/>
          <w:sz w:val="32"/>
          <w:rtl/>
        </w:rPr>
        <w:t>يبلغ العدد الإجمالي للأطباء العاملين في مقاطعة ماكاو الإدارية الخاصة 891 طبيبا (من ذوي الاختصاصات الطبية المتعددة)، ويبلغ عدد الممرضات 960 ممرضة.  وبلغ مجموع عدد العاملين في المستشفيا</w:t>
      </w:r>
      <w:r>
        <w:rPr>
          <w:rFonts w:hint="cs"/>
          <w:spacing w:val="0"/>
          <w:sz w:val="32"/>
          <w:rtl/>
        </w:rPr>
        <w:t>ت 160 2 عاملا في عام 2001.</w:t>
      </w:r>
    </w:p>
    <w:p w:rsidR="00000000" w:rsidRDefault="00443EC1">
      <w:pPr>
        <w:tabs>
          <w:tab w:val="left" w:pos="894"/>
        </w:tabs>
        <w:spacing w:line="380" w:lineRule="exact"/>
        <w:jc w:val="both"/>
        <w:rPr>
          <w:rFonts w:hint="cs"/>
          <w:spacing w:val="0"/>
          <w:sz w:val="32"/>
          <w:rtl/>
        </w:rPr>
      </w:pPr>
      <w:r>
        <w:rPr>
          <w:rFonts w:hint="cs"/>
          <w:spacing w:val="0"/>
          <w:sz w:val="32"/>
          <w:rtl/>
        </w:rPr>
        <w:t>1057-</w:t>
      </w:r>
      <w:r>
        <w:rPr>
          <w:spacing w:val="0"/>
          <w:sz w:val="32"/>
          <w:rtl/>
        </w:rPr>
        <w:tab/>
      </w:r>
      <w:r>
        <w:rPr>
          <w:rFonts w:hint="cs"/>
          <w:spacing w:val="0"/>
          <w:sz w:val="32"/>
          <w:rtl/>
        </w:rPr>
        <w:t>وت</w:t>
      </w:r>
      <w:r>
        <w:rPr>
          <w:spacing w:val="0"/>
          <w:sz w:val="32"/>
          <w:rtl/>
        </w:rPr>
        <w:t xml:space="preserve">دعم وزارة الصحة التدريب المستمر للعاملين المتخصصين في قطاع الرعاية الصحية </w:t>
      </w:r>
      <w:r>
        <w:rPr>
          <w:rFonts w:hint="cs"/>
          <w:spacing w:val="0"/>
          <w:sz w:val="32"/>
          <w:rtl/>
        </w:rPr>
        <w:t>والتعاون المباشر مع الأخصائيين الاجتماعيين. وتجري الوزارة بعض الإصلاحات كخدمات إعادة تنظيم وتوزيع الموارد الفنية وترشيد الممارسات وتحسين نظام قاعدة</w:t>
      </w:r>
      <w:r>
        <w:rPr>
          <w:rFonts w:hint="cs"/>
          <w:spacing w:val="0"/>
          <w:sz w:val="32"/>
          <w:rtl/>
        </w:rPr>
        <w:t xml:space="preserve"> البيانات وزيادة معدلات الحضور.</w:t>
      </w:r>
    </w:p>
    <w:p w:rsidR="00000000" w:rsidRDefault="00443EC1">
      <w:pPr>
        <w:tabs>
          <w:tab w:val="left" w:pos="894"/>
        </w:tabs>
        <w:spacing w:line="380" w:lineRule="exact"/>
        <w:jc w:val="both"/>
        <w:rPr>
          <w:rFonts w:hint="cs"/>
          <w:spacing w:val="0"/>
          <w:sz w:val="32"/>
          <w:rtl/>
        </w:rPr>
      </w:pPr>
      <w:r>
        <w:rPr>
          <w:rFonts w:hint="cs"/>
          <w:spacing w:val="0"/>
          <w:sz w:val="32"/>
          <w:rtl/>
        </w:rPr>
        <w:t>1058-</w:t>
      </w:r>
      <w:r>
        <w:rPr>
          <w:spacing w:val="0"/>
          <w:sz w:val="32"/>
          <w:rtl/>
        </w:rPr>
        <w:tab/>
      </w:r>
      <w:r>
        <w:rPr>
          <w:rFonts w:hint="cs"/>
          <w:spacing w:val="0"/>
          <w:sz w:val="32"/>
          <w:rtl/>
        </w:rPr>
        <w:t>وتقدم الرعاية الصحية في الحالات المستعجلة مجاناً. وأجرة الاستشارة الطبية في متناول يد غالبية السكان.</w:t>
      </w:r>
    </w:p>
    <w:p w:rsidR="00000000" w:rsidRDefault="00443EC1">
      <w:pPr>
        <w:tabs>
          <w:tab w:val="left" w:pos="894"/>
        </w:tabs>
        <w:spacing w:line="380" w:lineRule="exact"/>
        <w:jc w:val="center"/>
        <w:rPr>
          <w:rFonts w:hint="cs"/>
          <w:b/>
          <w:bCs/>
          <w:spacing w:val="0"/>
          <w:sz w:val="32"/>
          <w:rtl/>
        </w:rPr>
      </w:pPr>
      <w:r>
        <w:rPr>
          <w:rFonts w:hint="cs"/>
          <w:b/>
          <w:bCs/>
          <w:spacing w:val="0"/>
          <w:sz w:val="32"/>
          <w:rtl/>
        </w:rPr>
        <w:t>دال - نفقات الرعاية الصحية</w:t>
      </w:r>
    </w:p>
    <w:p w:rsidR="00000000" w:rsidRDefault="00443EC1">
      <w:pPr>
        <w:tabs>
          <w:tab w:val="left" w:pos="894"/>
        </w:tabs>
        <w:spacing w:line="380" w:lineRule="exact"/>
        <w:jc w:val="both"/>
        <w:rPr>
          <w:rFonts w:hint="cs"/>
          <w:spacing w:val="0"/>
          <w:sz w:val="32"/>
          <w:rtl/>
        </w:rPr>
      </w:pPr>
      <w:r>
        <w:rPr>
          <w:rFonts w:hint="cs"/>
          <w:spacing w:val="0"/>
          <w:sz w:val="32"/>
          <w:rtl/>
        </w:rPr>
        <w:t>1059-</w:t>
      </w:r>
      <w:r>
        <w:rPr>
          <w:spacing w:val="0"/>
          <w:sz w:val="32"/>
          <w:rtl/>
        </w:rPr>
        <w:tab/>
      </w:r>
      <w:r>
        <w:rPr>
          <w:rFonts w:hint="cs"/>
          <w:spacing w:val="0"/>
          <w:sz w:val="32"/>
          <w:rtl/>
        </w:rPr>
        <w:t>تكفل وزارة الصحة الوصول إلى خدمات الرعاية الصحية والرعاية الصحية المجانية لجميع سكان</w:t>
      </w:r>
      <w:r>
        <w:rPr>
          <w:rFonts w:hint="cs"/>
          <w:spacing w:val="0"/>
          <w:sz w:val="32"/>
          <w:rtl/>
        </w:rPr>
        <w:t xml:space="preserve"> مقاطعة ماكاو الإدارية الخاصة. فمبدأ وصول عموم الناس للرعاية الصحية مجاناً أمر منصوص عليه قانونا. وتغطي ميزانية المقاطعة تكاليف الرعاية الصحية كليا أو جزئيا حسب نوع المرض أو الوضعية الاجتماعية والاقتصادية للمريض أو أية خطة أخرى للرعاية الصحية من القطاع الخ</w:t>
      </w:r>
      <w:r>
        <w:rPr>
          <w:rFonts w:hint="cs"/>
          <w:spacing w:val="0"/>
          <w:sz w:val="32"/>
          <w:rtl/>
        </w:rPr>
        <w:t>اص (المادتان 3 و14 من المرسوم بقانون 24/86/م).</w:t>
      </w:r>
    </w:p>
    <w:p w:rsidR="00000000" w:rsidRDefault="00443EC1">
      <w:pPr>
        <w:tabs>
          <w:tab w:val="left" w:pos="894"/>
        </w:tabs>
        <w:spacing w:line="380" w:lineRule="exact"/>
        <w:jc w:val="both"/>
        <w:rPr>
          <w:rFonts w:hint="cs"/>
          <w:spacing w:val="0"/>
          <w:sz w:val="32"/>
          <w:rtl/>
        </w:rPr>
      </w:pPr>
      <w:r>
        <w:rPr>
          <w:rFonts w:hint="cs"/>
          <w:spacing w:val="0"/>
          <w:sz w:val="32"/>
          <w:rtl/>
        </w:rPr>
        <w:t>1060-</w:t>
      </w:r>
      <w:r>
        <w:rPr>
          <w:spacing w:val="0"/>
          <w:sz w:val="32"/>
          <w:rtl/>
        </w:rPr>
        <w:tab/>
      </w:r>
      <w:r>
        <w:rPr>
          <w:rFonts w:hint="cs"/>
          <w:spacing w:val="0"/>
          <w:sz w:val="32"/>
          <w:rtl/>
        </w:rPr>
        <w:t>والرعاية الصحية مجانية في المراكز الصحية العامة التي تقدم الرعاية الطبية وخدمات التمريض والتطبيب للأشخاص الذين يشتبه في إصابتهم بأمراض معدية لأسباب تتعلق بحماية الصحة العامة ومدمني المخدرات والأشخاص الذي</w:t>
      </w:r>
      <w:r>
        <w:rPr>
          <w:rFonts w:hint="cs"/>
          <w:spacing w:val="0"/>
          <w:sz w:val="32"/>
          <w:rtl/>
        </w:rPr>
        <w:t>ن يعانون من السرطان أو يحتاجون إلى مساعدة أخصائي نفساني ولأغراض تنظيم الأسرة، وللجماعات المعرضة للخطر (كالنساء الحوامل) وللولادة وللرعاية بعد الولادة وللأطفال في المدارس الابتدائية والثانوية، وللسجناء، وللأسر والأفراد الذين يعيشون تحت خط الفقر، ولمن تجاوزو</w:t>
      </w:r>
      <w:r>
        <w:rPr>
          <w:rFonts w:hint="cs"/>
          <w:spacing w:val="0"/>
          <w:sz w:val="32"/>
          <w:rtl/>
        </w:rPr>
        <w:t>ا سن الخامسة والستين.</w:t>
      </w:r>
    </w:p>
    <w:p w:rsidR="00000000" w:rsidRDefault="00443EC1">
      <w:pPr>
        <w:spacing w:line="380" w:lineRule="exact"/>
        <w:jc w:val="both"/>
        <w:rPr>
          <w:rFonts w:hint="cs"/>
          <w:b/>
          <w:bCs/>
          <w:spacing w:val="0"/>
          <w:sz w:val="32"/>
          <w:rtl/>
        </w:rPr>
      </w:pPr>
    </w:p>
    <w:p w:rsidR="00000000" w:rsidRDefault="00443EC1">
      <w:pPr>
        <w:spacing w:line="380" w:lineRule="exact"/>
        <w:jc w:val="both"/>
        <w:rPr>
          <w:rFonts w:hint="cs"/>
          <w:b/>
          <w:bCs/>
          <w:spacing w:val="0"/>
          <w:sz w:val="32"/>
          <w:rtl/>
        </w:rPr>
      </w:pPr>
      <w:r>
        <w:rPr>
          <w:rFonts w:hint="cs"/>
          <w:b/>
          <w:bCs/>
          <w:spacing w:val="0"/>
          <w:sz w:val="32"/>
          <w:rtl/>
        </w:rPr>
        <w:t>حصة نفقات الصحة من ميزانية مقاطعة ماكاو الإدارية الخاصة (بآلاف الباتاكا)</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20"/>
        <w:gridCol w:w="1260"/>
        <w:gridCol w:w="1260"/>
        <w:gridCol w:w="1260"/>
        <w:gridCol w:w="1260"/>
      </w:tblGrid>
      <w:tr w:rsidR="00443EC1" w:rsidTr="00443EC1">
        <w:tblPrEx>
          <w:tblCellMar>
            <w:top w:w="0" w:type="dxa"/>
            <w:bottom w:w="0" w:type="dxa"/>
          </w:tblCellMar>
        </w:tblPrEx>
        <w:trPr>
          <w:jc w:val="center"/>
        </w:trPr>
        <w:tc>
          <w:tcPr>
            <w:tcW w:w="4320" w:type="dxa"/>
          </w:tcPr>
          <w:p w:rsidR="00443EC1" w:rsidRDefault="00443EC1">
            <w:pPr>
              <w:spacing w:before="0" w:after="0" w:line="320" w:lineRule="exact"/>
              <w:jc w:val="center"/>
              <w:rPr>
                <w:rFonts w:hint="cs"/>
                <w:spacing w:val="0"/>
                <w:sz w:val="30"/>
                <w:szCs w:val="28"/>
              </w:rPr>
            </w:pPr>
            <w:r>
              <w:rPr>
                <w:rFonts w:hint="cs"/>
                <w:spacing w:val="0"/>
                <w:sz w:val="32"/>
                <w:szCs w:val="28"/>
                <w:rtl/>
              </w:rPr>
              <w:t>العام</w:t>
            </w:r>
          </w:p>
        </w:tc>
        <w:tc>
          <w:tcPr>
            <w:tcW w:w="1260" w:type="dxa"/>
          </w:tcPr>
          <w:p w:rsidR="00443EC1" w:rsidRDefault="00443EC1">
            <w:pPr>
              <w:spacing w:before="0" w:after="0" w:line="320" w:lineRule="exact"/>
              <w:jc w:val="center"/>
              <w:rPr>
                <w:rFonts w:hint="cs"/>
                <w:spacing w:val="0"/>
                <w:sz w:val="30"/>
                <w:szCs w:val="28"/>
              </w:rPr>
            </w:pPr>
            <w:r>
              <w:rPr>
                <w:rFonts w:hint="cs"/>
                <w:spacing w:val="0"/>
                <w:sz w:val="30"/>
                <w:szCs w:val="28"/>
                <w:rtl/>
              </w:rPr>
              <w:t>1999</w:t>
            </w:r>
          </w:p>
        </w:tc>
        <w:tc>
          <w:tcPr>
            <w:tcW w:w="1260" w:type="dxa"/>
          </w:tcPr>
          <w:p w:rsidR="00443EC1" w:rsidRDefault="00443EC1">
            <w:pPr>
              <w:spacing w:before="0" w:after="0" w:line="320" w:lineRule="exact"/>
              <w:jc w:val="center"/>
              <w:rPr>
                <w:rFonts w:hint="cs"/>
                <w:spacing w:val="0"/>
                <w:sz w:val="30"/>
                <w:szCs w:val="28"/>
              </w:rPr>
            </w:pPr>
            <w:r>
              <w:rPr>
                <w:rFonts w:hint="cs"/>
                <w:spacing w:val="0"/>
                <w:sz w:val="30"/>
                <w:szCs w:val="28"/>
                <w:rtl/>
              </w:rPr>
              <w:t>2000</w:t>
            </w:r>
          </w:p>
        </w:tc>
        <w:tc>
          <w:tcPr>
            <w:tcW w:w="1260" w:type="dxa"/>
          </w:tcPr>
          <w:p w:rsidR="00443EC1" w:rsidRDefault="00443EC1">
            <w:pPr>
              <w:spacing w:before="0" w:after="0" w:line="320" w:lineRule="exact"/>
              <w:jc w:val="center"/>
              <w:rPr>
                <w:rFonts w:hint="cs"/>
                <w:spacing w:val="0"/>
                <w:sz w:val="30"/>
                <w:szCs w:val="28"/>
              </w:rPr>
            </w:pPr>
            <w:r>
              <w:rPr>
                <w:rFonts w:hint="cs"/>
                <w:spacing w:val="0"/>
                <w:sz w:val="30"/>
                <w:szCs w:val="28"/>
                <w:rtl/>
              </w:rPr>
              <w:t>2001</w:t>
            </w:r>
          </w:p>
        </w:tc>
        <w:tc>
          <w:tcPr>
            <w:tcW w:w="1260" w:type="dxa"/>
          </w:tcPr>
          <w:p w:rsidR="00443EC1" w:rsidRDefault="00443EC1">
            <w:pPr>
              <w:spacing w:before="0" w:after="0" w:line="320" w:lineRule="exact"/>
              <w:jc w:val="center"/>
              <w:rPr>
                <w:rFonts w:hint="cs"/>
                <w:spacing w:val="0"/>
                <w:sz w:val="30"/>
                <w:szCs w:val="28"/>
              </w:rPr>
            </w:pPr>
            <w:r>
              <w:rPr>
                <w:rFonts w:hint="cs"/>
                <w:spacing w:val="0"/>
                <w:sz w:val="30"/>
                <w:szCs w:val="28"/>
                <w:rtl/>
              </w:rPr>
              <w:t>2002</w:t>
            </w:r>
          </w:p>
        </w:tc>
      </w:tr>
      <w:tr w:rsidR="00443EC1" w:rsidTr="00443EC1">
        <w:tblPrEx>
          <w:tblCellMar>
            <w:top w:w="0" w:type="dxa"/>
            <w:bottom w:w="0" w:type="dxa"/>
          </w:tblCellMar>
        </w:tblPrEx>
        <w:trPr>
          <w:jc w:val="center"/>
        </w:trPr>
        <w:tc>
          <w:tcPr>
            <w:tcW w:w="4320" w:type="dxa"/>
          </w:tcPr>
          <w:p w:rsidR="00443EC1" w:rsidRDefault="00443EC1">
            <w:pPr>
              <w:spacing w:before="0" w:after="0" w:line="320" w:lineRule="exact"/>
              <w:jc w:val="both"/>
              <w:rPr>
                <w:rFonts w:hint="cs"/>
                <w:spacing w:val="0"/>
                <w:sz w:val="30"/>
                <w:szCs w:val="28"/>
              </w:rPr>
            </w:pPr>
            <w:r>
              <w:rPr>
                <w:rFonts w:hint="cs"/>
                <w:spacing w:val="0"/>
                <w:sz w:val="32"/>
                <w:szCs w:val="28"/>
                <w:rtl/>
              </w:rPr>
              <w:t>الإنفاق على الصحة</w:t>
            </w:r>
          </w:p>
        </w:tc>
        <w:tc>
          <w:tcPr>
            <w:tcW w:w="1260" w:type="dxa"/>
          </w:tcPr>
          <w:p w:rsidR="00443EC1" w:rsidRDefault="00443EC1">
            <w:pPr>
              <w:spacing w:before="0" w:after="0" w:line="320" w:lineRule="exact"/>
              <w:jc w:val="both"/>
              <w:rPr>
                <w:rFonts w:hint="cs"/>
                <w:spacing w:val="0"/>
                <w:sz w:val="30"/>
                <w:szCs w:val="28"/>
              </w:rPr>
            </w:pPr>
            <w:r>
              <w:rPr>
                <w:rFonts w:hint="cs"/>
                <w:spacing w:val="0"/>
                <w:sz w:val="30"/>
                <w:szCs w:val="28"/>
                <w:rtl/>
              </w:rPr>
              <w:t>614 954</w:t>
            </w:r>
          </w:p>
        </w:tc>
        <w:tc>
          <w:tcPr>
            <w:tcW w:w="1260" w:type="dxa"/>
          </w:tcPr>
          <w:p w:rsidR="00443EC1" w:rsidRDefault="00443EC1">
            <w:pPr>
              <w:spacing w:before="0" w:after="0" w:line="320" w:lineRule="exact"/>
              <w:jc w:val="both"/>
              <w:rPr>
                <w:rFonts w:hint="cs"/>
                <w:spacing w:val="0"/>
                <w:sz w:val="30"/>
                <w:szCs w:val="28"/>
              </w:rPr>
            </w:pPr>
            <w:r>
              <w:rPr>
                <w:rFonts w:hint="cs"/>
                <w:spacing w:val="0"/>
                <w:sz w:val="30"/>
                <w:szCs w:val="28"/>
                <w:rtl/>
              </w:rPr>
              <w:t>583 133 1</w:t>
            </w:r>
          </w:p>
        </w:tc>
        <w:tc>
          <w:tcPr>
            <w:tcW w:w="1260" w:type="dxa"/>
          </w:tcPr>
          <w:p w:rsidR="00443EC1" w:rsidRDefault="00443EC1">
            <w:pPr>
              <w:spacing w:before="0" w:after="0" w:line="320" w:lineRule="exact"/>
              <w:jc w:val="both"/>
              <w:rPr>
                <w:rFonts w:hint="cs"/>
                <w:spacing w:val="0"/>
                <w:sz w:val="30"/>
                <w:szCs w:val="28"/>
              </w:rPr>
            </w:pPr>
            <w:r>
              <w:rPr>
                <w:rFonts w:hint="cs"/>
                <w:spacing w:val="0"/>
                <w:sz w:val="30"/>
                <w:szCs w:val="28"/>
                <w:rtl/>
              </w:rPr>
              <w:t>988 798</w:t>
            </w:r>
          </w:p>
        </w:tc>
        <w:tc>
          <w:tcPr>
            <w:tcW w:w="1260" w:type="dxa"/>
          </w:tcPr>
          <w:p w:rsidR="00443EC1" w:rsidRDefault="00443EC1">
            <w:pPr>
              <w:spacing w:before="0" w:after="0" w:line="320" w:lineRule="exact"/>
              <w:jc w:val="both"/>
              <w:rPr>
                <w:rFonts w:hint="cs"/>
                <w:spacing w:val="0"/>
                <w:sz w:val="30"/>
                <w:szCs w:val="28"/>
              </w:rPr>
            </w:pPr>
            <w:r>
              <w:rPr>
                <w:rFonts w:hint="cs"/>
                <w:spacing w:val="0"/>
                <w:sz w:val="30"/>
                <w:szCs w:val="28"/>
                <w:rtl/>
              </w:rPr>
              <w:t>208 639</w:t>
            </w:r>
          </w:p>
        </w:tc>
      </w:tr>
      <w:tr w:rsidR="00443EC1" w:rsidTr="00443EC1">
        <w:tblPrEx>
          <w:tblCellMar>
            <w:top w:w="0" w:type="dxa"/>
            <w:bottom w:w="0" w:type="dxa"/>
          </w:tblCellMar>
        </w:tblPrEx>
        <w:trPr>
          <w:jc w:val="center"/>
        </w:trPr>
        <w:tc>
          <w:tcPr>
            <w:tcW w:w="4320" w:type="dxa"/>
          </w:tcPr>
          <w:p w:rsidR="00443EC1" w:rsidRDefault="00443EC1">
            <w:pPr>
              <w:spacing w:before="0" w:after="0" w:line="320" w:lineRule="exact"/>
              <w:jc w:val="both"/>
              <w:rPr>
                <w:rFonts w:hint="cs"/>
                <w:spacing w:val="0"/>
                <w:sz w:val="30"/>
                <w:szCs w:val="28"/>
              </w:rPr>
            </w:pPr>
            <w:r>
              <w:rPr>
                <w:rFonts w:hint="cs"/>
                <w:spacing w:val="0"/>
                <w:sz w:val="32"/>
                <w:szCs w:val="28"/>
                <w:rtl/>
              </w:rPr>
              <w:t>الحصة من ميزانية مقاطعة ماكاو الإدارية الخاصة</w:t>
            </w:r>
          </w:p>
        </w:tc>
        <w:tc>
          <w:tcPr>
            <w:tcW w:w="1260" w:type="dxa"/>
          </w:tcPr>
          <w:p w:rsidR="00443EC1" w:rsidRDefault="00443EC1">
            <w:pPr>
              <w:spacing w:before="0" w:after="0" w:line="320" w:lineRule="exact"/>
              <w:jc w:val="both"/>
              <w:rPr>
                <w:rFonts w:hint="cs"/>
                <w:spacing w:val="0"/>
                <w:sz w:val="30"/>
                <w:szCs w:val="28"/>
                <w:rtl/>
              </w:rPr>
            </w:pPr>
            <w:r>
              <w:rPr>
                <w:rFonts w:hint="cs"/>
                <w:spacing w:val="0"/>
                <w:sz w:val="30"/>
                <w:szCs w:val="28"/>
                <w:rtl/>
              </w:rPr>
              <w:t>9.74</w:t>
            </w:r>
            <w:r>
              <w:rPr>
                <w:rFonts w:cs="Mudir MT" w:hint="cs"/>
                <w:spacing w:val="0"/>
                <w:sz w:val="24"/>
                <w:szCs w:val="24"/>
                <w:rtl/>
                <w:lang w:eastAsia="en-US"/>
              </w:rPr>
              <w:t>%</w:t>
            </w:r>
          </w:p>
        </w:tc>
        <w:tc>
          <w:tcPr>
            <w:tcW w:w="1260" w:type="dxa"/>
          </w:tcPr>
          <w:p w:rsidR="00443EC1" w:rsidRDefault="00443EC1">
            <w:pPr>
              <w:spacing w:before="0" w:after="0" w:line="320" w:lineRule="exact"/>
              <w:jc w:val="both"/>
              <w:rPr>
                <w:rFonts w:hint="cs"/>
                <w:spacing w:val="0"/>
                <w:sz w:val="30"/>
                <w:szCs w:val="28"/>
              </w:rPr>
            </w:pPr>
            <w:r>
              <w:rPr>
                <w:rFonts w:hint="cs"/>
                <w:spacing w:val="0"/>
                <w:sz w:val="30"/>
                <w:szCs w:val="28"/>
                <w:rtl/>
              </w:rPr>
              <w:t>12.93</w:t>
            </w:r>
            <w:r>
              <w:rPr>
                <w:rFonts w:cs="Mudir MT" w:hint="cs"/>
                <w:spacing w:val="0"/>
                <w:sz w:val="24"/>
                <w:szCs w:val="24"/>
                <w:rtl/>
                <w:lang w:eastAsia="en-US"/>
              </w:rPr>
              <w:t>%</w:t>
            </w:r>
          </w:p>
        </w:tc>
        <w:tc>
          <w:tcPr>
            <w:tcW w:w="1260" w:type="dxa"/>
          </w:tcPr>
          <w:p w:rsidR="00443EC1" w:rsidRDefault="00443EC1">
            <w:pPr>
              <w:spacing w:before="0" w:after="0" w:line="320" w:lineRule="exact"/>
              <w:jc w:val="both"/>
              <w:rPr>
                <w:rFonts w:hint="cs"/>
                <w:spacing w:val="0"/>
                <w:sz w:val="30"/>
                <w:szCs w:val="28"/>
              </w:rPr>
            </w:pPr>
            <w:r>
              <w:rPr>
                <w:rFonts w:hint="cs"/>
                <w:spacing w:val="0"/>
                <w:sz w:val="30"/>
                <w:szCs w:val="28"/>
                <w:rtl/>
              </w:rPr>
              <w:t>8.5</w:t>
            </w:r>
            <w:r>
              <w:rPr>
                <w:rFonts w:cs="Mudir MT" w:hint="cs"/>
                <w:spacing w:val="0"/>
                <w:sz w:val="24"/>
                <w:szCs w:val="24"/>
                <w:rtl/>
                <w:lang w:eastAsia="en-US"/>
              </w:rPr>
              <w:t>%</w:t>
            </w:r>
          </w:p>
        </w:tc>
        <w:tc>
          <w:tcPr>
            <w:tcW w:w="1260" w:type="dxa"/>
          </w:tcPr>
          <w:p w:rsidR="00443EC1" w:rsidRDefault="00443EC1">
            <w:pPr>
              <w:spacing w:before="0" w:after="0" w:line="320" w:lineRule="exact"/>
              <w:jc w:val="both"/>
              <w:rPr>
                <w:rFonts w:hint="cs"/>
                <w:spacing w:val="0"/>
                <w:sz w:val="30"/>
                <w:szCs w:val="28"/>
              </w:rPr>
            </w:pPr>
            <w:r>
              <w:rPr>
                <w:rFonts w:hint="cs"/>
                <w:spacing w:val="0"/>
                <w:sz w:val="30"/>
                <w:szCs w:val="28"/>
                <w:rtl/>
              </w:rPr>
              <w:t>6.7</w:t>
            </w:r>
            <w:r>
              <w:rPr>
                <w:rFonts w:cs="Mudir MT" w:hint="cs"/>
                <w:spacing w:val="0"/>
                <w:sz w:val="24"/>
                <w:szCs w:val="24"/>
                <w:rtl/>
                <w:lang w:eastAsia="en-US"/>
              </w:rPr>
              <w:t>%</w:t>
            </w:r>
          </w:p>
        </w:tc>
      </w:tr>
    </w:tbl>
    <w:p w:rsidR="00000000" w:rsidRDefault="00443EC1">
      <w:pPr>
        <w:spacing w:line="380" w:lineRule="exact"/>
        <w:jc w:val="both"/>
        <w:rPr>
          <w:rFonts w:hint="cs"/>
          <w:spacing w:val="0"/>
          <w:sz w:val="32"/>
          <w:rtl/>
        </w:rPr>
      </w:pPr>
      <w:r>
        <w:rPr>
          <w:i/>
          <w:iCs/>
          <w:spacing w:val="0"/>
          <w:sz w:val="32"/>
          <w:rtl/>
        </w:rPr>
        <w:tab/>
      </w:r>
      <w:r>
        <w:rPr>
          <w:rFonts w:hint="cs"/>
          <w:i/>
          <w:iCs/>
          <w:spacing w:val="0"/>
          <w:sz w:val="32"/>
          <w:rtl/>
        </w:rPr>
        <w:t>المصدر</w:t>
      </w:r>
      <w:r>
        <w:rPr>
          <w:rFonts w:hint="cs"/>
          <w:spacing w:val="0"/>
          <w:sz w:val="32"/>
          <w:rtl/>
        </w:rPr>
        <w:t>:</w:t>
      </w:r>
      <w:r>
        <w:rPr>
          <w:rFonts w:hint="cs"/>
          <w:spacing w:val="0"/>
          <w:sz w:val="32"/>
          <w:rtl/>
        </w:rPr>
        <w:tab/>
        <w:t>و</w:t>
      </w:r>
      <w:r>
        <w:rPr>
          <w:rFonts w:hint="cs"/>
          <w:spacing w:val="0"/>
          <w:sz w:val="32"/>
          <w:rtl/>
        </w:rPr>
        <w:t>زارة المالية، 2003.</w:t>
      </w:r>
    </w:p>
    <w:p w:rsidR="00000000" w:rsidRDefault="00443EC1">
      <w:pPr>
        <w:spacing w:line="380" w:lineRule="exact"/>
        <w:jc w:val="center"/>
        <w:rPr>
          <w:b/>
          <w:bCs/>
          <w:spacing w:val="0"/>
          <w:sz w:val="32"/>
          <w:rtl/>
        </w:rPr>
      </w:pPr>
      <w:r>
        <w:rPr>
          <w:rFonts w:hint="cs"/>
          <w:b/>
          <w:bCs/>
          <w:spacing w:val="0"/>
          <w:sz w:val="32"/>
          <w:rtl/>
        </w:rPr>
        <w:t xml:space="preserve">هاء - </w:t>
      </w:r>
      <w:r>
        <w:rPr>
          <w:b/>
          <w:bCs/>
          <w:spacing w:val="0"/>
          <w:sz w:val="32"/>
          <w:rtl/>
        </w:rPr>
        <w:t>سياسات وإجراءات أخرى تتعلق بالوقاية من الأمراض و</w:t>
      </w:r>
      <w:r>
        <w:rPr>
          <w:rFonts w:hint="cs"/>
          <w:b/>
          <w:bCs/>
          <w:spacing w:val="0"/>
          <w:sz w:val="32"/>
          <w:rtl/>
        </w:rPr>
        <w:t>مكافحتها</w:t>
      </w:r>
    </w:p>
    <w:p w:rsidR="00000000" w:rsidRDefault="00443EC1">
      <w:pPr>
        <w:spacing w:line="380" w:lineRule="exact"/>
        <w:jc w:val="both"/>
        <w:rPr>
          <w:rFonts w:hint="cs"/>
          <w:b/>
          <w:bCs/>
          <w:spacing w:val="0"/>
          <w:sz w:val="32"/>
          <w:rtl/>
        </w:rPr>
      </w:pPr>
      <w:r>
        <w:rPr>
          <w:rFonts w:hint="cs"/>
          <w:b/>
          <w:bCs/>
          <w:spacing w:val="0"/>
          <w:sz w:val="32"/>
          <w:rtl/>
        </w:rPr>
        <w:t>تحسين الظروف الصحية في البيئة وفي الصناعة</w:t>
      </w:r>
    </w:p>
    <w:p w:rsidR="00000000" w:rsidRDefault="00443EC1">
      <w:pPr>
        <w:tabs>
          <w:tab w:val="left" w:pos="894"/>
        </w:tabs>
        <w:spacing w:line="380" w:lineRule="exact"/>
        <w:jc w:val="both"/>
        <w:rPr>
          <w:rFonts w:hint="cs"/>
          <w:spacing w:val="0"/>
          <w:sz w:val="32"/>
          <w:rtl/>
        </w:rPr>
      </w:pPr>
      <w:r>
        <w:rPr>
          <w:rFonts w:hint="cs"/>
          <w:spacing w:val="0"/>
          <w:sz w:val="32"/>
          <w:rtl/>
        </w:rPr>
        <w:t>1061-</w:t>
      </w:r>
      <w:r>
        <w:rPr>
          <w:spacing w:val="0"/>
          <w:sz w:val="32"/>
          <w:rtl/>
        </w:rPr>
        <w:tab/>
      </w:r>
      <w:r>
        <w:rPr>
          <w:rFonts w:hint="cs"/>
          <w:spacing w:val="0"/>
          <w:sz w:val="32"/>
          <w:rtl/>
        </w:rPr>
        <w:t xml:space="preserve">بذلت كل من وزارة الصحة ومؤسسة الشؤون المدنية والبلدية جهودا كبيرة لتحسين الجوانب المتعلقة بتوفير الظروف الصحية في البيئة وفي </w:t>
      </w:r>
      <w:r>
        <w:rPr>
          <w:rFonts w:hint="cs"/>
          <w:spacing w:val="0"/>
          <w:sz w:val="32"/>
          <w:rtl/>
        </w:rPr>
        <w:t>الصناعة، بما في ذلك تنفيذ مشاريع وقائية تخص الأغذية والنظافة الصحية في المطاعم ولدى موردي الأغذية. وهما تجريان أيضاً في هذا الصدد، عمليات تفتيش منتظمة للتأكد من سلامة المواد والتحقق من أن الأنشطة الصناعية آمنة من حيث التلوث البيئي ومن أن ظروف العمل لائقة.</w:t>
      </w:r>
    </w:p>
    <w:p w:rsidR="00000000" w:rsidRDefault="00443EC1">
      <w:pPr>
        <w:tabs>
          <w:tab w:val="left" w:pos="894"/>
        </w:tabs>
        <w:spacing w:line="380" w:lineRule="exact"/>
        <w:jc w:val="both"/>
        <w:rPr>
          <w:rFonts w:hint="cs"/>
          <w:b/>
          <w:bCs/>
          <w:spacing w:val="0"/>
          <w:sz w:val="32"/>
          <w:rtl/>
        </w:rPr>
      </w:pPr>
      <w:r>
        <w:rPr>
          <w:rFonts w:hint="cs"/>
          <w:b/>
          <w:bCs/>
          <w:spacing w:val="0"/>
          <w:sz w:val="32"/>
          <w:rtl/>
        </w:rPr>
        <w:t>إدارة النفايات الصلبة</w:t>
      </w:r>
    </w:p>
    <w:p w:rsidR="00000000" w:rsidRDefault="00443EC1">
      <w:pPr>
        <w:tabs>
          <w:tab w:val="left" w:pos="894"/>
        </w:tabs>
        <w:spacing w:line="380" w:lineRule="exact"/>
        <w:jc w:val="both"/>
        <w:rPr>
          <w:rFonts w:hint="cs"/>
          <w:spacing w:val="0"/>
          <w:sz w:val="32"/>
          <w:rtl/>
        </w:rPr>
      </w:pPr>
      <w:r>
        <w:rPr>
          <w:rFonts w:hint="cs"/>
          <w:spacing w:val="0"/>
          <w:sz w:val="32"/>
          <w:rtl/>
        </w:rPr>
        <w:t>1062-</w:t>
      </w:r>
      <w:r>
        <w:rPr>
          <w:spacing w:val="0"/>
          <w:sz w:val="32"/>
          <w:rtl/>
        </w:rPr>
        <w:tab/>
      </w:r>
      <w:r>
        <w:rPr>
          <w:rFonts w:hint="cs"/>
          <w:spacing w:val="0"/>
          <w:sz w:val="32"/>
          <w:rtl/>
        </w:rPr>
        <w:t xml:space="preserve">تعد مؤسسة الشؤون المدنية والبلدية مسؤولة عن إدارة النفايات الصلبة أي أنها هي التي تراقب التخلص النهائي من فضلات منشآت الحرق ومراقبة جمع القمامة وتطبيق القوانين البلدية المتعلقة بتنظيف المدينة. </w:t>
      </w:r>
    </w:p>
    <w:p w:rsidR="00000000" w:rsidRDefault="00443EC1">
      <w:pPr>
        <w:tabs>
          <w:tab w:val="left" w:pos="894"/>
        </w:tabs>
        <w:spacing w:line="380" w:lineRule="exact"/>
        <w:jc w:val="both"/>
        <w:rPr>
          <w:rFonts w:hint="cs"/>
          <w:spacing w:val="0"/>
          <w:sz w:val="32"/>
          <w:rtl/>
        </w:rPr>
      </w:pPr>
      <w:r>
        <w:rPr>
          <w:rFonts w:hint="cs"/>
          <w:spacing w:val="0"/>
          <w:sz w:val="32"/>
          <w:rtl/>
        </w:rPr>
        <w:t>1063-</w:t>
      </w:r>
      <w:r>
        <w:rPr>
          <w:spacing w:val="0"/>
          <w:sz w:val="32"/>
          <w:rtl/>
        </w:rPr>
        <w:tab/>
      </w:r>
      <w:r>
        <w:rPr>
          <w:rFonts w:hint="cs"/>
          <w:spacing w:val="0"/>
          <w:sz w:val="32"/>
          <w:rtl/>
        </w:rPr>
        <w:t>وليست إعادة تدوير النفايات و</w:t>
      </w:r>
      <w:r>
        <w:rPr>
          <w:rFonts w:hint="cs"/>
          <w:spacing w:val="0"/>
          <w:sz w:val="32"/>
          <w:rtl/>
        </w:rPr>
        <w:t xml:space="preserve">استعادتها وإعادة استعمالها كافية بعد لتُعادل ارتفاع إنتاج النفايات. فقد كان معدل نمو السكان أبطأ بكثير مما يعني أن كل شخص ينتج كميات أكبر من النفايات. وأهم مصادر النفايات هي المنازل والأعمال والأنشطة التجارية (المتاجر والفنادق والمكاتب) والصناعات والخدمات </w:t>
      </w:r>
      <w:r>
        <w:rPr>
          <w:rFonts w:hint="cs"/>
          <w:spacing w:val="0"/>
          <w:sz w:val="32"/>
          <w:rtl/>
        </w:rPr>
        <w:t>الصحية (المستشفيات ومرافق الرعاية الصحية).</w:t>
      </w:r>
    </w:p>
    <w:p w:rsidR="00000000" w:rsidRDefault="00443EC1">
      <w:pPr>
        <w:tabs>
          <w:tab w:val="left" w:pos="894"/>
        </w:tabs>
        <w:spacing w:line="380" w:lineRule="exact"/>
        <w:jc w:val="both"/>
        <w:rPr>
          <w:rFonts w:hint="cs"/>
          <w:b/>
          <w:bCs/>
          <w:spacing w:val="0"/>
          <w:sz w:val="32"/>
          <w:rtl/>
        </w:rPr>
      </w:pPr>
      <w:r>
        <w:rPr>
          <w:rFonts w:hint="cs"/>
          <w:b/>
          <w:bCs/>
          <w:spacing w:val="0"/>
          <w:sz w:val="32"/>
          <w:rtl/>
        </w:rPr>
        <w:t>التلوث الناتج عن الانبعاثات ومواصفات المحروقات</w:t>
      </w:r>
    </w:p>
    <w:p w:rsidR="00000000" w:rsidRDefault="00443EC1">
      <w:pPr>
        <w:tabs>
          <w:tab w:val="left" w:pos="894"/>
        </w:tabs>
        <w:spacing w:line="380" w:lineRule="exact"/>
        <w:jc w:val="both"/>
        <w:rPr>
          <w:rFonts w:hint="cs"/>
          <w:spacing w:val="0"/>
          <w:sz w:val="32"/>
          <w:rtl/>
        </w:rPr>
      </w:pPr>
      <w:r>
        <w:rPr>
          <w:rFonts w:hint="cs"/>
          <w:spacing w:val="0"/>
          <w:sz w:val="32"/>
          <w:rtl/>
        </w:rPr>
        <w:t>1064-</w:t>
      </w:r>
      <w:r>
        <w:rPr>
          <w:spacing w:val="0"/>
          <w:sz w:val="32"/>
          <w:rtl/>
        </w:rPr>
        <w:tab/>
      </w:r>
      <w:r>
        <w:rPr>
          <w:rFonts w:hint="cs"/>
          <w:spacing w:val="0"/>
          <w:sz w:val="32"/>
          <w:rtl/>
        </w:rPr>
        <w:t>تبرهن البيانات المتوفرة على أن أهم مصدرين للتلوث الناتج عن الأنشطة البشرية هما توليد الطاقة والنقل البري.</w:t>
      </w:r>
    </w:p>
    <w:p w:rsidR="00000000" w:rsidRDefault="00443EC1">
      <w:pPr>
        <w:tabs>
          <w:tab w:val="left" w:pos="894"/>
        </w:tabs>
        <w:spacing w:line="380" w:lineRule="exact"/>
        <w:jc w:val="both"/>
        <w:rPr>
          <w:rFonts w:hint="cs"/>
          <w:spacing w:val="0"/>
          <w:sz w:val="32"/>
          <w:rtl/>
        </w:rPr>
      </w:pPr>
      <w:r>
        <w:rPr>
          <w:rFonts w:hint="cs"/>
          <w:spacing w:val="0"/>
          <w:sz w:val="32"/>
          <w:rtl/>
        </w:rPr>
        <w:t>1065-</w:t>
      </w:r>
      <w:r>
        <w:rPr>
          <w:spacing w:val="0"/>
          <w:sz w:val="32"/>
          <w:rtl/>
        </w:rPr>
        <w:tab/>
      </w:r>
      <w:r>
        <w:rPr>
          <w:rFonts w:hint="cs"/>
          <w:spacing w:val="0"/>
          <w:sz w:val="32"/>
          <w:rtl/>
        </w:rPr>
        <w:t>ونظرا لأن مقاطعة ماكاو الإدارية الخاصة منطقة صغي</w:t>
      </w:r>
      <w:r>
        <w:rPr>
          <w:rFonts w:hint="cs"/>
          <w:spacing w:val="0"/>
          <w:sz w:val="32"/>
          <w:rtl/>
        </w:rPr>
        <w:t>رة جغرافيا لها خصائص حضرية نمطية، وفي غياب مصادر بديلة للطاقة (كالطاقة الريحية والشمسية والكهرمائية وطاقة الكتلة الأحيائية)، فإن احتراق الوقود يستعمل لتلبية الطلب على الطاقة. وهو يمثل المصدر الأساسي لانبعاث الملوثات.</w:t>
      </w:r>
    </w:p>
    <w:p w:rsidR="00000000" w:rsidRDefault="00443EC1">
      <w:pPr>
        <w:tabs>
          <w:tab w:val="left" w:pos="894"/>
        </w:tabs>
        <w:spacing w:line="380" w:lineRule="exact"/>
        <w:jc w:val="both"/>
        <w:rPr>
          <w:rFonts w:hint="cs"/>
          <w:spacing w:val="0"/>
          <w:sz w:val="32"/>
          <w:rtl/>
        </w:rPr>
      </w:pPr>
      <w:r>
        <w:rPr>
          <w:rFonts w:hint="cs"/>
          <w:spacing w:val="0"/>
          <w:sz w:val="32"/>
          <w:rtl/>
        </w:rPr>
        <w:t>1066-</w:t>
      </w:r>
      <w:r>
        <w:rPr>
          <w:spacing w:val="0"/>
          <w:sz w:val="32"/>
          <w:rtl/>
        </w:rPr>
        <w:tab/>
      </w:r>
      <w:r>
        <w:rPr>
          <w:rFonts w:hint="cs"/>
          <w:spacing w:val="0"/>
          <w:sz w:val="32"/>
          <w:rtl/>
        </w:rPr>
        <w:t>و</w:t>
      </w:r>
      <w:r>
        <w:rPr>
          <w:spacing w:val="0"/>
          <w:sz w:val="32"/>
          <w:rtl/>
        </w:rPr>
        <w:t>ي</w:t>
      </w:r>
      <w:r>
        <w:rPr>
          <w:rFonts w:hint="cs"/>
          <w:spacing w:val="0"/>
          <w:sz w:val="32"/>
          <w:rtl/>
        </w:rPr>
        <w:t>ت</w:t>
      </w:r>
      <w:r>
        <w:rPr>
          <w:spacing w:val="0"/>
          <w:sz w:val="32"/>
          <w:rtl/>
        </w:rPr>
        <w:t>بين</w:t>
      </w:r>
      <w:r>
        <w:rPr>
          <w:rFonts w:hint="cs"/>
          <w:spacing w:val="0"/>
          <w:sz w:val="32"/>
          <w:rtl/>
        </w:rPr>
        <w:t xml:space="preserve"> من</w:t>
      </w:r>
      <w:r>
        <w:rPr>
          <w:spacing w:val="0"/>
          <w:sz w:val="32"/>
          <w:rtl/>
        </w:rPr>
        <w:t xml:space="preserve"> تحليل انبعاثات ال</w:t>
      </w:r>
      <w:r>
        <w:rPr>
          <w:rFonts w:hint="cs"/>
          <w:spacing w:val="0"/>
          <w:sz w:val="32"/>
          <w:rtl/>
        </w:rPr>
        <w:t>رصاص أ</w:t>
      </w:r>
      <w:r>
        <w:rPr>
          <w:rFonts w:hint="cs"/>
          <w:spacing w:val="0"/>
          <w:sz w:val="32"/>
          <w:rtl/>
        </w:rPr>
        <w:t>ن مستويات تلك الانبعاثات ما انفكت تنخفض منذ دخول البترول الخالي من الرصاص إلى السوق (المرسوم بقانون 44/94/م الصادر في 22 آب/أغسطس). وستظهر البيانات المستقبلية بالتأكيد أثر الأمر التنفيذي 49/2000 الصادر في 7 آب/أغسطس الذي يحدد كمية الكبريت الموجودة في الديز</w:t>
      </w:r>
      <w:r>
        <w:rPr>
          <w:rFonts w:hint="cs"/>
          <w:spacing w:val="0"/>
          <w:sz w:val="32"/>
          <w:rtl/>
        </w:rPr>
        <w:t>ل الخفيف الذي تستعمله السيارات بنسبة 0.05 في المائة من حيث الوزن.</w:t>
      </w:r>
    </w:p>
    <w:p w:rsidR="00000000" w:rsidRDefault="00443EC1">
      <w:pPr>
        <w:tabs>
          <w:tab w:val="left" w:pos="894"/>
        </w:tabs>
        <w:spacing w:line="380" w:lineRule="exact"/>
        <w:jc w:val="both"/>
        <w:rPr>
          <w:rFonts w:hint="cs"/>
          <w:spacing w:val="0"/>
          <w:sz w:val="32"/>
          <w:rtl/>
        </w:rPr>
      </w:pPr>
      <w:r>
        <w:rPr>
          <w:rFonts w:hint="cs"/>
          <w:spacing w:val="0"/>
          <w:sz w:val="32"/>
          <w:rtl/>
        </w:rPr>
        <w:t>1067-</w:t>
      </w:r>
      <w:r>
        <w:rPr>
          <w:spacing w:val="0"/>
          <w:sz w:val="32"/>
          <w:rtl/>
        </w:rPr>
        <w:tab/>
      </w:r>
      <w:r>
        <w:rPr>
          <w:rFonts w:hint="cs"/>
          <w:spacing w:val="0"/>
          <w:sz w:val="32"/>
          <w:rtl/>
        </w:rPr>
        <w:t xml:space="preserve">وعلى الرغم من التقدم التكنولوجي الذي أحرزته صناعة السيارات (كإدخال محولات حفزية وتقليص كمية الكبريت والرصاص الموجودة في المحروقات) والذي حد من بعض الآثار المضرة بالبيئة، ما زال التلوث </w:t>
      </w:r>
      <w:r>
        <w:rPr>
          <w:rFonts w:hint="cs"/>
          <w:spacing w:val="0"/>
          <w:sz w:val="32"/>
          <w:rtl/>
        </w:rPr>
        <w:t>الناجم عن حركة السير يمثل مشكلة.</w:t>
      </w:r>
    </w:p>
    <w:p w:rsidR="00000000" w:rsidRDefault="00443EC1">
      <w:pPr>
        <w:tabs>
          <w:tab w:val="left" w:pos="894"/>
        </w:tabs>
        <w:spacing w:line="380" w:lineRule="exact"/>
        <w:jc w:val="both"/>
        <w:rPr>
          <w:rFonts w:hint="cs"/>
          <w:spacing w:val="0"/>
          <w:sz w:val="32"/>
          <w:rtl/>
        </w:rPr>
      </w:pPr>
      <w:r>
        <w:rPr>
          <w:rFonts w:hint="cs"/>
          <w:spacing w:val="0"/>
          <w:sz w:val="32"/>
          <w:rtl/>
        </w:rPr>
        <w:t>1068-</w:t>
      </w:r>
      <w:r>
        <w:rPr>
          <w:spacing w:val="0"/>
          <w:sz w:val="32"/>
          <w:rtl/>
        </w:rPr>
        <w:tab/>
      </w:r>
      <w:r>
        <w:rPr>
          <w:rFonts w:hint="cs"/>
          <w:spacing w:val="0"/>
          <w:sz w:val="32"/>
          <w:rtl/>
        </w:rPr>
        <w:t>ولزيادة فعالية النقل وتعزيز سلامته دون الإضرار بالبيئة، سنت حكومة مقاطعة ماكاو الإدارية المستقلة قوانين ومواصفات فنية وشرعت في الوقت ذاته في تطبيق سياسات جديدة تتعلق بالأسعار والضرائب المفروضة على المحروقات وبجوانب ال</w:t>
      </w:r>
      <w:r>
        <w:rPr>
          <w:rFonts w:hint="cs"/>
          <w:spacing w:val="0"/>
          <w:sz w:val="32"/>
          <w:rtl/>
        </w:rPr>
        <w:t>تخطيط لإقامة مواقف للسيارات. فبنيت أماكن مناسبة لوقوف السيارات ورُفعت درجة وعي الناس بمزايا استعمال شبكة جيدة للنقل العام ومناطق الراجلين لتفادي الآثار الضارة بالبيئة والصحة ونوعية الحياة الناجمة عن ارتفاع عدد السيارات.</w:t>
      </w:r>
    </w:p>
    <w:p w:rsidR="00000000" w:rsidRDefault="00443EC1">
      <w:pPr>
        <w:tabs>
          <w:tab w:val="left" w:pos="894"/>
        </w:tabs>
        <w:spacing w:line="380" w:lineRule="exact"/>
        <w:jc w:val="both"/>
        <w:rPr>
          <w:rFonts w:hint="cs"/>
          <w:b/>
          <w:bCs/>
          <w:spacing w:val="0"/>
          <w:sz w:val="32"/>
          <w:rtl/>
        </w:rPr>
      </w:pPr>
      <w:r>
        <w:rPr>
          <w:rFonts w:hint="cs"/>
          <w:b/>
          <w:bCs/>
          <w:spacing w:val="0"/>
          <w:sz w:val="32"/>
          <w:rtl/>
        </w:rPr>
        <w:t>الحد من تلوث الهواء</w:t>
      </w:r>
    </w:p>
    <w:p w:rsidR="00000000" w:rsidRDefault="00443EC1">
      <w:pPr>
        <w:tabs>
          <w:tab w:val="left" w:pos="894"/>
        </w:tabs>
        <w:spacing w:line="380" w:lineRule="exact"/>
        <w:jc w:val="both"/>
        <w:rPr>
          <w:rFonts w:hint="cs"/>
          <w:spacing w:val="0"/>
          <w:sz w:val="32"/>
          <w:rtl/>
        </w:rPr>
      </w:pPr>
      <w:r>
        <w:rPr>
          <w:rFonts w:hint="cs"/>
          <w:spacing w:val="0"/>
          <w:sz w:val="32"/>
          <w:rtl/>
        </w:rPr>
        <w:t>1069-</w:t>
      </w:r>
      <w:r>
        <w:rPr>
          <w:spacing w:val="0"/>
          <w:sz w:val="32"/>
          <w:rtl/>
        </w:rPr>
        <w:tab/>
      </w:r>
      <w:r>
        <w:rPr>
          <w:rFonts w:hint="cs"/>
          <w:spacing w:val="0"/>
          <w:sz w:val="32"/>
          <w:rtl/>
        </w:rPr>
        <w:t>ما فتئ قسم</w:t>
      </w:r>
      <w:r>
        <w:rPr>
          <w:rFonts w:hint="cs"/>
          <w:spacing w:val="0"/>
          <w:sz w:val="32"/>
          <w:rtl/>
        </w:rPr>
        <w:t xml:space="preserve"> الأرصاد الجوية والفيزياء الجيولوجية يرصد تلوث الغلاف الجوي طيلة العقد الماضي. وفي العادة، تقارَن مستويات ملوثات الهواء المحلية المجمّعة مع الحدود الموصى بها دوليا (مثل منظمة الصحة العالمية والاتحاد الأوروبي).</w:t>
      </w:r>
    </w:p>
    <w:p w:rsidR="00000000" w:rsidRDefault="00443EC1">
      <w:pPr>
        <w:tabs>
          <w:tab w:val="left" w:pos="894"/>
        </w:tabs>
        <w:spacing w:line="380" w:lineRule="exact"/>
        <w:jc w:val="both"/>
        <w:rPr>
          <w:rFonts w:hint="cs"/>
          <w:spacing w:val="0"/>
          <w:sz w:val="32"/>
          <w:rtl/>
        </w:rPr>
      </w:pPr>
      <w:r>
        <w:rPr>
          <w:rFonts w:hint="cs"/>
          <w:spacing w:val="0"/>
          <w:sz w:val="32"/>
          <w:rtl/>
        </w:rPr>
        <w:t>1070-</w:t>
      </w:r>
      <w:r>
        <w:rPr>
          <w:spacing w:val="0"/>
          <w:sz w:val="32"/>
          <w:rtl/>
        </w:rPr>
        <w:tab/>
      </w:r>
      <w:r>
        <w:rPr>
          <w:rFonts w:hint="cs"/>
          <w:spacing w:val="0"/>
          <w:sz w:val="32"/>
          <w:rtl/>
        </w:rPr>
        <w:t>و</w:t>
      </w:r>
      <w:r>
        <w:rPr>
          <w:spacing w:val="0"/>
          <w:sz w:val="32"/>
          <w:rtl/>
        </w:rPr>
        <w:t xml:space="preserve">تتضرر نوعية الهواء </w:t>
      </w:r>
      <w:r>
        <w:rPr>
          <w:rFonts w:hint="cs"/>
          <w:spacing w:val="0"/>
          <w:sz w:val="32"/>
          <w:rtl/>
        </w:rPr>
        <w:t>بسبب ارتفاع</w:t>
      </w:r>
      <w:r>
        <w:rPr>
          <w:spacing w:val="0"/>
          <w:sz w:val="32"/>
          <w:rtl/>
        </w:rPr>
        <w:t xml:space="preserve"> درجة ترك</w:t>
      </w:r>
      <w:r>
        <w:rPr>
          <w:spacing w:val="0"/>
          <w:sz w:val="32"/>
          <w:rtl/>
        </w:rPr>
        <w:t xml:space="preserve">ز </w:t>
      </w:r>
      <w:r>
        <w:rPr>
          <w:rFonts w:hint="cs"/>
          <w:spacing w:val="0"/>
          <w:sz w:val="32"/>
          <w:rtl/>
        </w:rPr>
        <w:t>ثاني أكسيد الكبريت والدخان كما أن الغبار الناجم عن الانبعاثات الصناعية وكذلك الجسيمات العالقة التي تحملها الريح في المنطقة يؤديان إلى نزول أمطار حمضية.</w:t>
      </w:r>
    </w:p>
    <w:p w:rsidR="00000000" w:rsidRDefault="00443EC1">
      <w:pPr>
        <w:tabs>
          <w:tab w:val="left" w:pos="894"/>
        </w:tabs>
        <w:spacing w:line="380" w:lineRule="exact"/>
        <w:jc w:val="both"/>
        <w:rPr>
          <w:rFonts w:hint="cs"/>
          <w:spacing w:val="0"/>
          <w:sz w:val="32"/>
          <w:rtl/>
        </w:rPr>
      </w:pPr>
      <w:r>
        <w:rPr>
          <w:rFonts w:hint="cs"/>
          <w:spacing w:val="0"/>
          <w:sz w:val="32"/>
          <w:rtl/>
        </w:rPr>
        <w:t>1071-</w:t>
      </w:r>
      <w:r>
        <w:rPr>
          <w:spacing w:val="0"/>
          <w:sz w:val="32"/>
          <w:rtl/>
        </w:rPr>
        <w:tab/>
      </w:r>
      <w:r>
        <w:rPr>
          <w:rFonts w:hint="cs"/>
          <w:spacing w:val="0"/>
          <w:sz w:val="32"/>
          <w:rtl/>
        </w:rPr>
        <w:t>ولقد مُنع إنتاج المواد التي قد تؤدي إلى استنفاد طبقة الأوزون (المرسوم بقانون 62/95/م الصادر في 4</w:t>
      </w:r>
      <w:r>
        <w:rPr>
          <w:rFonts w:hint="cs"/>
          <w:spacing w:val="0"/>
          <w:sz w:val="32"/>
          <w:rtl/>
        </w:rPr>
        <w:t xml:space="preserve"> كانون الأول/ديسمبر).</w:t>
      </w:r>
    </w:p>
    <w:p w:rsidR="00000000" w:rsidRDefault="00443EC1">
      <w:pPr>
        <w:tabs>
          <w:tab w:val="left" w:pos="894"/>
        </w:tabs>
        <w:spacing w:line="380" w:lineRule="exact"/>
        <w:jc w:val="both"/>
        <w:rPr>
          <w:rFonts w:hint="cs"/>
          <w:spacing w:val="0"/>
          <w:sz w:val="32"/>
          <w:rtl/>
        </w:rPr>
      </w:pPr>
      <w:r>
        <w:rPr>
          <w:rFonts w:hint="cs"/>
          <w:spacing w:val="0"/>
          <w:sz w:val="32"/>
          <w:rtl/>
        </w:rPr>
        <w:t>1072-</w:t>
      </w:r>
      <w:r>
        <w:rPr>
          <w:spacing w:val="0"/>
          <w:sz w:val="32"/>
          <w:rtl/>
        </w:rPr>
        <w:tab/>
      </w:r>
      <w:r>
        <w:rPr>
          <w:rFonts w:hint="cs"/>
          <w:spacing w:val="0"/>
          <w:sz w:val="32"/>
          <w:rtl/>
        </w:rPr>
        <w:t xml:space="preserve">وتشرف وزارة الاقتصاد على استيراد وتصدير المواد والتجهيزات (كالرذّاذات وأجهزة التكييف والمبردات ومطفئات الحرائق، إلخ.) التي تحتوي على مواد يمكن أن تضر بطبقة الأوزون. ووزارة الاقتصاد مطالبة بإبلاغ </w:t>
      </w:r>
      <w:r>
        <w:rPr>
          <w:spacing w:val="0"/>
          <w:sz w:val="32"/>
          <w:rtl/>
        </w:rPr>
        <w:t xml:space="preserve">اللجنة المعنية بالبيئة </w:t>
      </w:r>
      <w:r>
        <w:rPr>
          <w:rFonts w:hint="cs"/>
          <w:spacing w:val="0"/>
          <w:sz w:val="32"/>
          <w:rtl/>
        </w:rPr>
        <w:t>واستشارتها</w:t>
      </w:r>
      <w:r>
        <w:rPr>
          <w:rFonts w:hint="cs"/>
          <w:spacing w:val="0"/>
          <w:sz w:val="32"/>
          <w:rtl/>
        </w:rPr>
        <w:t xml:space="preserve"> في الحالات التي يتعلق فيها الأمر بالبيئة.</w:t>
      </w:r>
    </w:p>
    <w:p w:rsidR="00000000" w:rsidRDefault="00443EC1">
      <w:pPr>
        <w:tabs>
          <w:tab w:val="left" w:pos="894"/>
        </w:tabs>
        <w:spacing w:line="380" w:lineRule="exact"/>
        <w:jc w:val="both"/>
        <w:rPr>
          <w:rFonts w:hint="cs"/>
          <w:b/>
          <w:bCs/>
          <w:spacing w:val="0"/>
          <w:sz w:val="32"/>
          <w:rtl/>
        </w:rPr>
      </w:pPr>
      <w:r>
        <w:rPr>
          <w:rFonts w:hint="cs"/>
          <w:b/>
          <w:bCs/>
          <w:spacing w:val="0"/>
          <w:sz w:val="32"/>
          <w:rtl/>
        </w:rPr>
        <w:t>الحد من التلوث الضوضائي</w:t>
      </w:r>
    </w:p>
    <w:p w:rsidR="00000000" w:rsidRDefault="00443EC1">
      <w:pPr>
        <w:tabs>
          <w:tab w:val="left" w:pos="894"/>
        </w:tabs>
        <w:spacing w:line="380" w:lineRule="exact"/>
        <w:jc w:val="both"/>
        <w:rPr>
          <w:rFonts w:hint="cs"/>
          <w:spacing w:val="0"/>
          <w:sz w:val="32"/>
          <w:rtl/>
        </w:rPr>
      </w:pPr>
      <w:r>
        <w:rPr>
          <w:rFonts w:hint="cs"/>
          <w:spacing w:val="0"/>
          <w:sz w:val="32"/>
          <w:rtl/>
        </w:rPr>
        <w:t>1073-</w:t>
      </w:r>
      <w:r>
        <w:rPr>
          <w:spacing w:val="0"/>
          <w:sz w:val="32"/>
          <w:rtl/>
        </w:rPr>
        <w:tab/>
      </w:r>
      <w:r>
        <w:rPr>
          <w:rFonts w:hint="cs"/>
          <w:spacing w:val="0"/>
          <w:sz w:val="32"/>
          <w:rtl/>
        </w:rPr>
        <w:t>رغم صغر مساحة ماكاو، إلاّ أنها تتسم بكثافة سكانية كبيرة. وقد فاقم عدد العربات الذي يشهد ارتفاعا متواصلا إضافة إلى النمو الاقتصادي المشاكل الناجمة عن حركة السير وهي مشاكل يصعب التغلب ع</w:t>
      </w:r>
      <w:r>
        <w:rPr>
          <w:rFonts w:hint="cs"/>
          <w:spacing w:val="0"/>
          <w:sz w:val="32"/>
          <w:rtl/>
        </w:rPr>
        <w:t>ليها.</w:t>
      </w:r>
    </w:p>
    <w:p w:rsidR="00000000" w:rsidRDefault="00443EC1">
      <w:pPr>
        <w:tabs>
          <w:tab w:val="left" w:pos="894"/>
        </w:tabs>
        <w:spacing w:line="380" w:lineRule="exact"/>
        <w:jc w:val="both"/>
        <w:rPr>
          <w:rFonts w:hint="cs"/>
          <w:spacing w:val="0"/>
          <w:sz w:val="32"/>
          <w:rtl/>
        </w:rPr>
      </w:pPr>
      <w:r>
        <w:rPr>
          <w:rFonts w:hint="cs"/>
          <w:spacing w:val="0"/>
          <w:sz w:val="32"/>
          <w:rtl/>
        </w:rPr>
        <w:t>1074-</w:t>
      </w:r>
      <w:r>
        <w:rPr>
          <w:spacing w:val="0"/>
          <w:sz w:val="32"/>
          <w:rtl/>
        </w:rPr>
        <w:tab/>
      </w:r>
      <w:r>
        <w:rPr>
          <w:rFonts w:hint="cs"/>
          <w:spacing w:val="0"/>
          <w:sz w:val="32"/>
          <w:rtl/>
        </w:rPr>
        <w:t>وثمة نُهُج مباشرة وأخرى غير مباشرة للحد من الضوضاء الناجمة عن حركة السير. ومن بين التدابير المباشرة هناك دراسة تتناول تطبيق مواصفة الضوضاء الناتجة عن سير العربات وإقامة الحواجز الصوتية وتعبيد الطرق وتزويدها بسطح مخفّض للضوضاء. وتعد إدارة حركة ا</w:t>
      </w:r>
      <w:r>
        <w:rPr>
          <w:rFonts w:hint="cs"/>
          <w:spacing w:val="0"/>
          <w:sz w:val="32"/>
          <w:rtl/>
        </w:rPr>
        <w:t>لسير والتخطيط لها وإعادة هيكلة شبكات الطرق من التدابير غير المباشرة.</w:t>
      </w:r>
    </w:p>
    <w:p w:rsidR="00000000" w:rsidRDefault="00443EC1">
      <w:pPr>
        <w:tabs>
          <w:tab w:val="left" w:pos="894"/>
        </w:tabs>
        <w:spacing w:line="380" w:lineRule="exact"/>
        <w:jc w:val="both"/>
        <w:rPr>
          <w:rFonts w:hint="cs"/>
          <w:spacing w:val="0"/>
          <w:sz w:val="32"/>
          <w:rtl/>
        </w:rPr>
      </w:pPr>
      <w:r>
        <w:rPr>
          <w:rFonts w:hint="cs"/>
          <w:spacing w:val="0"/>
          <w:sz w:val="32"/>
          <w:rtl/>
        </w:rPr>
        <w:t>1075-</w:t>
      </w:r>
      <w:r>
        <w:rPr>
          <w:spacing w:val="0"/>
          <w:sz w:val="32"/>
          <w:rtl/>
        </w:rPr>
        <w:tab/>
      </w:r>
      <w:r>
        <w:rPr>
          <w:rFonts w:hint="cs"/>
          <w:spacing w:val="0"/>
          <w:sz w:val="32"/>
          <w:rtl/>
        </w:rPr>
        <w:t>وبغية التخفيف من الإزعاج الناجم عن الضوضاء التي تحدثها حركة السير، أقيمت حواجز صوتية بلغ طولها 511 مترا على طول القنطرتين المبنيتين على الشارعين الرئيسيين في ماكاو. وشرعت هيئة الأرا</w:t>
      </w:r>
      <w:r>
        <w:rPr>
          <w:rFonts w:hint="cs"/>
          <w:spacing w:val="0"/>
          <w:sz w:val="32"/>
          <w:rtl/>
        </w:rPr>
        <w:t>ضي والأشغال العامة والنقل في إنجاز ذلك المشروع في عام 2000 وفرغت منه في أيار/مايو 2001.</w:t>
      </w:r>
    </w:p>
    <w:p w:rsidR="00000000" w:rsidRDefault="00443EC1">
      <w:pPr>
        <w:tabs>
          <w:tab w:val="left" w:pos="894"/>
        </w:tabs>
        <w:spacing w:line="380" w:lineRule="exact"/>
        <w:jc w:val="both"/>
        <w:rPr>
          <w:rFonts w:hint="cs"/>
          <w:spacing w:val="0"/>
          <w:sz w:val="32"/>
          <w:rtl/>
        </w:rPr>
      </w:pPr>
      <w:r>
        <w:rPr>
          <w:rFonts w:hint="cs"/>
          <w:spacing w:val="0"/>
          <w:sz w:val="32"/>
          <w:rtl/>
        </w:rPr>
        <w:t>1076-</w:t>
      </w:r>
      <w:r>
        <w:rPr>
          <w:spacing w:val="0"/>
          <w:sz w:val="32"/>
          <w:rtl/>
        </w:rPr>
        <w:tab/>
      </w:r>
      <w:r>
        <w:rPr>
          <w:rFonts w:hint="cs"/>
          <w:spacing w:val="0"/>
          <w:sz w:val="32"/>
          <w:rtl/>
        </w:rPr>
        <w:t>إن الحد من التلوث الضوضائي مرهون بعوامل عدة من بينها سن قوانين تتعلق بالبيئة (كالمرسوم بقانون</w:t>
      </w:r>
      <w:r>
        <w:rPr>
          <w:spacing w:val="0"/>
          <w:sz w:val="32"/>
          <w:rtl/>
        </w:rPr>
        <w:br/>
      </w:r>
      <w:r>
        <w:rPr>
          <w:rFonts w:hint="cs"/>
          <w:spacing w:val="0"/>
          <w:sz w:val="32"/>
          <w:rtl/>
        </w:rPr>
        <w:t>54-94/م) وإدراج معايير تقييم محددة وصارمة وتوفير الموارد البشرية وال</w:t>
      </w:r>
      <w:r>
        <w:rPr>
          <w:rFonts w:hint="cs"/>
          <w:spacing w:val="0"/>
          <w:sz w:val="32"/>
          <w:rtl/>
        </w:rPr>
        <w:t>فنية المتخصصة وتعزيز التربية الوطنية والتثقيف البيئي.</w:t>
      </w:r>
    </w:p>
    <w:p w:rsidR="00000000" w:rsidRDefault="00443EC1">
      <w:pPr>
        <w:tabs>
          <w:tab w:val="left" w:pos="894"/>
        </w:tabs>
        <w:spacing w:line="380" w:lineRule="exact"/>
        <w:jc w:val="both"/>
        <w:rPr>
          <w:rFonts w:hint="cs"/>
          <w:spacing w:val="0"/>
          <w:sz w:val="32"/>
          <w:rtl/>
        </w:rPr>
      </w:pPr>
      <w:r>
        <w:rPr>
          <w:rFonts w:hint="cs"/>
          <w:spacing w:val="0"/>
          <w:sz w:val="32"/>
          <w:rtl/>
        </w:rPr>
        <w:t>1077-</w:t>
      </w:r>
      <w:r>
        <w:rPr>
          <w:spacing w:val="0"/>
          <w:sz w:val="32"/>
          <w:rtl/>
        </w:rPr>
        <w:tab/>
        <w:t xml:space="preserve">مؤسسة الشؤون المدنية والبلدية واللجنة المعنية بالبيئة </w:t>
      </w:r>
      <w:r>
        <w:rPr>
          <w:rFonts w:hint="cs"/>
          <w:spacing w:val="0"/>
          <w:sz w:val="32"/>
          <w:rtl/>
        </w:rPr>
        <w:t xml:space="preserve"> هما الهيئتان المسؤولتان عن رصد مستوى الضوضاء وعن إنشاء قاعدة بيانات لتقدير مقاييس الحد من الضوضاء الممكن اتباعها بالنسبة لماكاو.</w:t>
      </w:r>
    </w:p>
    <w:p w:rsidR="00000000" w:rsidRDefault="00443EC1">
      <w:pPr>
        <w:tabs>
          <w:tab w:val="left" w:pos="894"/>
        </w:tabs>
        <w:spacing w:line="380" w:lineRule="exact"/>
        <w:jc w:val="both"/>
        <w:rPr>
          <w:rFonts w:hint="cs"/>
          <w:b/>
          <w:bCs/>
          <w:spacing w:val="0"/>
          <w:sz w:val="32"/>
          <w:rtl/>
        </w:rPr>
      </w:pPr>
      <w:r>
        <w:rPr>
          <w:rFonts w:hint="cs"/>
          <w:b/>
          <w:bCs/>
          <w:spacing w:val="0"/>
          <w:sz w:val="32"/>
          <w:rtl/>
        </w:rPr>
        <w:t>نوعية المياه</w:t>
      </w:r>
      <w:r>
        <w:rPr>
          <w:rFonts w:hint="cs"/>
          <w:b/>
          <w:bCs/>
          <w:spacing w:val="0"/>
          <w:sz w:val="32"/>
          <w:rtl/>
        </w:rPr>
        <w:t xml:space="preserve"> الساحلية</w:t>
      </w:r>
    </w:p>
    <w:p w:rsidR="00000000" w:rsidRDefault="00443EC1">
      <w:pPr>
        <w:tabs>
          <w:tab w:val="left" w:pos="894"/>
        </w:tabs>
        <w:spacing w:line="380" w:lineRule="exact"/>
        <w:jc w:val="both"/>
        <w:rPr>
          <w:rFonts w:hint="cs"/>
          <w:spacing w:val="0"/>
          <w:sz w:val="32"/>
          <w:rtl/>
        </w:rPr>
      </w:pPr>
      <w:r>
        <w:rPr>
          <w:rFonts w:hint="cs"/>
          <w:spacing w:val="0"/>
          <w:sz w:val="32"/>
          <w:rtl/>
        </w:rPr>
        <w:t>1078-</w:t>
      </w:r>
      <w:r>
        <w:rPr>
          <w:spacing w:val="0"/>
          <w:sz w:val="32"/>
          <w:rtl/>
        </w:rPr>
        <w:tab/>
      </w:r>
      <w:r>
        <w:rPr>
          <w:rFonts w:hint="cs"/>
          <w:spacing w:val="0"/>
          <w:sz w:val="32"/>
          <w:rtl/>
        </w:rPr>
        <w:t>تقف عوامل خارجية بالأساس وراء تلوث المياه الساحلية في ماكاو. لكن هناك أيضاً صرف مباشر في المصب نابع من مصادر محلية لاسيما أثناء موسم الأمطار عندما تعجز قنوات المجاري والمصارف عن احتواء حجم مياه الصرف والأمطار معا. كما يعود ذلك إلى عدم ربط ج</w:t>
      </w:r>
      <w:r>
        <w:rPr>
          <w:rFonts w:hint="cs"/>
          <w:spacing w:val="0"/>
          <w:sz w:val="32"/>
          <w:rtl/>
        </w:rPr>
        <w:t>زء من شبكة المجاري لصرف المياه العادمة بمحطات معالجة المياه العادمة.</w:t>
      </w:r>
    </w:p>
    <w:p w:rsidR="00000000" w:rsidRDefault="00443EC1">
      <w:pPr>
        <w:tabs>
          <w:tab w:val="left" w:pos="894"/>
        </w:tabs>
        <w:spacing w:line="380" w:lineRule="exact"/>
        <w:jc w:val="both"/>
        <w:rPr>
          <w:rFonts w:hint="cs"/>
          <w:spacing w:val="0"/>
          <w:sz w:val="32"/>
          <w:rtl/>
        </w:rPr>
      </w:pPr>
      <w:r>
        <w:rPr>
          <w:rFonts w:hint="cs"/>
          <w:spacing w:val="0"/>
          <w:sz w:val="32"/>
          <w:rtl/>
        </w:rPr>
        <w:t>1079-</w:t>
      </w:r>
      <w:r>
        <w:rPr>
          <w:spacing w:val="0"/>
          <w:sz w:val="32"/>
          <w:rtl/>
        </w:rPr>
        <w:tab/>
      </w:r>
      <w:r>
        <w:rPr>
          <w:rFonts w:hint="cs"/>
          <w:spacing w:val="0"/>
          <w:sz w:val="32"/>
          <w:rtl/>
        </w:rPr>
        <w:t>خلال عام 2000،  وضعت وزارة الصحة (المسؤولة عن رصد نوعية المياه الساحلية) موضع الاستعمال نظاماً دليلياً جديداً لقياس نوعية المياه الساحلية. ويتبين من تحليل مؤشر التلوث أن تلوث المياه</w:t>
      </w:r>
      <w:r>
        <w:rPr>
          <w:rFonts w:hint="cs"/>
          <w:spacing w:val="0"/>
          <w:sz w:val="32"/>
          <w:rtl/>
        </w:rPr>
        <w:t xml:space="preserve"> الساحلية بات يمثل مشكلة في ماكاو حتى أن بعض الأماكن التي أخذت منها العينات قد بلغت مستويات حرجة. لذا فقد صار من الضروري التعاون مع السلطات ذات الشأن في المناطق القريبة والاعتماد على الأبحاث لحل المشاكل البيئية والتحكم في مصادر التلوث.</w:t>
      </w:r>
    </w:p>
    <w:p w:rsidR="00000000" w:rsidRDefault="00443EC1">
      <w:pPr>
        <w:tabs>
          <w:tab w:val="left" w:pos="894"/>
        </w:tabs>
        <w:spacing w:line="380" w:lineRule="exact"/>
        <w:jc w:val="both"/>
        <w:rPr>
          <w:rFonts w:hint="cs"/>
          <w:b/>
          <w:bCs/>
          <w:spacing w:val="0"/>
          <w:sz w:val="32"/>
          <w:rtl/>
        </w:rPr>
      </w:pPr>
      <w:r>
        <w:rPr>
          <w:rFonts w:hint="cs"/>
          <w:b/>
          <w:bCs/>
          <w:spacing w:val="0"/>
          <w:sz w:val="32"/>
          <w:rtl/>
        </w:rPr>
        <w:t>نوعية المياه في الشو</w:t>
      </w:r>
      <w:r>
        <w:rPr>
          <w:rFonts w:hint="cs"/>
          <w:b/>
          <w:bCs/>
          <w:spacing w:val="0"/>
          <w:sz w:val="32"/>
          <w:rtl/>
        </w:rPr>
        <w:t>اطئ</w:t>
      </w:r>
    </w:p>
    <w:p w:rsidR="00000000" w:rsidRDefault="00443EC1">
      <w:pPr>
        <w:tabs>
          <w:tab w:val="left" w:pos="894"/>
        </w:tabs>
        <w:spacing w:line="380" w:lineRule="exact"/>
        <w:jc w:val="both"/>
        <w:rPr>
          <w:rFonts w:hint="cs"/>
          <w:spacing w:val="0"/>
          <w:sz w:val="32"/>
          <w:rtl/>
        </w:rPr>
      </w:pPr>
      <w:r>
        <w:rPr>
          <w:rFonts w:hint="cs"/>
          <w:spacing w:val="0"/>
          <w:sz w:val="32"/>
          <w:rtl/>
        </w:rPr>
        <w:t>1080-</w:t>
      </w:r>
      <w:r>
        <w:rPr>
          <w:spacing w:val="0"/>
          <w:sz w:val="32"/>
          <w:rtl/>
        </w:rPr>
        <w:tab/>
      </w:r>
      <w:r>
        <w:rPr>
          <w:rFonts w:hint="cs"/>
          <w:spacing w:val="0"/>
          <w:sz w:val="32"/>
          <w:rtl/>
        </w:rPr>
        <w:t>وتقع مسؤولية رصد نوعية مياه الشواطئ على عاتق مختبر الصحة العامة التابع لوزارة الصحة. ومن شهر نيسان/أبريل إلى شهر تشرين الأول/أكتوبر من كل عام، يتكرر أخذ العينات مرتين في الأسبوع من موقعين اثنين في كل شاطئ (وتؤخذ عينات أخرى خلال نفس الأسبوع كلما ت</w:t>
      </w:r>
      <w:r>
        <w:rPr>
          <w:rFonts w:hint="cs"/>
          <w:spacing w:val="0"/>
          <w:sz w:val="32"/>
          <w:rtl/>
        </w:rPr>
        <w:t>جاوزت المستويات الميكروبيولوجية المقاييس). وتُدْرس المعالم الميكروبيولوجية والفيزيائية والكيميائية ثم تقارَن النتائج، كلما أمكن ذلك، بالحدود التي ينص عليها القانون في الصين القارية وفي منطقة هونغ كونغ الإدارية الخاصة وفي الاتحاد الأوروبي.</w:t>
      </w:r>
    </w:p>
    <w:p w:rsidR="00000000" w:rsidRDefault="00443EC1">
      <w:pPr>
        <w:tabs>
          <w:tab w:val="left" w:pos="894"/>
        </w:tabs>
        <w:spacing w:line="380" w:lineRule="exact"/>
        <w:jc w:val="both"/>
        <w:rPr>
          <w:rFonts w:hint="cs"/>
          <w:b/>
          <w:bCs/>
          <w:spacing w:val="0"/>
          <w:sz w:val="32"/>
          <w:rtl/>
        </w:rPr>
      </w:pPr>
      <w:r>
        <w:rPr>
          <w:rFonts w:hint="cs"/>
          <w:b/>
          <w:bCs/>
          <w:spacing w:val="0"/>
          <w:sz w:val="32"/>
          <w:rtl/>
        </w:rPr>
        <w:t>إدارة البيئة</w:t>
      </w:r>
    </w:p>
    <w:p w:rsidR="00000000" w:rsidRDefault="00443EC1">
      <w:pPr>
        <w:tabs>
          <w:tab w:val="left" w:pos="894"/>
        </w:tabs>
        <w:spacing w:line="380" w:lineRule="exact"/>
        <w:jc w:val="both"/>
        <w:rPr>
          <w:rFonts w:hint="cs"/>
          <w:spacing w:val="0"/>
          <w:sz w:val="32"/>
          <w:rtl/>
        </w:rPr>
      </w:pPr>
      <w:r>
        <w:rPr>
          <w:rFonts w:hint="cs"/>
          <w:spacing w:val="0"/>
          <w:sz w:val="32"/>
          <w:rtl/>
        </w:rPr>
        <w:t>1081</w:t>
      </w:r>
      <w:r>
        <w:rPr>
          <w:rFonts w:hint="cs"/>
          <w:spacing w:val="0"/>
          <w:sz w:val="32"/>
          <w:rtl/>
        </w:rPr>
        <w:t>-</w:t>
      </w:r>
      <w:r>
        <w:rPr>
          <w:spacing w:val="0"/>
          <w:sz w:val="32"/>
          <w:rtl/>
        </w:rPr>
        <w:tab/>
      </w:r>
      <w:r>
        <w:rPr>
          <w:rFonts w:hint="cs"/>
          <w:spacing w:val="0"/>
          <w:sz w:val="32"/>
          <w:rtl/>
        </w:rPr>
        <w:t>تخص حكومة مقاطعة ماكاو الإدارية الخاصة مشاكل البيئة باهتمام شديد. فقد وضعت تدابير فعالة لحماية البيئة والتثقيف البيئي موضع تنفيذ وحددت مقاييس ملائمة لتحسين البيئة. وترمي تلك السياسات البيئية إلى الارتقاء بوعي السكان بالمشاكل البيئية وتحسين أنماط الاستهلا</w:t>
      </w:r>
      <w:r>
        <w:rPr>
          <w:rFonts w:hint="cs"/>
          <w:spacing w:val="0"/>
          <w:sz w:val="32"/>
          <w:rtl/>
        </w:rPr>
        <w:t>ك.</w:t>
      </w:r>
    </w:p>
    <w:p w:rsidR="00000000" w:rsidRDefault="00443EC1">
      <w:pPr>
        <w:tabs>
          <w:tab w:val="left" w:pos="894"/>
        </w:tabs>
        <w:spacing w:line="380" w:lineRule="exact"/>
        <w:jc w:val="both"/>
        <w:rPr>
          <w:rFonts w:hint="cs"/>
          <w:spacing w:val="0"/>
          <w:sz w:val="32"/>
          <w:rtl/>
        </w:rPr>
      </w:pPr>
      <w:r>
        <w:rPr>
          <w:rFonts w:hint="cs"/>
          <w:spacing w:val="0"/>
          <w:sz w:val="32"/>
          <w:rtl/>
        </w:rPr>
        <w:t>1082-</w:t>
      </w:r>
      <w:r>
        <w:rPr>
          <w:spacing w:val="0"/>
          <w:sz w:val="32"/>
          <w:rtl/>
        </w:rPr>
        <w:tab/>
      </w:r>
      <w:r>
        <w:rPr>
          <w:rFonts w:hint="cs"/>
          <w:spacing w:val="0"/>
          <w:sz w:val="32"/>
          <w:rtl/>
        </w:rPr>
        <w:t>و</w:t>
      </w:r>
      <w:r>
        <w:rPr>
          <w:spacing w:val="0"/>
          <w:sz w:val="32"/>
          <w:rtl/>
        </w:rPr>
        <w:t xml:space="preserve">تشترك كل من مؤسسة الشؤون المدنية والبلدية واللجنة المعنية بالبيئة </w:t>
      </w:r>
      <w:r>
        <w:rPr>
          <w:rFonts w:hint="cs"/>
          <w:spacing w:val="0"/>
          <w:sz w:val="32"/>
          <w:rtl/>
        </w:rPr>
        <w:t xml:space="preserve">ووزارة الصحة في المسؤولية عن إدارة البيئة. إذ تقوم </w:t>
      </w:r>
      <w:r>
        <w:rPr>
          <w:spacing w:val="0"/>
          <w:sz w:val="32"/>
          <w:rtl/>
        </w:rPr>
        <w:t xml:space="preserve">اللجنة المعنية بالبيئة </w:t>
      </w:r>
      <w:r>
        <w:rPr>
          <w:rFonts w:hint="cs"/>
          <w:spacing w:val="0"/>
          <w:sz w:val="32"/>
          <w:rtl/>
        </w:rPr>
        <w:t>بدراسة التخطيط الحضري وتنجز دراسات لتقييم الأثر البيئي. وهي تضم قسما خاصاً بالبحث والتطوير.</w:t>
      </w:r>
    </w:p>
    <w:p w:rsidR="00000000" w:rsidRDefault="00443EC1">
      <w:pPr>
        <w:tabs>
          <w:tab w:val="left" w:pos="894"/>
        </w:tabs>
        <w:spacing w:line="380" w:lineRule="exact"/>
        <w:jc w:val="both"/>
        <w:rPr>
          <w:rFonts w:hint="cs"/>
          <w:spacing w:val="0"/>
          <w:sz w:val="32"/>
          <w:rtl/>
        </w:rPr>
      </w:pPr>
      <w:r>
        <w:rPr>
          <w:rFonts w:hint="cs"/>
          <w:spacing w:val="0"/>
          <w:sz w:val="32"/>
          <w:rtl/>
        </w:rPr>
        <w:t>1083-</w:t>
      </w:r>
      <w:r>
        <w:rPr>
          <w:spacing w:val="0"/>
          <w:sz w:val="32"/>
          <w:rtl/>
        </w:rPr>
        <w:tab/>
      </w:r>
      <w:r>
        <w:rPr>
          <w:rFonts w:hint="cs"/>
          <w:spacing w:val="0"/>
          <w:sz w:val="32"/>
          <w:rtl/>
        </w:rPr>
        <w:t>فعلى سبي</w:t>
      </w:r>
      <w:r>
        <w:rPr>
          <w:rFonts w:hint="cs"/>
          <w:spacing w:val="0"/>
          <w:sz w:val="32"/>
          <w:rtl/>
        </w:rPr>
        <w:t>ل المثال، تقوم مؤسسة الشؤون المدنية وا</w:t>
      </w:r>
      <w:r>
        <w:rPr>
          <w:spacing w:val="0"/>
          <w:sz w:val="32"/>
          <w:rtl/>
        </w:rPr>
        <w:t xml:space="preserve">للجنة المعنية بالبيئة </w:t>
      </w:r>
      <w:r>
        <w:rPr>
          <w:rFonts w:hint="cs"/>
          <w:spacing w:val="0"/>
          <w:sz w:val="32"/>
          <w:rtl/>
        </w:rPr>
        <w:t>في الوقت الحالي بإنشاء نظام للمعلومات الجغرافية البيئية (وهو عبارة عن قاعدة بيانات) وبتنفيذ نظم إدارة البيئة (المحافظة على الموارد الطبيعية من خلال مراقبة استعمال الموارد والمواد الأولية والمياه ا</w:t>
      </w:r>
      <w:r>
        <w:rPr>
          <w:rFonts w:hint="cs"/>
          <w:spacing w:val="0"/>
          <w:sz w:val="32"/>
          <w:rtl/>
        </w:rPr>
        <w:t>لعادمة والنفايات المنتَجة بتكاليف إنتاج أقل على المديـين المتوسط والبعيد). والحصول على المعلومات المتعلقة بالبيئة متيسر للجمهور بالوسائط الإلكترونية (أقراص الفيديو المدمجة والإنترنت).</w:t>
      </w:r>
    </w:p>
    <w:p w:rsidR="00000000" w:rsidRDefault="00443EC1">
      <w:pPr>
        <w:tabs>
          <w:tab w:val="left" w:pos="894"/>
        </w:tabs>
        <w:spacing w:line="380" w:lineRule="exact"/>
        <w:jc w:val="both"/>
        <w:rPr>
          <w:rFonts w:hint="cs"/>
          <w:spacing w:val="0"/>
          <w:sz w:val="32"/>
          <w:rtl/>
        </w:rPr>
      </w:pPr>
      <w:r>
        <w:rPr>
          <w:rFonts w:hint="cs"/>
          <w:spacing w:val="0"/>
          <w:sz w:val="32"/>
          <w:rtl/>
        </w:rPr>
        <w:t>1084-</w:t>
      </w:r>
      <w:r>
        <w:rPr>
          <w:spacing w:val="0"/>
          <w:sz w:val="32"/>
          <w:rtl/>
        </w:rPr>
        <w:tab/>
      </w:r>
      <w:r>
        <w:rPr>
          <w:rFonts w:hint="cs"/>
          <w:spacing w:val="0"/>
          <w:sz w:val="32"/>
          <w:rtl/>
        </w:rPr>
        <w:t>ومعظم المعاهدات المهمة المتعلقة بالبيئة تطبق في مقاطعة ماكاو الإدا</w:t>
      </w:r>
      <w:r>
        <w:rPr>
          <w:rFonts w:hint="cs"/>
          <w:spacing w:val="0"/>
          <w:sz w:val="32"/>
          <w:rtl/>
        </w:rPr>
        <w:t>رية الخاصة، وهناك قوانين عدة تحكم كل مجال من مجالات البيئة المختلفة. فالإطار القانوني للسياسة البيئية، أي القانون 2/91/م الصادر في 11 آذار/مارس، يحدد المبادئ والسياسات الرئيسية لحماية البيئة ككل. وكلما نشأ عن التلوث خطر شديد يهدد سلامة الإنسان البدنية أو ح</w:t>
      </w:r>
      <w:r>
        <w:rPr>
          <w:rFonts w:hint="cs"/>
          <w:spacing w:val="0"/>
          <w:sz w:val="32"/>
          <w:rtl/>
        </w:rPr>
        <w:t>ياته أو يهدد الممتلكات، فإن ذلك يشكل جريمة تنص عليها وتعاقب مرتكبيها المادة 268 من القانون الجنائي.</w:t>
      </w:r>
    </w:p>
    <w:p w:rsidR="00000000" w:rsidRDefault="00443EC1">
      <w:pPr>
        <w:tabs>
          <w:tab w:val="left" w:pos="894"/>
        </w:tabs>
        <w:spacing w:line="380" w:lineRule="exact"/>
        <w:jc w:val="both"/>
        <w:rPr>
          <w:rFonts w:hint="cs"/>
          <w:spacing w:val="0"/>
          <w:sz w:val="32"/>
          <w:rtl/>
        </w:rPr>
      </w:pPr>
      <w:r>
        <w:rPr>
          <w:rFonts w:hint="cs"/>
          <w:spacing w:val="0"/>
          <w:sz w:val="32"/>
          <w:rtl/>
        </w:rPr>
        <w:t>1085-</w:t>
      </w:r>
      <w:r>
        <w:rPr>
          <w:spacing w:val="0"/>
          <w:sz w:val="32"/>
          <w:rtl/>
        </w:rPr>
        <w:tab/>
      </w:r>
      <w:r>
        <w:rPr>
          <w:rFonts w:hint="cs"/>
          <w:spacing w:val="0"/>
          <w:sz w:val="32"/>
          <w:rtl/>
        </w:rPr>
        <w:t>وفضلا عن ذلك، يعتبر التعاون الدولي والإقليمي أمرا حيويا وقد ضمّت حكومة مقاطعة ماكاو الإدارية الخاصة جهدها إلى جهد هونغ كونغ وغوانغزو وشينزين وزوهاي وغ</w:t>
      </w:r>
      <w:r>
        <w:rPr>
          <w:rFonts w:hint="cs"/>
          <w:spacing w:val="0"/>
          <w:sz w:val="32"/>
          <w:rtl/>
        </w:rPr>
        <w:t>يرها من مدن الصين لتحقيق بيئة إقليمية مستدامة.</w:t>
      </w:r>
    </w:p>
    <w:p w:rsidR="00000000" w:rsidRDefault="00443EC1">
      <w:pPr>
        <w:tabs>
          <w:tab w:val="left" w:pos="894"/>
        </w:tabs>
        <w:spacing w:line="380" w:lineRule="exact"/>
        <w:jc w:val="both"/>
        <w:rPr>
          <w:rFonts w:hint="cs"/>
          <w:spacing w:val="0"/>
          <w:sz w:val="32"/>
          <w:rtl/>
        </w:rPr>
      </w:pPr>
      <w:r>
        <w:rPr>
          <w:rFonts w:hint="cs"/>
          <w:spacing w:val="0"/>
          <w:sz w:val="32"/>
          <w:rtl/>
        </w:rPr>
        <w:t>1086-</w:t>
      </w:r>
      <w:r>
        <w:rPr>
          <w:spacing w:val="0"/>
          <w:sz w:val="32"/>
          <w:rtl/>
        </w:rPr>
        <w:tab/>
      </w:r>
      <w:r>
        <w:rPr>
          <w:rFonts w:hint="cs"/>
          <w:spacing w:val="0"/>
          <w:sz w:val="32"/>
          <w:rtl/>
        </w:rPr>
        <w:t>ويكمن العامل المهم الآخر في كون سكان مقاطعة ماكاو الإدارية الخاصة باتوا أكثر وعيا بالمشاكل البيئية ويتمتعون بمستوى معيشة أفضل، لذا فإن السلطات المختصة (</w:t>
      </w:r>
      <w:r>
        <w:rPr>
          <w:spacing w:val="0"/>
          <w:sz w:val="32"/>
          <w:rtl/>
        </w:rPr>
        <w:t>مؤسسة الشؤون المدنية والبلدية واللجنة المعنية بالبي</w:t>
      </w:r>
      <w:r>
        <w:rPr>
          <w:spacing w:val="0"/>
          <w:sz w:val="32"/>
          <w:rtl/>
        </w:rPr>
        <w:t xml:space="preserve">ئة </w:t>
      </w:r>
      <w:r>
        <w:rPr>
          <w:rFonts w:hint="cs"/>
          <w:spacing w:val="0"/>
          <w:sz w:val="32"/>
          <w:rtl/>
        </w:rPr>
        <w:t>) قد تلقت عدداً أكبر من الشكاوى في السنوات الأخيرة.</w:t>
      </w:r>
    </w:p>
    <w:p w:rsidR="00000000" w:rsidRDefault="00443EC1">
      <w:pPr>
        <w:tabs>
          <w:tab w:val="left" w:pos="894"/>
        </w:tabs>
        <w:spacing w:line="380" w:lineRule="exact"/>
        <w:jc w:val="both"/>
        <w:rPr>
          <w:rFonts w:hint="cs"/>
          <w:b/>
          <w:bCs/>
          <w:spacing w:val="0"/>
          <w:sz w:val="32"/>
          <w:rtl/>
        </w:rPr>
      </w:pPr>
      <w:r>
        <w:rPr>
          <w:rFonts w:hint="cs"/>
          <w:b/>
          <w:bCs/>
          <w:spacing w:val="0"/>
          <w:sz w:val="32"/>
          <w:rtl/>
        </w:rPr>
        <w:t>التثقيف البيئي</w:t>
      </w:r>
    </w:p>
    <w:p w:rsidR="00000000" w:rsidRDefault="00443EC1">
      <w:pPr>
        <w:tabs>
          <w:tab w:val="left" w:pos="894"/>
        </w:tabs>
        <w:spacing w:line="380" w:lineRule="exact"/>
        <w:jc w:val="both"/>
        <w:rPr>
          <w:rFonts w:hint="cs"/>
          <w:spacing w:val="0"/>
          <w:sz w:val="32"/>
          <w:rtl/>
        </w:rPr>
      </w:pPr>
      <w:r>
        <w:rPr>
          <w:rFonts w:hint="cs"/>
          <w:spacing w:val="0"/>
          <w:sz w:val="32"/>
          <w:rtl/>
        </w:rPr>
        <w:t>1087-</w:t>
      </w:r>
      <w:r>
        <w:rPr>
          <w:spacing w:val="0"/>
          <w:sz w:val="32"/>
          <w:rtl/>
        </w:rPr>
        <w:tab/>
      </w:r>
      <w:r>
        <w:rPr>
          <w:rFonts w:hint="cs"/>
          <w:spacing w:val="0"/>
          <w:sz w:val="32"/>
          <w:rtl/>
        </w:rPr>
        <w:t>و</w:t>
      </w:r>
      <w:r>
        <w:rPr>
          <w:spacing w:val="0"/>
          <w:sz w:val="32"/>
          <w:rtl/>
        </w:rPr>
        <w:t>مؤسسة الشؤون المدنية والبلدية واللجنة المعنية بالبيئة</w:t>
      </w:r>
      <w:r>
        <w:rPr>
          <w:rFonts w:hint="cs"/>
          <w:spacing w:val="0"/>
          <w:sz w:val="32"/>
          <w:rtl/>
        </w:rPr>
        <w:t>، إذ تضعان نصب عينيهما أن البيئة مرتبطة ارتباطا وثيقا بالأنشطة الإنسانية وبالتنمية الاجتماعية،</w:t>
      </w:r>
      <w:r>
        <w:rPr>
          <w:spacing w:val="0"/>
          <w:sz w:val="32"/>
          <w:rtl/>
        </w:rPr>
        <w:t xml:space="preserve"> </w:t>
      </w:r>
      <w:r>
        <w:rPr>
          <w:rFonts w:hint="cs"/>
          <w:spacing w:val="0"/>
          <w:sz w:val="32"/>
          <w:rtl/>
        </w:rPr>
        <w:t>تعتمدان على التثقيف وعلى التروي</w:t>
      </w:r>
      <w:r>
        <w:rPr>
          <w:rFonts w:hint="cs"/>
          <w:spacing w:val="0"/>
          <w:sz w:val="32"/>
          <w:rtl/>
        </w:rPr>
        <w:t>ج لحماية البيئة بغية الرفع من وعي عامة الناس وإذكاء رغبتهم في تغيير أنماط حياتهم والانتباه إلى ضرورة وجود توازن إيكولوجي.</w:t>
      </w:r>
    </w:p>
    <w:p w:rsidR="00000000" w:rsidRDefault="00443EC1">
      <w:pPr>
        <w:tabs>
          <w:tab w:val="left" w:pos="894"/>
        </w:tabs>
        <w:spacing w:line="380" w:lineRule="exact"/>
        <w:jc w:val="both"/>
        <w:rPr>
          <w:rFonts w:hint="cs"/>
          <w:spacing w:val="0"/>
          <w:sz w:val="32"/>
          <w:rtl/>
        </w:rPr>
      </w:pPr>
      <w:r>
        <w:rPr>
          <w:rFonts w:hint="cs"/>
          <w:spacing w:val="0"/>
          <w:sz w:val="32"/>
          <w:rtl/>
        </w:rPr>
        <w:t>1088-</w:t>
      </w:r>
      <w:r>
        <w:rPr>
          <w:spacing w:val="0"/>
          <w:sz w:val="32"/>
          <w:rtl/>
        </w:rPr>
        <w:tab/>
        <w:t xml:space="preserve">أضحت قضايا البيئة جزءا لا يتجزأ من </w:t>
      </w:r>
      <w:r>
        <w:rPr>
          <w:rFonts w:hint="cs"/>
          <w:spacing w:val="0"/>
          <w:sz w:val="32"/>
          <w:rtl/>
        </w:rPr>
        <w:t xml:space="preserve">المناهج المدرسية. فقد أقامت وزارة التعليم وشؤون الشباب عدة أنشطة واسعة النطاق بالتعاون مع </w:t>
      </w:r>
      <w:r>
        <w:rPr>
          <w:spacing w:val="0"/>
          <w:sz w:val="32"/>
          <w:rtl/>
        </w:rPr>
        <w:t>مؤس</w:t>
      </w:r>
      <w:r>
        <w:rPr>
          <w:spacing w:val="0"/>
          <w:sz w:val="32"/>
          <w:rtl/>
        </w:rPr>
        <w:t xml:space="preserve">سة الشؤون المدنية والبلدية واللجنة المعنية بالبيئة </w:t>
      </w:r>
      <w:r>
        <w:rPr>
          <w:rFonts w:hint="cs"/>
          <w:spacing w:val="0"/>
          <w:sz w:val="32"/>
          <w:rtl/>
        </w:rPr>
        <w:t xml:space="preserve"> تهدف إلى تنشئة التلاميذ على احترام البيئة.</w:t>
      </w:r>
    </w:p>
    <w:p w:rsidR="00000000" w:rsidRDefault="00443EC1">
      <w:pPr>
        <w:tabs>
          <w:tab w:val="left" w:pos="894"/>
        </w:tabs>
        <w:spacing w:line="380" w:lineRule="exact"/>
        <w:jc w:val="both"/>
        <w:rPr>
          <w:rFonts w:hint="cs"/>
          <w:spacing w:val="0"/>
          <w:sz w:val="32"/>
          <w:rtl/>
        </w:rPr>
      </w:pPr>
      <w:r>
        <w:rPr>
          <w:rFonts w:hint="cs"/>
          <w:spacing w:val="0"/>
          <w:sz w:val="32"/>
          <w:rtl/>
        </w:rPr>
        <w:t>1089-</w:t>
      </w:r>
      <w:r>
        <w:rPr>
          <w:spacing w:val="0"/>
          <w:sz w:val="32"/>
          <w:rtl/>
        </w:rPr>
        <w:tab/>
        <w:t>فعلى سبيل المثال، في الفترة الممتدة ما بين عام</w:t>
      </w:r>
      <w:r>
        <w:rPr>
          <w:rFonts w:hint="cs"/>
          <w:spacing w:val="0"/>
          <w:sz w:val="32"/>
          <w:rtl/>
        </w:rPr>
        <w:t>ي</w:t>
      </w:r>
      <w:r>
        <w:rPr>
          <w:spacing w:val="0"/>
          <w:sz w:val="32"/>
          <w:rtl/>
        </w:rPr>
        <w:t xml:space="preserve"> 2000 و2001</w:t>
      </w:r>
      <w:r>
        <w:rPr>
          <w:rFonts w:hint="cs"/>
          <w:spacing w:val="0"/>
          <w:sz w:val="32"/>
          <w:rtl/>
        </w:rPr>
        <w:t>، تم تنظيم الحملات التالية: "مغامرات السيد قمامة" و"طريق إلى النمو: إنقاذ العالم" و"الانبعاثات وا</w:t>
      </w:r>
      <w:r>
        <w:rPr>
          <w:rFonts w:hint="cs"/>
          <w:spacing w:val="0"/>
          <w:sz w:val="32"/>
          <w:rtl/>
        </w:rPr>
        <w:t>لطاقة" و"مخيم حماية البيئة" و"المخيم الصيفي العلمي".</w:t>
      </w:r>
    </w:p>
    <w:p w:rsidR="00000000" w:rsidRDefault="00443EC1">
      <w:pPr>
        <w:tabs>
          <w:tab w:val="left" w:pos="894"/>
        </w:tabs>
        <w:spacing w:line="380" w:lineRule="exact"/>
        <w:jc w:val="both"/>
        <w:rPr>
          <w:rFonts w:hint="cs"/>
          <w:spacing w:val="0"/>
          <w:sz w:val="32"/>
          <w:rtl/>
        </w:rPr>
      </w:pPr>
      <w:r>
        <w:rPr>
          <w:rFonts w:hint="cs"/>
          <w:spacing w:val="0"/>
          <w:sz w:val="32"/>
          <w:rtl/>
        </w:rPr>
        <w:t>1090-</w:t>
      </w:r>
      <w:r>
        <w:rPr>
          <w:spacing w:val="0"/>
          <w:sz w:val="32"/>
          <w:rtl/>
        </w:rPr>
        <w:tab/>
        <w:t>كما نظمت مؤسسة الشؤون المدنية والبلدية</w:t>
      </w:r>
      <w:r>
        <w:rPr>
          <w:rFonts w:hint="cs"/>
          <w:spacing w:val="0"/>
          <w:sz w:val="32"/>
          <w:rtl/>
        </w:rPr>
        <w:t>، مع هيئات أخرى، برنامج استعادة النفايات وإعادة تدويرها استهدف المدارس والحدائق العامة وشمل 23 مدرسة وست حدائق عامة. وكان النجاح حليف الخطة بما أن كمية النفايا</w:t>
      </w:r>
      <w:r>
        <w:rPr>
          <w:rFonts w:hint="cs"/>
          <w:spacing w:val="0"/>
          <w:sz w:val="32"/>
          <w:rtl/>
        </w:rPr>
        <w:t>ت المعاد تدويرها قد زادت وأنواعا جديدة من حاويات النفايات ما انفكت توضع موضع الاستعمال.</w:t>
      </w:r>
    </w:p>
    <w:p w:rsidR="00000000" w:rsidRDefault="00443EC1">
      <w:pPr>
        <w:tabs>
          <w:tab w:val="left" w:pos="894"/>
        </w:tabs>
        <w:spacing w:line="380" w:lineRule="exact"/>
        <w:jc w:val="center"/>
        <w:rPr>
          <w:rFonts w:hint="cs"/>
          <w:b/>
          <w:bCs/>
          <w:spacing w:val="0"/>
          <w:sz w:val="32"/>
          <w:rtl/>
        </w:rPr>
      </w:pPr>
      <w:r>
        <w:rPr>
          <w:rFonts w:hint="cs"/>
          <w:b/>
          <w:bCs/>
          <w:spacing w:val="0"/>
          <w:sz w:val="32"/>
          <w:rtl/>
        </w:rPr>
        <w:t>واو - ال</w:t>
      </w:r>
      <w:r>
        <w:rPr>
          <w:b/>
          <w:bCs/>
          <w:spacing w:val="0"/>
          <w:sz w:val="32"/>
          <w:rtl/>
        </w:rPr>
        <w:t>تدابير</w:t>
      </w:r>
      <w:r>
        <w:rPr>
          <w:rFonts w:hint="cs"/>
          <w:b/>
          <w:bCs/>
          <w:spacing w:val="0"/>
          <w:sz w:val="32"/>
          <w:rtl/>
        </w:rPr>
        <w:t xml:space="preserve"> المتخذة لإقامة اتصالات وعلاقات تعاون على الصعيد الدولي</w:t>
      </w:r>
    </w:p>
    <w:p w:rsidR="00000000" w:rsidRDefault="00443EC1">
      <w:pPr>
        <w:tabs>
          <w:tab w:val="left" w:pos="894"/>
        </w:tabs>
        <w:spacing w:line="380" w:lineRule="exact"/>
        <w:jc w:val="both"/>
        <w:rPr>
          <w:rFonts w:hint="cs"/>
          <w:spacing w:val="0"/>
          <w:sz w:val="32"/>
          <w:rtl/>
        </w:rPr>
      </w:pPr>
      <w:r>
        <w:rPr>
          <w:rFonts w:hint="cs"/>
          <w:spacing w:val="0"/>
          <w:sz w:val="32"/>
          <w:rtl/>
        </w:rPr>
        <w:t>1091-</w:t>
      </w:r>
      <w:r>
        <w:rPr>
          <w:spacing w:val="0"/>
          <w:sz w:val="32"/>
          <w:rtl/>
        </w:rPr>
        <w:tab/>
      </w:r>
      <w:r>
        <w:rPr>
          <w:rFonts w:hint="cs"/>
          <w:spacing w:val="0"/>
          <w:sz w:val="32"/>
          <w:rtl/>
        </w:rPr>
        <w:t>كما سبق الذكر، تعتبر أهم المعاهدات المتعلقة بالبيئة سارية المفعول في مقاطعة ماكاو الإدارية ا</w:t>
      </w:r>
      <w:r>
        <w:rPr>
          <w:rFonts w:hint="cs"/>
          <w:spacing w:val="0"/>
          <w:sz w:val="32"/>
          <w:rtl/>
        </w:rPr>
        <w:t>لخاصة ويشارك ممثلو المقاطعة في العديد من اللقاءات والحلقات الدراسية والمؤتمرات العلمية الدولية وفي التعاون من خلال تبادل الخبرات على مختلف الأصعدة، كما يشاركون في التدريبات الخاصة.</w:t>
      </w:r>
    </w:p>
    <w:p w:rsidR="00000000" w:rsidRDefault="00443EC1">
      <w:pPr>
        <w:tabs>
          <w:tab w:val="left" w:pos="894"/>
        </w:tabs>
        <w:spacing w:line="380" w:lineRule="exact"/>
        <w:jc w:val="both"/>
        <w:rPr>
          <w:rFonts w:hint="cs"/>
          <w:spacing w:val="0"/>
          <w:sz w:val="32"/>
          <w:rtl/>
        </w:rPr>
      </w:pPr>
      <w:r>
        <w:rPr>
          <w:rFonts w:hint="cs"/>
          <w:spacing w:val="0"/>
          <w:sz w:val="32"/>
          <w:rtl/>
        </w:rPr>
        <w:t>1092-</w:t>
      </w:r>
      <w:r>
        <w:rPr>
          <w:spacing w:val="0"/>
          <w:sz w:val="32"/>
          <w:rtl/>
        </w:rPr>
        <w:tab/>
      </w:r>
      <w:r>
        <w:rPr>
          <w:rFonts w:hint="cs"/>
          <w:spacing w:val="0"/>
          <w:sz w:val="32"/>
          <w:rtl/>
        </w:rPr>
        <w:t>بالإضافة إلى ذلك، تتمتع مقاطعة ماكاو الإدارية الخاصة نفسها بالعضوية ف</w:t>
      </w:r>
      <w:r>
        <w:rPr>
          <w:rFonts w:hint="cs"/>
          <w:spacing w:val="0"/>
          <w:sz w:val="32"/>
          <w:rtl/>
        </w:rPr>
        <w:t>ي الاتحاد الدولي للطب الرياضي وفي المجلس الدولي للرياضة والتربية البدنية وفي الاتحاد الآسيوي للطب الرياضي. ويسهم نشر مقالات تتناول البحث العلمي في تنمية المضمار العلمي.</w:t>
      </w:r>
    </w:p>
    <w:p w:rsidR="00000000" w:rsidRDefault="00443EC1">
      <w:pPr>
        <w:tabs>
          <w:tab w:val="left" w:pos="894"/>
        </w:tabs>
        <w:spacing w:line="380" w:lineRule="exact"/>
        <w:jc w:val="center"/>
        <w:rPr>
          <w:rFonts w:hint="cs"/>
          <w:b/>
          <w:bCs/>
          <w:spacing w:val="0"/>
          <w:sz w:val="32"/>
          <w:rtl/>
        </w:rPr>
      </w:pPr>
      <w:r>
        <w:rPr>
          <w:rFonts w:hint="cs"/>
          <w:b/>
          <w:bCs/>
          <w:spacing w:val="0"/>
          <w:sz w:val="32"/>
          <w:rtl/>
        </w:rPr>
        <w:t>المادتان 13 و14</w:t>
      </w:r>
      <w:r>
        <w:rPr>
          <w:b/>
          <w:bCs/>
          <w:spacing w:val="0"/>
          <w:sz w:val="32"/>
          <w:rtl/>
        </w:rPr>
        <w:br/>
      </w:r>
      <w:r>
        <w:rPr>
          <w:rFonts w:hint="cs"/>
          <w:b/>
          <w:bCs/>
          <w:spacing w:val="0"/>
          <w:sz w:val="32"/>
          <w:rtl/>
        </w:rPr>
        <w:t>الحق في التعليم</w:t>
      </w:r>
    </w:p>
    <w:p w:rsidR="00000000" w:rsidRDefault="00443EC1">
      <w:pPr>
        <w:tabs>
          <w:tab w:val="left" w:pos="894"/>
        </w:tabs>
        <w:spacing w:line="380" w:lineRule="exact"/>
        <w:jc w:val="center"/>
        <w:rPr>
          <w:rFonts w:hint="cs"/>
          <w:b/>
          <w:bCs/>
          <w:spacing w:val="0"/>
          <w:sz w:val="32"/>
          <w:rtl/>
        </w:rPr>
      </w:pPr>
      <w:r>
        <w:rPr>
          <w:rFonts w:hint="cs"/>
          <w:b/>
          <w:bCs/>
          <w:spacing w:val="0"/>
          <w:sz w:val="32"/>
          <w:rtl/>
        </w:rPr>
        <w:t xml:space="preserve">ألف - </w:t>
      </w:r>
      <w:r>
        <w:rPr>
          <w:b/>
          <w:bCs/>
          <w:spacing w:val="0"/>
          <w:sz w:val="32"/>
          <w:rtl/>
        </w:rPr>
        <w:t>ا</w:t>
      </w:r>
      <w:r>
        <w:rPr>
          <w:rFonts w:hint="cs"/>
          <w:b/>
          <w:bCs/>
          <w:spacing w:val="0"/>
          <w:sz w:val="32"/>
          <w:rtl/>
        </w:rPr>
        <w:t>لإطار القانوني</w:t>
      </w:r>
    </w:p>
    <w:p w:rsidR="00000000" w:rsidRDefault="00443EC1">
      <w:pPr>
        <w:tabs>
          <w:tab w:val="left" w:pos="894"/>
        </w:tabs>
        <w:spacing w:line="380" w:lineRule="exact"/>
        <w:jc w:val="both"/>
        <w:rPr>
          <w:rFonts w:hint="cs"/>
          <w:spacing w:val="0"/>
          <w:sz w:val="32"/>
          <w:rtl/>
        </w:rPr>
      </w:pPr>
      <w:r>
        <w:rPr>
          <w:rFonts w:hint="cs"/>
          <w:spacing w:val="0"/>
          <w:sz w:val="32"/>
          <w:rtl/>
        </w:rPr>
        <w:t>1093-</w:t>
      </w:r>
      <w:r>
        <w:rPr>
          <w:spacing w:val="0"/>
          <w:sz w:val="32"/>
          <w:rtl/>
        </w:rPr>
        <w:tab/>
      </w:r>
      <w:r>
        <w:rPr>
          <w:rFonts w:hint="cs"/>
          <w:spacing w:val="0"/>
          <w:sz w:val="32"/>
          <w:rtl/>
        </w:rPr>
        <w:t>لكل فرد الحق في التعليم دون</w:t>
      </w:r>
      <w:r>
        <w:rPr>
          <w:rFonts w:hint="cs"/>
          <w:spacing w:val="0"/>
          <w:sz w:val="32"/>
          <w:rtl/>
        </w:rPr>
        <w:t xml:space="preserve"> أدنى تمييز طبقا للمادة 37 من القانون الأساسي والمادة 2 من الإطار القانوني لنظام التعليم (القانون 11/91/م الصادر في 29 آب/أغسطس).</w:t>
      </w:r>
    </w:p>
    <w:p w:rsidR="00000000" w:rsidRDefault="00443EC1">
      <w:pPr>
        <w:tabs>
          <w:tab w:val="left" w:pos="894"/>
        </w:tabs>
        <w:spacing w:line="380" w:lineRule="exact"/>
        <w:jc w:val="both"/>
        <w:rPr>
          <w:rFonts w:hint="cs"/>
          <w:spacing w:val="0"/>
          <w:sz w:val="32"/>
          <w:rtl/>
        </w:rPr>
      </w:pPr>
      <w:r>
        <w:rPr>
          <w:rFonts w:hint="cs"/>
          <w:spacing w:val="0"/>
          <w:sz w:val="32"/>
          <w:rtl/>
        </w:rPr>
        <w:t>1094-</w:t>
      </w:r>
      <w:r>
        <w:rPr>
          <w:spacing w:val="0"/>
          <w:sz w:val="32"/>
          <w:rtl/>
        </w:rPr>
        <w:tab/>
      </w:r>
      <w:r>
        <w:rPr>
          <w:rFonts w:hint="cs"/>
          <w:spacing w:val="0"/>
          <w:sz w:val="32"/>
          <w:rtl/>
        </w:rPr>
        <w:t>وحرية اختيار المؤسسة التعليمية ومتابعة التعليم خارج المقاطعة حق مكفول أيضا بمقتضى الفقرة 2 من المادة 122 من القانون الأس</w:t>
      </w:r>
      <w:r>
        <w:rPr>
          <w:rFonts w:hint="cs"/>
          <w:spacing w:val="0"/>
          <w:sz w:val="32"/>
          <w:rtl/>
        </w:rPr>
        <w:t>اسي وبمقتضى الفقرة 2 من المادة 15 من الإطار القانوني لسياسة الأسرة.</w:t>
      </w:r>
    </w:p>
    <w:p w:rsidR="00000000" w:rsidRDefault="00443EC1">
      <w:pPr>
        <w:tabs>
          <w:tab w:val="left" w:pos="894"/>
        </w:tabs>
        <w:spacing w:line="380" w:lineRule="exact"/>
        <w:jc w:val="both"/>
        <w:rPr>
          <w:rFonts w:hint="cs"/>
          <w:spacing w:val="0"/>
          <w:sz w:val="32"/>
          <w:rtl/>
        </w:rPr>
      </w:pPr>
      <w:r>
        <w:rPr>
          <w:rFonts w:hint="cs"/>
          <w:spacing w:val="0"/>
          <w:sz w:val="32"/>
          <w:rtl/>
        </w:rPr>
        <w:t>1095-</w:t>
      </w:r>
      <w:r>
        <w:rPr>
          <w:spacing w:val="0"/>
          <w:sz w:val="32"/>
          <w:rtl/>
        </w:rPr>
        <w:tab/>
        <w:t>وت</w:t>
      </w:r>
      <w:r>
        <w:rPr>
          <w:rFonts w:hint="cs"/>
          <w:spacing w:val="0"/>
          <w:sz w:val="32"/>
          <w:rtl/>
        </w:rPr>
        <w:t>كفل</w:t>
      </w:r>
      <w:r>
        <w:rPr>
          <w:spacing w:val="0"/>
          <w:sz w:val="32"/>
          <w:rtl/>
        </w:rPr>
        <w:t xml:space="preserve"> الفقرة الأولى من المادة 122 من القانون الأساسي كذلك </w:t>
      </w:r>
      <w:r>
        <w:rPr>
          <w:rFonts w:hint="cs"/>
          <w:spacing w:val="0"/>
          <w:sz w:val="32"/>
          <w:rtl/>
        </w:rPr>
        <w:t>تمتع جميع المؤسسات التعليمية، بما فيها الخاصة، بالاستقلال الذاتي في التعليم، وبالحرية الأكاديمية طبقا لمبادئ القانون.</w:t>
      </w:r>
    </w:p>
    <w:p w:rsidR="00000000" w:rsidRDefault="00443EC1">
      <w:pPr>
        <w:tabs>
          <w:tab w:val="left" w:pos="894"/>
        </w:tabs>
        <w:spacing w:line="380" w:lineRule="exact"/>
        <w:jc w:val="both"/>
        <w:rPr>
          <w:rFonts w:hint="cs"/>
          <w:spacing w:val="0"/>
          <w:sz w:val="32"/>
          <w:rtl/>
        </w:rPr>
      </w:pPr>
      <w:r>
        <w:rPr>
          <w:rFonts w:hint="cs"/>
          <w:spacing w:val="0"/>
          <w:sz w:val="32"/>
          <w:rtl/>
        </w:rPr>
        <w:t>1096-</w:t>
      </w:r>
      <w:r>
        <w:rPr>
          <w:spacing w:val="0"/>
          <w:sz w:val="32"/>
          <w:rtl/>
        </w:rPr>
        <w:tab/>
      </w:r>
      <w:r>
        <w:rPr>
          <w:rFonts w:hint="cs"/>
          <w:spacing w:val="0"/>
          <w:sz w:val="32"/>
          <w:rtl/>
        </w:rPr>
        <w:t>و</w:t>
      </w:r>
      <w:r>
        <w:rPr>
          <w:spacing w:val="0"/>
          <w:sz w:val="32"/>
          <w:rtl/>
        </w:rPr>
        <w:t>تحترم الحكومة الاستقلال الذاتي للمدارس الخاصة و</w:t>
      </w:r>
      <w:r>
        <w:rPr>
          <w:rFonts w:hint="cs"/>
          <w:spacing w:val="0"/>
          <w:sz w:val="32"/>
          <w:rtl/>
        </w:rPr>
        <w:t xml:space="preserve">هي </w:t>
      </w:r>
      <w:r>
        <w:rPr>
          <w:spacing w:val="0"/>
          <w:sz w:val="32"/>
          <w:rtl/>
        </w:rPr>
        <w:t>لا تتدخل في بر</w:t>
      </w:r>
      <w:r>
        <w:rPr>
          <w:rFonts w:hint="cs"/>
          <w:spacing w:val="0"/>
          <w:sz w:val="32"/>
          <w:rtl/>
        </w:rPr>
        <w:t>ن</w:t>
      </w:r>
      <w:r>
        <w:rPr>
          <w:spacing w:val="0"/>
          <w:sz w:val="32"/>
          <w:rtl/>
        </w:rPr>
        <w:t xml:space="preserve">امجها التعليمي. </w:t>
      </w:r>
      <w:r>
        <w:rPr>
          <w:rFonts w:hint="cs"/>
          <w:spacing w:val="0"/>
          <w:sz w:val="32"/>
          <w:rtl/>
        </w:rPr>
        <w:t>كما أنها تتقيد على نحو صارم بتطبيق مبدإ المساواة في فرص الوصول إلى التعليم والنجاح فيه.</w:t>
      </w:r>
    </w:p>
    <w:p w:rsidR="00000000" w:rsidRDefault="00443EC1">
      <w:pPr>
        <w:tabs>
          <w:tab w:val="left" w:pos="894"/>
        </w:tabs>
        <w:spacing w:line="380" w:lineRule="exact"/>
        <w:jc w:val="both"/>
        <w:rPr>
          <w:rFonts w:hint="cs"/>
          <w:spacing w:val="0"/>
          <w:sz w:val="32"/>
          <w:rtl/>
        </w:rPr>
      </w:pPr>
      <w:r>
        <w:rPr>
          <w:rFonts w:hint="cs"/>
          <w:spacing w:val="0"/>
          <w:sz w:val="32"/>
          <w:rtl/>
        </w:rPr>
        <w:t>1097-</w:t>
      </w:r>
      <w:r>
        <w:rPr>
          <w:spacing w:val="0"/>
          <w:sz w:val="32"/>
          <w:rtl/>
        </w:rPr>
        <w:tab/>
      </w:r>
      <w:r>
        <w:rPr>
          <w:rFonts w:hint="cs"/>
          <w:spacing w:val="0"/>
          <w:sz w:val="32"/>
          <w:rtl/>
        </w:rPr>
        <w:t>و</w:t>
      </w:r>
      <w:r>
        <w:rPr>
          <w:spacing w:val="0"/>
          <w:sz w:val="32"/>
          <w:rtl/>
        </w:rPr>
        <w:t>للسياسة التعليمية</w:t>
      </w:r>
      <w:r>
        <w:rPr>
          <w:rFonts w:hint="cs"/>
          <w:spacing w:val="0"/>
          <w:sz w:val="32"/>
          <w:rtl/>
        </w:rPr>
        <w:t xml:space="preserve"> في مقاطعة ماكاو الإدارية الخاصة</w:t>
      </w:r>
      <w:r>
        <w:rPr>
          <w:spacing w:val="0"/>
          <w:sz w:val="32"/>
          <w:rtl/>
        </w:rPr>
        <w:t xml:space="preserve"> هدفان أساسيان </w:t>
      </w:r>
      <w:r>
        <w:rPr>
          <w:rFonts w:hint="cs"/>
          <w:spacing w:val="0"/>
          <w:sz w:val="32"/>
          <w:rtl/>
        </w:rPr>
        <w:t xml:space="preserve">هما إقامة نظام </w:t>
      </w:r>
      <w:r>
        <w:rPr>
          <w:rFonts w:hint="cs"/>
          <w:spacing w:val="0"/>
          <w:sz w:val="32"/>
          <w:rtl/>
        </w:rPr>
        <w:t>تعليمي إجباري على مراحل (الفقرة 2 من المادة 121 من القانون الأساسي والمرسوم بقانون 42/99/م الصادر في 16 آب/أغسطس) وتعميم تصور التعليم المجاني للجميع (الفقرة 2 من المادة 6 من القانون 11/91/م والمادة 13 من المرسوم بقانون 62/94/م الصادر في 19 كانون الأول/ديسم</w:t>
      </w:r>
      <w:r>
        <w:rPr>
          <w:rFonts w:hint="cs"/>
          <w:spacing w:val="0"/>
          <w:sz w:val="32"/>
          <w:rtl/>
        </w:rPr>
        <w:t>بر).</w:t>
      </w:r>
    </w:p>
    <w:p w:rsidR="00000000" w:rsidRDefault="00443EC1">
      <w:pPr>
        <w:tabs>
          <w:tab w:val="left" w:pos="894"/>
        </w:tabs>
        <w:spacing w:line="380" w:lineRule="exact"/>
        <w:jc w:val="both"/>
        <w:rPr>
          <w:rFonts w:hint="cs"/>
          <w:spacing w:val="0"/>
          <w:sz w:val="32"/>
          <w:rtl/>
        </w:rPr>
      </w:pPr>
      <w:r>
        <w:rPr>
          <w:rFonts w:hint="cs"/>
          <w:spacing w:val="0"/>
          <w:sz w:val="32"/>
          <w:rtl/>
        </w:rPr>
        <w:t>1098-</w:t>
      </w:r>
      <w:r>
        <w:rPr>
          <w:spacing w:val="0"/>
          <w:sz w:val="32"/>
          <w:rtl/>
        </w:rPr>
        <w:tab/>
      </w:r>
      <w:r>
        <w:rPr>
          <w:rFonts w:hint="cs"/>
          <w:spacing w:val="0"/>
          <w:sz w:val="32"/>
          <w:rtl/>
        </w:rPr>
        <w:t>وزارة التعليم وشؤون الشباب هي الهيئة الحكومية المكلفة بتشجيع التعليم والسهر على تساوي فرص الوصول إليه، ووضع المقاييس والمبادئ التوجيهية، والسعي إلى تعميم التعليم المجاني، وجعل التعليم الإجباري واقعا، والعمل مع مؤسسات التعليم الخاص ومع الوزارات ا</w:t>
      </w:r>
      <w:r>
        <w:rPr>
          <w:rFonts w:hint="cs"/>
          <w:spacing w:val="0"/>
          <w:sz w:val="32"/>
          <w:rtl/>
        </w:rPr>
        <w:t>لأخرى ومع الجمعيات الخاصة ومع الآباء والمربين، إلخ.</w:t>
      </w:r>
    </w:p>
    <w:p w:rsidR="00000000" w:rsidRDefault="00443EC1">
      <w:pPr>
        <w:tabs>
          <w:tab w:val="left" w:pos="894"/>
        </w:tabs>
        <w:spacing w:line="380" w:lineRule="exact"/>
        <w:jc w:val="both"/>
        <w:rPr>
          <w:rFonts w:hint="cs"/>
          <w:spacing w:val="0"/>
          <w:sz w:val="32"/>
          <w:rtl/>
        </w:rPr>
      </w:pPr>
      <w:r>
        <w:rPr>
          <w:rFonts w:hint="cs"/>
          <w:spacing w:val="0"/>
          <w:sz w:val="32"/>
          <w:rtl/>
        </w:rPr>
        <w:t>1099-</w:t>
      </w:r>
      <w:r>
        <w:rPr>
          <w:spacing w:val="0"/>
          <w:sz w:val="32"/>
          <w:rtl/>
        </w:rPr>
        <w:tab/>
      </w:r>
      <w:r>
        <w:rPr>
          <w:rFonts w:hint="cs"/>
          <w:spacing w:val="0"/>
          <w:sz w:val="32"/>
          <w:rtl/>
        </w:rPr>
        <w:t>و</w:t>
      </w:r>
      <w:r>
        <w:rPr>
          <w:spacing w:val="0"/>
          <w:sz w:val="32"/>
          <w:rtl/>
        </w:rPr>
        <w:t>يشتمل نظام التعليم على التعليم ما قبل الابتدائي وعلى السنة التحضي</w:t>
      </w:r>
      <w:r>
        <w:rPr>
          <w:rFonts w:hint="cs"/>
          <w:spacing w:val="0"/>
          <w:sz w:val="32"/>
          <w:rtl/>
        </w:rPr>
        <w:t>رية للالتحاق بالمدارس الابتدائية وعلى التعليم الابتدائي والتعليم الثانوي والتعليم العالي والتعليم المتخصص وتعليم الكبار والتعليم الف</w:t>
      </w:r>
      <w:r>
        <w:rPr>
          <w:rFonts w:hint="cs"/>
          <w:spacing w:val="0"/>
          <w:sz w:val="32"/>
          <w:rtl/>
        </w:rPr>
        <w:t>ني والمهني.</w:t>
      </w:r>
    </w:p>
    <w:p w:rsidR="00000000" w:rsidRDefault="00443EC1">
      <w:pPr>
        <w:tabs>
          <w:tab w:val="left" w:pos="894"/>
        </w:tabs>
        <w:spacing w:before="180" w:after="180" w:line="380" w:lineRule="exact"/>
        <w:jc w:val="both"/>
        <w:rPr>
          <w:rFonts w:hint="cs"/>
          <w:spacing w:val="0"/>
          <w:sz w:val="32"/>
          <w:rtl/>
        </w:rPr>
      </w:pPr>
      <w:r>
        <w:rPr>
          <w:rFonts w:hint="cs"/>
          <w:spacing w:val="0"/>
          <w:sz w:val="32"/>
          <w:rtl/>
        </w:rPr>
        <w:t>1100-</w:t>
      </w:r>
      <w:r>
        <w:rPr>
          <w:spacing w:val="0"/>
          <w:sz w:val="32"/>
          <w:rtl/>
        </w:rPr>
        <w:tab/>
      </w:r>
      <w:r>
        <w:rPr>
          <w:rFonts w:hint="cs"/>
          <w:spacing w:val="0"/>
          <w:sz w:val="32"/>
          <w:rtl/>
        </w:rPr>
        <w:t xml:space="preserve">ويشمل التعليم الإجباري في المقاطعة </w:t>
      </w:r>
      <w:r>
        <w:rPr>
          <w:spacing w:val="0"/>
          <w:sz w:val="32"/>
          <w:rtl/>
        </w:rPr>
        <w:t>التعليم ما قبل الابتدائي والسنة التحضي</w:t>
      </w:r>
      <w:r>
        <w:rPr>
          <w:rFonts w:hint="cs"/>
          <w:spacing w:val="0"/>
          <w:sz w:val="32"/>
          <w:rtl/>
        </w:rPr>
        <w:t>رية للالتحاق بالمدارس الابتدائية والتعليم الابتدائي والتعليم الثانوي العام، وتوفره مؤسسات التعليم العام أو الخاص.  وهو يشمل الأطفال واليافعين من سن الخامسة إلى سن ال</w:t>
      </w:r>
      <w:r>
        <w:rPr>
          <w:rFonts w:hint="cs"/>
          <w:spacing w:val="0"/>
          <w:sz w:val="32"/>
          <w:rtl/>
        </w:rPr>
        <w:t>خامسة عشرة (المرسوم بقانون 42/99/م).</w:t>
      </w:r>
    </w:p>
    <w:p w:rsidR="00000000" w:rsidRDefault="00443EC1">
      <w:pPr>
        <w:tabs>
          <w:tab w:val="left" w:pos="894"/>
        </w:tabs>
        <w:spacing w:before="180" w:after="180" w:line="380" w:lineRule="exact"/>
        <w:jc w:val="center"/>
        <w:rPr>
          <w:b/>
          <w:bCs/>
          <w:spacing w:val="0"/>
          <w:sz w:val="32"/>
          <w:rtl/>
        </w:rPr>
      </w:pPr>
      <w:r>
        <w:rPr>
          <w:rFonts w:hint="cs"/>
          <w:b/>
          <w:bCs/>
          <w:spacing w:val="0"/>
          <w:sz w:val="32"/>
          <w:rtl/>
        </w:rPr>
        <w:t xml:space="preserve">باء - </w:t>
      </w:r>
      <w:r>
        <w:rPr>
          <w:b/>
          <w:bCs/>
          <w:spacing w:val="0"/>
          <w:sz w:val="32"/>
          <w:rtl/>
        </w:rPr>
        <w:t>نظام التعليم</w:t>
      </w:r>
    </w:p>
    <w:p w:rsidR="00000000" w:rsidRDefault="00443EC1">
      <w:pPr>
        <w:tabs>
          <w:tab w:val="left" w:pos="894"/>
        </w:tabs>
        <w:spacing w:before="180" w:after="180" w:line="380" w:lineRule="exact"/>
        <w:jc w:val="both"/>
        <w:rPr>
          <w:rFonts w:hint="cs"/>
          <w:spacing w:val="0"/>
          <w:sz w:val="32"/>
          <w:rtl/>
        </w:rPr>
      </w:pPr>
      <w:r>
        <w:rPr>
          <w:rFonts w:hint="cs"/>
          <w:spacing w:val="0"/>
          <w:sz w:val="32"/>
          <w:rtl/>
        </w:rPr>
        <w:t>1101-</w:t>
      </w:r>
      <w:r>
        <w:rPr>
          <w:spacing w:val="0"/>
          <w:sz w:val="32"/>
          <w:rtl/>
        </w:rPr>
        <w:tab/>
      </w:r>
      <w:r>
        <w:rPr>
          <w:rFonts w:hint="cs"/>
          <w:spacing w:val="0"/>
          <w:sz w:val="32"/>
          <w:rtl/>
        </w:rPr>
        <w:t>للمزيد من المعلومات المفصلة في هذا الشأن، يرجى الرجوع إلى الجزء الثالث من تقرير الصين عن تطبيق اتفاقية حقوق الطفل. وما يلي استكمال لما استجد من معلومات عن التعليم.</w:t>
      </w:r>
    </w:p>
    <w:p w:rsidR="00000000" w:rsidRDefault="00443EC1">
      <w:pPr>
        <w:tabs>
          <w:tab w:val="left" w:pos="894"/>
        </w:tabs>
        <w:spacing w:before="180" w:after="180" w:line="380" w:lineRule="exact"/>
        <w:jc w:val="both"/>
        <w:rPr>
          <w:rFonts w:hint="cs"/>
          <w:spacing w:val="0"/>
          <w:sz w:val="32"/>
          <w:rtl/>
        </w:rPr>
      </w:pPr>
      <w:r>
        <w:rPr>
          <w:rFonts w:hint="cs"/>
          <w:spacing w:val="0"/>
          <w:sz w:val="32"/>
          <w:rtl/>
        </w:rPr>
        <w:t>1102-</w:t>
      </w:r>
      <w:r>
        <w:rPr>
          <w:spacing w:val="0"/>
          <w:sz w:val="32"/>
          <w:rtl/>
        </w:rPr>
        <w:tab/>
        <w:t>في العام</w:t>
      </w:r>
      <w:r>
        <w:rPr>
          <w:rFonts w:hint="cs"/>
          <w:spacing w:val="0"/>
          <w:sz w:val="32"/>
          <w:rtl/>
        </w:rPr>
        <w:t xml:space="preserve"> المدرسي 2001-20</w:t>
      </w:r>
      <w:r>
        <w:rPr>
          <w:rFonts w:hint="cs"/>
          <w:spacing w:val="0"/>
          <w:sz w:val="32"/>
          <w:rtl/>
        </w:rPr>
        <w:t xml:space="preserve">02، كان هناك 17 روضة أطفال ومدرسة ابتدائية وثانوية ومهنية وفنية عامة مقابل 73 مؤسسة خاصة مسجلة في ماكاو. ولأسباب تاريخية واجتماعية، تمثل المدارس العامة نزراً يسيراً جداً من النظام المدرسي ككل (17 مدرسة عامة من مجموع 90). ومع بداية العام المدرسي 2001-2002، </w:t>
      </w:r>
      <w:r>
        <w:rPr>
          <w:rFonts w:hint="cs"/>
          <w:spacing w:val="0"/>
          <w:sz w:val="32"/>
          <w:rtl/>
        </w:rPr>
        <w:t>بلغ عدد التلاميذ المسجلين في المدارس الخاصة 691 93 وهو ما يعادل 94 في المائة من مجموع عدد التلاميذ.</w:t>
      </w:r>
    </w:p>
    <w:p w:rsidR="00000000" w:rsidRDefault="00443EC1">
      <w:pPr>
        <w:tabs>
          <w:tab w:val="left" w:pos="894"/>
        </w:tabs>
        <w:spacing w:before="180" w:after="180" w:line="380" w:lineRule="exact"/>
        <w:jc w:val="both"/>
        <w:rPr>
          <w:rFonts w:hint="cs"/>
          <w:spacing w:val="0"/>
          <w:sz w:val="32"/>
          <w:rtl/>
        </w:rPr>
      </w:pPr>
      <w:r>
        <w:rPr>
          <w:rFonts w:hint="cs"/>
          <w:spacing w:val="0"/>
          <w:sz w:val="32"/>
          <w:rtl/>
        </w:rPr>
        <w:t>1103-</w:t>
      </w:r>
      <w:r>
        <w:rPr>
          <w:spacing w:val="0"/>
          <w:sz w:val="32"/>
          <w:rtl/>
        </w:rPr>
        <w:tab/>
      </w:r>
      <w:r>
        <w:rPr>
          <w:rFonts w:hint="cs"/>
          <w:spacing w:val="0"/>
          <w:sz w:val="32"/>
          <w:rtl/>
        </w:rPr>
        <w:t>و</w:t>
      </w:r>
      <w:r>
        <w:rPr>
          <w:spacing w:val="0"/>
          <w:sz w:val="32"/>
          <w:rtl/>
        </w:rPr>
        <w:t xml:space="preserve">حسب دراسة أجرتها </w:t>
      </w:r>
      <w:r>
        <w:rPr>
          <w:rFonts w:hint="cs"/>
          <w:spacing w:val="0"/>
          <w:sz w:val="32"/>
          <w:rtl/>
        </w:rPr>
        <w:t>وزارة التعليم وشؤون الشباب في عام 2001، نجح 75.8 في المائة من التلاميذ في الانتقال من التعليم الثانوي التكميلي في العام المدرسي 2001</w:t>
      </w:r>
      <w:r>
        <w:rPr>
          <w:rFonts w:hint="cs"/>
          <w:spacing w:val="0"/>
          <w:sz w:val="32"/>
          <w:rtl/>
        </w:rPr>
        <w:t>-2002 وسجلوا أنفسهم في مؤسسات التعليم العالي داخل ماكاو وخارجها.</w:t>
      </w:r>
    </w:p>
    <w:p w:rsidR="00000000" w:rsidRDefault="00443EC1">
      <w:pPr>
        <w:tabs>
          <w:tab w:val="left" w:pos="894"/>
        </w:tabs>
        <w:spacing w:before="180" w:after="180" w:line="380" w:lineRule="exact"/>
        <w:jc w:val="both"/>
        <w:rPr>
          <w:rFonts w:hint="cs"/>
          <w:spacing w:val="0"/>
          <w:sz w:val="32"/>
          <w:rtl/>
        </w:rPr>
      </w:pPr>
      <w:r>
        <w:rPr>
          <w:rFonts w:hint="cs"/>
          <w:spacing w:val="0"/>
          <w:sz w:val="32"/>
          <w:rtl/>
        </w:rPr>
        <w:t>1104-</w:t>
      </w:r>
      <w:r>
        <w:rPr>
          <w:spacing w:val="0"/>
          <w:sz w:val="32"/>
          <w:rtl/>
        </w:rPr>
        <w:tab/>
        <w:t xml:space="preserve">فيما يتعلق </w:t>
      </w:r>
      <w:r>
        <w:rPr>
          <w:rFonts w:hint="cs"/>
          <w:spacing w:val="0"/>
          <w:sz w:val="32"/>
          <w:rtl/>
        </w:rPr>
        <w:t>بالتعليم العالي، وخلال العام الدراسي 2001-2002 كان هناك 769 7 طالبا محليا مسجلا في برامج للحصول على درجات الدكتوراه والماجستير والبكالوريوس وكذلك في برامج تمنح شهادات في 11 م</w:t>
      </w:r>
      <w:r>
        <w:rPr>
          <w:rFonts w:hint="cs"/>
          <w:spacing w:val="0"/>
          <w:sz w:val="32"/>
          <w:rtl/>
        </w:rPr>
        <w:t>ؤسسة للتعليم العالي.</w:t>
      </w:r>
    </w:p>
    <w:p w:rsidR="00000000" w:rsidRDefault="00443EC1">
      <w:pPr>
        <w:tabs>
          <w:tab w:val="left" w:pos="894"/>
        </w:tabs>
        <w:spacing w:before="180" w:after="180" w:line="380" w:lineRule="exact"/>
        <w:jc w:val="both"/>
        <w:rPr>
          <w:rFonts w:hint="cs"/>
          <w:b/>
          <w:bCs/>
          <w:spacing w:val="0"/>
          <w:sz w:val="32"/>
          <w:rtl/>
        </w:rPr>
      </w:pPr>
      <w:r>
        <w:rPr>
          <w:rFonts w:hint="cs"/>
          <w:b/>
          <w:bCs/>
          <w:spacing w:val="0"/>
          <w:sz w:val="32"/>
          <w:rtl/>
        </w:rPr>
        <w:t>المجموعات المستضعفة والمحرومة</w:t>
      </w:r>
    </w:p>
    <w:p w:rsidR="00000000" w:rsidRDefault="00443EC1">
      <w:pPr>
        <w:tabs>
          <w:tab w:val="left" w:pos="894"/>
        </w:tabs>
        <w:spacing w:before="180" w:after="180" w:line="380" w:lineRule="exact"/>
        <w:jc w:val="both"/>
        <w:rPr>
          <w:rFonts w:hint="cs"/>
          <w:spacing w:val="0"/>
          <w:sz w:val="32"/>
          <w:rtl/>
        </w:rPr>
      </w:pPr>
      <w:r>
        <w:rPr>
          <w:rFonts w:hint="cs"/>
          <w:spacing w:val="0"/>
          <w:sz w:val="32"/>
          <w:rtl/>
        </w:rPr>
        <w:t>1105-</w:t>
      </w:r>
      <w:r>
        <w:rPr>
          <w:spacing w:val="0"/>
          <w:sz w:val="32"/>
          <w:rtl/>
        </w:rPr>
        <w:tab/>
      </w:r>
      <w:r>
        <w:rPr>
          <w:rFonts w:hint="cs"/>
          <w:spacing w:val="0"/>
          <w:sz w:val="32"/>
          <w:rtl/>
        </w:rPr>
        <w:t>من الأهداف الهامة التي تسعى وزارة التعليم وشؤون الشباب إلى تحقيقها تشجيع محو الأمية بين صفوف الكبار وإتاحة فرص متساوية لهم في التعليم (المادة 14 من القانون 11/91). وينظم المرسوم بقانون 32/95/م الصادر</w:t>
      </w:r>
      <w:r>
        <w:rPr>
          <w:rFonts w:hint="cs"/>
          <w:spacing w:val="0"/>
          <w:sz w:val="32"/>
          <w:rtl/>
        </w:rPr>
        <w:t xml:space="preserve"> في 17 تموز/يوليه نظام التعليم المستمر للكبار. وقد أُدرجت خطط "العودة إلى مقاعد الدراسة" ضمن نظام التعليم المجاني في كل المستويات.</w:t>
      </w:r>
    </w:p>
    <w:p w:rsidR="00000000" w:rsidRDefault="00443EC1">
      <w:pPr>
        <w:tabs>
          <w:tab w:val="left" w:pos="894"/>
        </w:tabs>
        <w:spacing w:before="60" w:after="60" w:line="380" w:lineRule="exact"/>
        <w:jc w:val="both"/>
        <w:rPr>
          <w:rFonts w:hint="cs"/>
          <w:b/>
          <w:bCs/>
          <w:spacing w:val="0"/>
          <w:sz w:val="32"/>
          <w:rtl/>
        </w:rPr>
      </w:pPr>
      <w:r>
        <w:rPr>
          <w:rFonts w:hint="cs"/>
          <w:b/>
          <w:bCs/>
          <w:spacing w:val="0"/>
          <w:sz w:val="32"/>
          <w:rtl/>
        </w:rPr>
        <w:t>مؤسسات تعليم الكبار: المدرسون والتلاميذ ونتائج الدراسة حسب الجنس</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8"/>
        <w:gridCol w:w="697"/>
        <w:gridCol w:w="787"/>
        <w:gridCol w:w="720"/>
        <w:gridCol w:w="720"/>
        <w:gridCol w:w="900"/>
        <w:gridCol w:w="900"/>
        <w:gridCol w:w="900"/>
        <w:gridCol w:w="900"/>
        <w:gridCol w:w="900"/>
        <w:gridCol w:w="900"/>
      </w:tblGrid>
      <w:tr w:rsidR="00443EC1" w:rsidTr="00443EC1">
        <w:tblPrEx>
          <w:tblCellMar>
            <w:top w:w="0" w:type="dxa"/>
            <w:bottom w:w="0" w:type="dxa"/>
          </w:tblCellMar>
        </w:tblPrEx>
        <w:trPr>
          <w:cantSplit/>
        </w:trPr>
        <w:tc>
          <w:tcPr>
            <w:tcW w:w="1138" w:type="dxa"/>
            <w:vMerge w:val="restart"/>
            <w:tcBorders>
              <w:top w:val="single" w:sz="4" w:space="0" w:color="auto"/>
              <w:left w:val="single" w:sz="4" w:space="0" w:color="auto"/>
              <w:right w:val="single" w:sz="4" w:space="0" w:color="auto"/>
            </w:tcBorders>
          </w:tcPr>
          <w:p w:rsidR="00443EC1" w:rsidRDefault="00443EC1">
            <w:pPr>
              <w:tabs>
                <w:tab w:val="left" w:pos="894"/>
              </w:tabs>
              <w:spacing w:before="0" w:after="0" w:line="320" w:lineRule="exact"/>
              <w:jc w:val="center"/>
              <w:rPr>
                <w:spacing w:val="0"/>
                <w:sz w:val="32"/>
                <w:szCs w:val="22"/>
              </w:rPr>
            </w:pPr>
            <w:r>
              <w:rPr>
                <w:spacing w:val="0"/>
                <w:sz w:val="32"/>
                <w:szCs w:val="22"/>
                <w:rtl/>
              </w:rPr>
              <w:br/>
            </w:r>
            <w:r>
              <w:rPr>
                <w:spacing w:val="0"/>
                <w:sz w:val="32"/>
                <w:szCs w:val="22"/>
                <w:rtl/>
              </w:rPr>
              <w:br/>
            </w:r>
            <w:r>
              <w:rPr>
                <w:spacing w:val="0"/>
                <w:sz w:val="32"/>
                <w:szCs w:val="22"/>
                <w:rtl/>
              </w:rPr>
              <w:br/>
            </w:r>
            <w:r>
              <w:rPr>
                <w:rFonts w:hint="cs"/>
                <w:spacing w:val="0"/>
                <w:sz w:val="32"/>
                <w:szCs w:val="22"/>
                <w:rtl/>
              </w:rPr>
              <w:t>العام الدراسي</w:t>
            </w:r>
          </w:p>
        </w:tc>
        <w:tc>
          <w:tcPr>
            <w:tcW w:w="697" w:type="dxa"/>
            <w:vMerge w:val="restart"/>
            <w:tcBorders>
              <w:left w:val="single" w:sz="4" w:space="0" w:color="auto"/>
            </w:tcBorders>
          </w:tcPr>
          <w:p w:rsidR="00443EC1" w:rsidRDefault="00443EC1">
            <w:pPr>
              <w:tabs>
                <w:tab w:val="left" w:pos="894"/>
              </w:tabs>
              <w:spacing w:before="0" w:after="0" w:line="320" w:lineRule="exact"/>
              <w:jc w:val="center"/>
              <w:rPr>
                <w:spacing w:val="0"/>
                <w:sz w:val="32"/>
                <w:szCs w:val="22"/>
              </w:rPr>
            </w:pPr>
            <w:r>
              <w:rPr>
                <w:spacing w:val="0"/>
                <w:sz w:val="32"/>
                <w:szCs w:val="22"/>
                <w:rtl/>
              </w:rPr>
              <w:br/>
            </w:r>
            <w:r>
              <w:rPr>
                <w:spacing w:val="0"/>
                <w:sz w:val="32"/>
                <w:szCs w:val="22"/>
                <w:rtl/>
              </w:rPr>
              <w:br/>
            </w:r>
            <w:r>
              <w:rPr>
                <w:rFonts w:hint="cs"/>
                <w:spacing w:val="0"/>
                <w:sz w:val="32"/>
                <w:szCs w:val="22"/>
                <w:rtl/>
              </w:rPr>
              <w:t>عدد المرافق</w:t>
            </w:r>
          </w:p>
        </w:tc>
        <w:tc>
          <w:tcPr>
            <w:tcW w:w="2227" w:type="dxa"/>
            <w:gridSpan w:val="3"/>
            <w:vMerge w:val="restart"/>
          </w:tcPr>
          <w:p w:rsidR="00443EC1" w:rsidRDefault="00443EC1">
            <w:pPr>
              <w:tabs>
                <w:tab w:val="left" w:pos="894"/>
              </w:tabs>
              <w:spacing w:before="0" w:after="0" w:line="320" w:lineRule="exact"/>
              <w:jc w:val="center"/>
              <w:rPr>
                <w:rFonts w:hint="cs"/>
                <w:spacing w:val="0"/>
                <w:sz w:val="32"/>
                <w:szCs w:val="22"/>
                <w:rtl/>
              </w:rPr>
            </w:pPr>
          </w:p>
          <w:p w:rsidR="00443EC1" w:rsidRDefault="00443EC1">
            <w:pPr>
              <w:tabs>
                <w:tab w:val="left" w:pos="894"/>
              </w:tabs>
              <w:spacing w:before="0" w:after="0" w:line="320" w:lineRule="exact"/>
              <w:jc w:val="center"/>
              <w:rPr>
                <w:spacing w:val="0"/>
                <w:sz w:val="32"/>
                <w:szCs w:val="22"/>
              </w:rPr>
            </w:pPr>
            <w:r>
              <w:rPr>
                <w:rFonts w:hint="cs"/>
                <w:spacing w:val="0"/>
                <w:sz w:val="32"/>
                <w:szCs w:val="22"/>
                <w:rtl/>
              </w:rPr>
              <w:t>المدرسون</w:t>
            </w:r>
          </w:p>
        </w:tc>
        <w:tc>
          <w:tcPr>
            <w:tcW w:w="5400" w:type="dxa"/>
            <w:gridSpan w:val="6"/>
          </w:tcPr>
          <w:p w:rsidR="00443EC1" w:rsidRDefault="00443EC1">
            <w:pPr>
              <w:tabs>
                <w:tab w:val="left" w:pos="894"/>
              </w:tabs>
              <w:spacing w:before="0" w:after="0" w:line="320" w:lineRule="exact"/>
              <w:jc w:val="center"/>
              <w:rPr>
                <w:spacing w:val="0"/>
                <w:sz w:val="32"/>
                <w:szCs w:val="22"/>
              </w:rPr>
            </w:pPr>
            <w:r>
              <w:rPr>
                <w:rFonts w:hint="cs"/>
                <w:spacing w:val="0"/>
                <w:sz w:val="32"/>
                <w:szCs w:val="22"/>
                <w:rtl/>
              </w:rPr>
              <w:t>التلاميذ</w:t>
            </w:r>
          </w:p>
        </w:tc>
      </w:tr>
      <w:tr w:rsidR="00443EC1" w:rsidTr="00443EC1">
        <w:tblPrEx>
          <w:tblCellMar>
            <w:top w:w="0" w:type="dxa"/>
            <w:bottom w:w="0" w:type="dxa"/>
          </w:tblCellMar>
        </w:tblPrEx>
        <w:trPr>
          <w:cantSplit/>
        </w:trPr>
        <w:tc>
          <w:tcPr>
            <w:tcW w:w="1138" w:type="dxa"/>
            <w:vMerge/>
            <w:tcBorders>
              <w:left w:val="single" w:sz="4" w:space="0" w:color="auto"/>
              <w:right w:val="single" w:sz="4" w:space="0" w:color="auto"/>
            </w:tcBorders>
          </w:tcPr>
          <w:p w:rsidR="00443EC1" w:rsidRDefault="00443EC1">
            <w:pPr>
              <w:tabs>
                <w:tab w:val="left" w:pos="894"/>
              </w:tabs>
              <w:spacing w:before="0" w:after="0" w:line="320" w:lineRule="exact"/>
              <w:jc w:val="center"/>
              <w:rPr>
                <w:rFonts w:hint="cs"/>
                <w:spacing w:val="0"/>
                <w:sz w:val="32"/>
                <w:szCs w:val="22"/>
              </w:rPr>
            </w:pPr>
          </w:p>
        </w:tc>
        <w:tc>
          <w:tcPr>
            <w:tcW w:w="697" w:type="dxa"/>
            <w:vMerge/>
            <w:tcBorders>
              <w:left w:val="single" w:sz="4" w:space="0" w:color="auto"/>
            </w:tcBorders>
          </w:tcPr>
          <w:p w:rsidR="00443EC1" w:rsidRDefault="00443EC1">
            <w:pPr>
              <w:tabs>
                <w:tab w:val="left" w:pos="894"/>
              </w:tabs>
              <w:spacing w:before="0" w:after="0" w:line="320" w:lineRule="exact"/>
              <w:jc w:val="center"/>
              <w:rPr>
                <w:rFonts w:hint="cs"/>
                <w:spacing w:val="0"/>
                <w:sz w:val="32"/>
                <w:szCs w:val="22"/>
              </w:rPr>
            </w:pPr>
          </w:p>
        </w:tc>
        <w:tc>
          <w:tcPr>
            <w:tcW w:w="2227" w:type="dxa"/>
            <w:gridSpan w:val="3"/>
            <w:vMerge/>
          </w:tcPr>
          <w:p w:rsidR="00443EC1" w:rsidRDefault="00443EC1">
            <w:pPr>
              <w:tabs>
                <w:tab w:val="left" w:pos="894"/>
              </w:tabs>
              <w:spacing w:before="0" w:after="0" w:line="320" w:lineRule="exact"/>
              <w:jc w:val="center"/>
              <w:rPr>
                <w:rFonts w:hint="cs"/>
                <w:spacing w:val="0"/>
                <w:sz w:val="32"/>
                <w:szCs w:val="22"/>
              </w:rPr>
            </w:pPr>
          </w:p>
        </w:tc>
        <w:tc>
          <w:tcPr>
            <w:tcW w:w="2700" w:type="dxa"/>
            <w:gridSpan w:val="3"/>
          </w:tcPr>
          <w:p w:rsidR="00443EC1" w:rsidRDefault="00443EC1">
            <w:pPr>
              <w:tabs>
                <w:tab w:val="left" w:pos="894"/>
              </w:tabs>
              <w:spacing w:before="0" w:after="0" w:line="320" w:lineRule="exact"/>
              <w:jc w:val="center"/>
              <w:rPr>
                <w:rFonts w:hint="cs"/>
                <w:spacing w:val="0"/>
                <w:sz w:val="32"/>
                <w:szCs w:val="22"/>
              </w:rPr>
            </w:pPr>
            <w:r>
              <w:rPr>
                <w:rFonts w:hint="cs"/>
                <w:spacing w:val="0"/>
                <w:sz w:val="32"/>
                <w:szCs w:val="22"/>
                <w:rtl/>
              </w:rPr>
              <w:t>المسجلون</w:t>
            </w:r>
          </w:p>
        </w:tc>
        <w:tc>
          <w:tcPr>
            <w:tcW w:w="2700" w:type="dxa"/>
            <w:gridSpan w:val="3"/>
          </w:tcPr>
          <w:p w:rsidR="00443EC1" w:rsidRDefault="00443EC1">
            <w:pPr>
              <w:tabs>
                <w:tab w:val="left" w:pos="894"/>
              </w:tabs>
              <w:spacing w:before="0" w:after="0" w:line="320" w:lineRule="exact"/>
              <w:jc w:val="center"/>
              <w:rPr>
                <w:rFonts w:hint="cs"/>
                <w:spacing w:val="0"/>
                <w:sz w:val="32"/>
                <w:szCs w:val="22"/>
              </w:rPr>
            </w:pPr>
            <w:r>
              <w:rPr>
                <w:rFonts w:hint="cs"/>
                <w:spacing w:val="0"/>
                <w:sz w:val="32"/>
                <w:szCs w:val="22"/>
                <w:rtl/>
              </w:rPr>
              <w:t>الذين أنهوا الدروس</w:t>
            </w:r>
          </w:p>
        </w:tc>
      </w:tr>
      <w:tr w:rsidR="00443EC1" w:rsidTr="00443EC1">
        <w:tblPrEx>
          <w:tblCellMar>
            <w:top w:w="0" w:type="dxa"/>
            <w:bottom w:w="0" w:type="dxa"/>
          </w:tblCellMar>
        </w:tblPrEx>
        <w:trPr>
          <w:cantSplit/>
        </w:trPr>
        <w:tc>
          <w:tcPr>
            <w:tcW w:w="1138" w:type="dxa"/>
            <w:vMerge/>
            <w:tcBorders>
              <w:left w:val="single" w:sz="4" w:space="0" w:color="auto"/>
              <w:bottom w:val="single" w:sz="4" w:space="0" w:color="auto"/>
              <w:right w:val="single" w:sz="4" w:space="0" w:color="auto"/>
            </w:tcBorders>
          </w:tcPr>
          <w:p w:rsidR="00443EC1" w:rsidRDefault="00443EC1">
            <w:pPr>
              <w:tabs>
                <w:tab w:val="left" w:pos="894"/>
              </w:tabs>
              <w:spacing w:before="0" w:after="0" w:line="320" w:lineRule="exact"/>
              <w:jc w:val="both"/>
              <w:rPr>
                <w:spacing w:val="0"/>
                <w:sz w:val="32"/>
                <w:szCs w:val="22"/>
              </w:rPr>
            </w:pPr>
          </w:p>
        </w:tc>
        <w:tc>
          <w:tcPr>
            <w:tcW w:w="697" w:type="dxa"/>
            <w:vMerge/>
            <w:tcBorders>
              <w:left w:val="single" w:sz="4" w:space="0" w:color="auto"/>
            </w:tcBorders>
          </w:tcPr>
          <w:p w:rsidR="00443EC1" w:rsidRDefault="00443EC1">
            <w:pPr>
              <w:tabs>
                <w:tab w:val="left" w:pos="894"/>
              </w:tabs>
              <w:spacing w:before="0" w:after="0" w:line="320" w:lineRule="exact"/>
              <w:jc w:val="both"/>
              <w:rPr>
                <w:spacing w:val="0"/>
                <w:sz w:val="32"/>
                <w:szCs w:val="22"/>
              </w:rPr>
            </w:pPr>
          </w:p>
        </w:tc>
        <w:tc>
          <w:tcPr>
            <w:tcW w:w="787" w:type="dxa"/>
          </w:tcPr>
          <w:p w:rsidR="00443EC1" w:rsidRDefault="00443EC1">
            <w:pPr>
              <w:tabs>
                <w:tab w:val="left" w:pos="894"/>
              </w:tabs>
              <w:spacing w:before="0" w:after="0" w:line="320" w:lineRule="exact"/>
              <w:jc w:val="center"/>
              <w:rPr>
                <w:rFonts w:hint="cs"/>
                <w:spacing w:val="0"/>
                <w:sz w:val="32"/>
                <w:szCs w:val="22"/>
              </w:rPr>
            </w:pPr>
            <w:r>
              <w:rPr>
                <w:rFonts w:hint="cs"/>
                <w:spacing w:val="0"/>
                <w:sz w:val="32"/>
                <w:szCs w:val="22"/>
                <w:rtl/>
              </w:rPr>
              <w:t>ذكور وإناث</w:t>
            </w:r>
          </w:p>
        </w:tc>
        <w:tc>
          <w:tcPr>
            <w:tcW w:w="720" w:type="dxa"/>
          </w:tcPr>
          <w:p w:rsidR="00443EC1" w:rsidRDefault="00443EC1">
            <w:pPr>
              <w:tabs>
                <w:tab w:val="left" w:pos="894"/>
              </w:tabs>
              <w:spacing w:before="0" w:after="0" w:line="320" w:lineRule="exact"/>
              <w:jc w:val="center"/>
              <w:rPr>
                <w:rFonts w:hint="cs"/>
                <w:spacing w:val="0"/>
                <w:sz w:val="32"/>
                <w:szCs w:val="22"/>
                <w:rtl/>
              </w:rPr>
            </w:pPr>
          </w:p>
          <w:p w:rsidR="00443EC1" w:rsidRDefault="00443EC1">
            <w:pPr>
              <w:tabs>
                <w:tab w:val="left" w:pos="894"/>
              </w:tabs>
              <w:spacing w:before="0" w:after="0" w:line="320" w:lineRule="exact"/>
              <w:jc w:val="center"/>
              <w:rPr>
                <w:rFonts w:hint="cs"/>
                <w:spacing w:val="0"/>
                <w:sz w:val="32"/>
                <w:szCs w:val="22"/>
              </w:rPr>
            </w:pPr>
            <w:r>
              <w:rPr>
                <w:rFonts w:hint="cs"/>
                <w:spacing w:val="0"/>
                <w:sz w:val="32"/>
                <w:szCs w:val="22"/>
                <w:rtl/>
              </w:rPr>
              <w:t>ذكور</w:t>
            </w:r>
          </w:p>
        </w:tc>
        <w:tc>
          <w:tcPr>
            <w:tcW w:w="720" w:type="dxa"/>
          </w:tcPr>
          <w:p w:rsidR="00443EC1" w:rsidRDefault="00443EC1">
            <w:pPr>
              <w:tabs>
                <w:tab w:val="left" w:pos="894"/>
              </w:tabs>
              <w:spacing w:before="0" w:after="0" w:line="320" w:lineRule="exact"/>
              <w:jc w:val="center"/>
              <w:rPr>
                <w:rFonts w:hint="cs"/>
                <w:spacing w:val="0"/>
                <w:sz w:val="32"/>
                <w:szCs w:val="22"/>
                <w:rtl/>
              </w:rPr>
            </w:pPr>
          </w:p>
          <w:p w:rsidR="00443EC1" w:rsidRDefault="00443EC1">
            <w:pPr>
              <w:tabs>
                <w:tab w:val="left" w:pos="894"/>
              </w:tabs>
              <w:spacing w:before="0" w:after="0" w:line="320" w:lineRule="exact"/>
              <w:jc w:val="center"/>
              <w:rPr>
                <w:rFonts w:hint="cs"/>
                <w:spacing w:val="0"/>
                <w:sz w:val="32"/>
                <w:szCs w:val="22"/>
              </w:rPr>
            </w:pPr>
            <w:r>
              <w:rPr>
                <w:rFonts w:hint="cs"/>
                <w:spacing w:val="0"/>
                <w:sz w:val="32"/>
                <w:szCs w:val="22"/>
                <w:rtl/>
              </w:rPr>
              <w:t>إناث</w:t>
            </w:r>
          </w:p>
        </w:tc>
        <w:tc>
          <w:tcPr>
            <w:tcW w:w="900" w:type="dxa"/>
          </w:tcPr>
          <w:p w:rsidR="00443EC1" w:rsidRDefault="00443EC1">
            <w:pPr>
              <w:tabs>
                <w:tab w:val="left" w:pos="894"/>
              </w:tabs>
              <w:spacing w:before="0" w:after="0" w:line="320" w:lineRule="exact"/>
              <w:jc w:val="center"/>
              <w:rPr>
                <w:rFonts w:hint="cs"/>
                <w:spacing w:val="0"/>
                <w:sz w:val="32"/>
                <w:szCs w:val="22"/>
              </w:rPr>
            </w:pPr>
            <w:r>
              <w:rPr>
                <w:rFonts w:hint="cs"/>
                <w:spacing w:val="0"/>
                <w:sz w:val="32"/>
                <w:szCs w:val="22"/>
                <w:rtl/>
              </w:rPr>
              <w:t>ذكور وإناث</w:t>
            </w:r>
          </w:p>
        </w:tc>
        <w:tc>
          <w:tcPr>
            <w:tcW w:w="900" w:type="dxa"/>
          </w:tcPr>
          <w:p w:rsidR="00443EC1" w:rsidRDefault="00443EC1">
            <w:pPr>
              <w:tabs>
                <w:tab w:val="left" w:pos="894"/>
              </w:tabs>
              <w:spacing w:before="0" w:after="0" w:line="320" w:lineRule="exact"/>
              <w:jc w:val="center"/>
              <w:rPr>
                <w:rFonts w:hint="cs"/>
                <w:spacing w:val="0"/>
                <w:sz w:val="32"/>
                <w:szCs w:val="22"/>
                <w:rtl/>
              </w:rPr>
            </w:pPr>
          </w:p>
          <w:p w:rsidR="00443EC1" w:rsidRDefault="00443EC1">
            <w:pPr>
              <w:tabs>
                <w:tab w:val="left" w:pos="894"/>
              </w:tabs>
              <w:spacing w:before="0" w:after="0" w:line="320" w:lineRule="exact"/>
              <w:jc w:val="center"/>
              <w:rPr>
                <w:rFonts w:hint="cs"/>
                <w:spacing w:val="0"/>
                <w:sz w:val="32"/>
                <w:szCs w:val="22"/>
              </w:rPr>
            </w:pPr>
            <w:r>
              <w:rPr>
                <w:rFonts w:hint="cs"/>
                <w:spacing w:val="0"/>
                <w:sz w:val="32"/>
                <w:szCs w:val="22"/>
                <w:rtl/>
              </w:rPr>
              <w:t>ذكور</w:t>
            </w:r>
          </w:p>
        </w:tc>
        <w:tc>
          <w:tcPr>
            <w:tcW w:w="900" w:type="dxa"/>
          </w:tcPr>
          <w:p w:rsidR="00443EC1" w:rsidRDefault="00443EC1">
            <w:pPr>
              <w:tabs>
                <w:tab w:val="left" w:pos="894"/>
              </w:tabs>
              <w:spacing w:before="0" w:after="0" w:line="320" w:lineRule="exact"/>
              <w:jc w:val="center"/>
              <w:rPr>
                <w:rFonts w:hint="cs"/>
                <w:spacing w:val="0"/>
                <w:sz w:val="32"/>
                <w:szCs w:val="22"/>
              </w:rPr>
            </w:pPr>
            <w:r>
              <w:rPr>
                <w:spacing w:val="0"/>
                <w:sz w:val="32"/>
                <w:szCs w:val="22"/>
                <w:rtl/>
              </w:rPr>
              <w:br/>
            </w:r>
            <w:r>
              <w:rPr>
                <w:rFonts w:hint="cs"/>
                <w:spacing w:val="0"/>
                <w:sz w:val="32"/>
                <w:szCs w:val="22"/>
                <w:rtl/>
              </w:rPr>
              <w:t>إناث</w:t>
            </w:r>
          </w:p>
        </w:tc>
        <w:tc>
          <w:tcPr>
            <w:tcW w:w="900" w:type="dxa"/>
          </w:tcPr>
          <w:p w:rsidR="00443EC1" w:rsidRDefault="00443EC1">
            <w:pPr>
              <w:tabs>
                <w:tab w:val="left" w:pos="894"/>
              </w:tabs>
              <w:spacing w:before="0" w:after="0" w:line="320" w:lineRule="exact"/>
              <w:jc w:val="center"/>
              <w:rPr>
                <w:rFonts w:hint="cs"/>
                <w:spacing w:val="0"/>
                <w:sz w:val="32"/>
                <w:szCs w:val="22"/>
              </w:rPr>
            </w:pPr>
            <w:r>
              <w:rPr>
                <w:rFonts w:hint="cs"/>
                <w:spacing w:val="0"/>
                <w:sz w:val="32"/>
                <w:szCs w:val="22"/>
                <w:rtl/>
              </w:rPr>
              <w:t>ذكور وإناث</w:t>
            </w:r>
          </w:p>
        </w:tc>
        <w:tc>
          <w:tcPr>
            <w:tcW w:w="900" w:type="dxa"/>
          </w:tcPr>
          <w:p w:rsidR="00443EC1" w:rsidRDefault="00443EC1">
            <w:pPr>
              <w:tabs>
                <w:tab w:val="left" w:pos="894"/>
              </w:tabs>
              <w:spacing w:before="0" w:after="0" w:line="320" w:lineRule="exact"/>
              <w:jc w:val="center"/>
              <w:rPr>
                <w:rFonts w:hint="cs"/>
                <w:spacing w:val="0"/>
                <w:sz w:val="32"/>
                <w:szCs w:val="22"/>
                <w:rtl/>
              </w:rPr>
            </w:pPr>
          </w:p>
          <w:p w:rsidR="00443EC1" w:rsidRDefault="00443EC1">
            <w:pPr>
              <w:tabs>
                <w:tab w:val="left" w:pos="894"/>
              </w:tabs>
              <w:spacing w:before="0" w:after="0" w:line="320" w:lineRule="exact"/>
              <w:jc w:val="center"/>
              <w:rPr>
                <w:rFonts w:hint="cs"/>
                <w:spacing w:val="0"/>
                <w:sz w:val="32"/>
                <w:szCs w:val="22"/>
              </w:rPr>
            </w:pPr>
            <w:r>
              <w:rPr>
                <w:rFonts w:hint="cs"/>
                <w:spacing w:val="0"/>
                <w:sz w:val="32"/>
                <w:szCs w:val="22"/>
                <w:rtl/>
              </w:rPr>
              <w:t>ذكور</w:t>
            </w:r>
          </w:p>
        </w:tc>
        <w:tc>
          <w:tcPr>
            <w:tcW w:w="900" w:type="dxa"/>
          </w:tcPr>
          <w:p w:rsidR="00443EC1" w:rsidRDefault="00443EC1">
            <w:pPr>
              <w:tabs>
                <w:tab w:val="left" w:pos="894"/>
              </w:tabs>
              <w:spacing w:before="0" w:after="0" w:line="320" w:lineRule="exact"/>
              <w:jc w:val="center"/>
              <w:rPr>
                <w:rFonts w:hint="cs"/>
                <w:spacing w:val="0"/>
                <w:sz w:val="32"/>
                <w:szCs w:val="22"/>
                <w:rtl/>
              </w:rPr>
            </w:pPr>
          </w:p>
          <w:p w:rsidR="00443EC1" w:rsidRDefault="00443EC1">
            <w:pPr>
              <w:tabs>
                <w:tab w:val="left" w:pos="894"/>
              </w:tabs>
              <w:spacing w:before="0" w:after="0" w:line="320" w:lineRule="exact"/>
              <w:jc w:val="center"/>
              <w:rPr>
                <w:rFonts w:hint="cs"/>
                <w:spacing w:val="0"/>
                <w:sz w:val="32"/>
                <w:szCs w:val="22"/>
              </w:rPr>
            </w:pPr>
            <w:r>
              <w:rPr>
                <w:rFonts w:hint="cs"/>
                <w:spacing w:val="0"/>
                <w:sz w:val="32"/>
                <w:szCs w:val="22"/>
                <w:rtl/>
              </w:rPr>
              <w:t>إناث</w:t>
            </w:r>
          </w:p>
        </w:tc>
      </w:tr>
      <w:tr w:rsidR="00443EC1" w:rsidTr="00443EC1">
        <w:tblPrEx>
          <w:tblCellMar>
            <w:top w:w="0" w:type="dxa"/>
            <w:bottom w:w="0" w:type="dxa"/>
          </w:tblCellMar>
        </w:tblPrEx>
        <w:trPr>
          <w:cantSplit/>
        </w:trPr>
        <w:tc>
          <w:tcPr>
            <w:tcW w:w="1138" w:type="dxa"/>
            <w:tcBorders>
              <w:top w:val="single" w:sz="4" w:space="0" w:color="auto"/>
            </w:tcBorders>
          </w:tcPr>
          <w:p w:rsidR="00443EC1" w:rsidRDefault="00443EC1">
            <w:pPr>
              <w:tabs>
                <w:tab w:val="left" w:pos="894"/>
              </w:tabs>
              <w:spacing w:before="0" w:after="0" w:line="320" w:lineRule="exact"/>
              <w:jc w:val="both"/>
              <w:rPr>
                <w:rFonts w:hint="cs"/>
                <w:spacing w:val="0"/>
                <w:sz w:val="32"/>
                <w:szCs w:val="22"/>
              </w:rPr>
            </w:pPr>
            <w:r>
              <w:rPr>
                <w:rFonts w:hint="cs"/>
                <w:spacing w:val="0"/>
                <w:sz w:val="32"/>
                <w:szCs w:val="22"/>
                <w:rtl/>
              </w:rPr>
              <w:t>1999-2000</w:t>
            </w:r>
          </w:p>
        </w:tc>
        <w:tc>
          <w:tcPr>
            <w:tcW w:w="697" w:type="dxa"/>
          </w:tcPr>
          <w:p w:rsidR="00443EC1" w:rsidRDefault="00443EC1">
            <w:pPr>
              <w:tabs>
                <w:tab w:val="left" w:pos="894"/>
              </w:tabs>
              <w:spacing w:before="0" w:after="0" w:line="320" w:lineRule="exact"/>
              <w:jc w:val="both"/>
              <w:rPr>
                <w:rFonts w:hint="cs"/>
                <w:spacing w:val="0"/>
                <w:sz w:val="32"/>
                <w:szCs w:val="22"/>
              </w:rPr>
            </w:pPr>
            <w:r>
              <w:rPr>
                <w:rFonts w:hint="cs"/>
                <w:spacing w:val="0"/>
                <w:sz w:val="32"/>
                <w:szCs w:val="22"/>
                <w:rtl/>
              </w:rPr>
              <w:t>124</w:t>
            </w:r>
          </w:p>
        </w:tc>
        <w:tc>
          <w:tcPr>
            <w:tcW w:w="787" w:type="dxa"/>
          </w:tcPr>
          <w:p w:rsidR="00443EC1" w:rsidRDefault="00443EC1">
            <w:pPr>
              <w:tabs>
                <w:tab w:val="left" w:pos="894"/>
              </w:tabs>
              <w:spacing w:before="0" w:after="0" w:line="320" w:lineRule="exact"/>
              <w:jc w:val="both"/>
              <w:rPr>
                <w:rFonts w:hint="cs"/>
                <w:spacing w:val="0"/>
                <w:sz w:val="32"/>
                <w:szCs w:val="22"/>
              </w:rPr>
            </w:pPr>
            <w:r>
              <w:rPr>
                <w:rFonts w:hint="cs"/>
                <w:spacing w:val="0"/>
                <w:sz w:val="32"/>
                <w:szCs w:val="22"/>
                <w:rtl/>
              </w:rPr>
              <w:t>091 1</w:t>
            </w:r>
          </w:p>
        </w:tc>
        <w:tc>
          <w:tcPr>
            <w:tcW w:w="720" w:type="dxa"/>
          </w:tcPr>
          <w:p w:rsidR="00443EC1" w:rsidRDefault="00443EC1">
            <w:pPr>
              <w:tabs>
                <w:tab w:val="left" w:pos="894"/>
              </w:tabs>
              <w:spacing w:before="0" w:after="0" w:line="320" w:lineRule="exact"/>
              <w:jc w:val="both"/>
              <w:rPr>
                <w:rFonts w:hint="cs"/>
                <w:spacing w:val="0"/>
                <w:sz w:val="32"/>
                <w:szCs w:val="22"/>
              </w:rPr>
            </w:pPr>
            <w:r>
              <w:rPr>
                <w:rFonts w:hint="cs"/>
                <w:spacing w:val="0"/>
                <w:sz w:val="32"/>
                <w:szCs w:val="22"/>
                <w:rtl/>
              </w:rPr>
              <w:t>644</w:t>
            </w:r>
          </w:p>
        </w:tc>
        <w:tc>
          <w:tcPr>
            <w:tcW w:w="720" w:type="dxa"/>
          </w:tcPr>
          <w:p w:rsidR="00443EC1" w:rsidRDefault="00443EC1">
            <w:pPr>
              <w:tabs>
                <w:tab w:val="left" w:pos="894"/>
              </w:tabs>
              <w:spacing w:before="0" w:after="0" w:line="320" w:lineRule="exact"/>
              <w:jc w:val="both"/>
              <w:rPr>
                <w:rFonts w:hint="cs"/>
                <w:spacing w:val="0"/>
                <w:sz w:val="32"/>
                <w:szCs w:val="22"/>
              </w:rPr>
            </w:pPr>
            <w:r>
              <w:rPr>
                <w:rFonts w:hint="cs"/>
                <w:spacing w:val="0"/>
                <w:sz w:val="32"/>
                <w:szCs w:val="22"/>
                <w:rtl/>
              </w:rPr>
              <w:t>447</w:t>
            </w:r>
          </w:p>
        </w:tc>
        <w:tc>
          <w:tcPr>
            <w:tcW w:w="900" w:type="dxa"/>
          </w:tcPr>
          <w:p w:rsidR="00443EC1" w:rsidRDefault="00443EC1">
            <w:pPr>
              <w:tabs>
                <w:tab w:val="left" w:pos="894"/>
              </w:tabs>
              <w:spacing w:before="0" w:after="0" w:line="320" w:lineRule="exact"/>
              <w:jc w:val="both"/>
              <w:rPr>
                <w:rFonts w:hint="cs"/>
                <w:spacing w:val="0"/>
                <w:sz w:val="32"/>
                <w:szCs w:val="22"/>
              </w:rPr>
            </w:pPr>
            <w:r>
              <w:rPr>
                <w:rFonts w:hint="cs"/>
                <w:spacing w:val="0"/>
                <w:sz w:val="32"/>
                <w:szCs w:val="22"/>
                <w:rtl/>
              </w:rPr>
              <w:t>432 46</w:t>
            </w:r>
          </w:p>
        </w:tc>
        <w:tc>
          <w:tcPr>
            <w:tcW w:w="900" w:type="dxa"/>
          </w:tcPr>
          <w:p w:rsidR="00443EC1" w:rsidRDefault="00443EC1">
            <w:pPr>
              <w:tabs>
                <w:tab w:val="left" w:pos="894"/>
              </w:tabs>
              <w:spacing w:before="0" w:after="0" w:line="320" w:lineRule="exact"/>
              <w:jc w:val="both"/>
              <w:rPr>
                <w:rFonts w:hint="cs"/>
                <w:spacing w:val="0"/>
                <w:sz w:val="32"/>
                <w:szCs w:val="22"/>
              </w:rPr>
            </w:pPr>
            <w:r>
              <w:rPr>
                <w:rFonts w:hint="cs"/>
                <w:spacing w:val="0"/>
                <w:sz w:val="32"/>
                <w:szCs w:val="22"/>
                <w:rtl/>
              </w:rPr>
              <w:t>396 19</w:t>
            </w:r>
          </w:p>
        </w:tc>
        <w:tc>
          <w:tcPr>
            <w:tcW w:w="900" w:type="dxa"/>
          </w:tcPr>
          <w:p w:rsidR="00443EC1" w:rsidRDefault="00443EC1">
            <w:pPr>
              <w:tabs>
                <w:tab w:val="left" w:pos="894"/>
              </w:tabs>
              <w:spacing w:before="0" w:after="0" w:line="320" w:lineRule="exact"/>
              <w:jc w:val="both"/>
              <w:rPr>
                <w:rFonts w:hint="cs"/>
                <w:spacing w:val="0"/>
                <w:sz w:val="32"/>
                <w:szCs w:val="22"/>
              </w:rPr>
            </w:pPr>
            <w:r>
              <w:rPr>
                <w:rFonts w:hint="cs"/>
                <w:spacing w:val="0"/>
                <w:sz w:val="32"/>
                <w:szCs w:val="22"/>
                <w:rtl/>
              </w:rPr>
              <w:t>036 27</w:t>
            </w:r>
          </w:p>
        </w:tc>
        <w:tc>
          <w:tcPr>
            <w:tcW w:w="900" w:type="dxa"/>
          </w:tcPr>
          <w:p w:rsidR="00443EC1" w:rsidRDefault="00443EC1">
            <w:pPr>
              <w:tabs>
                <w:tab w:val="left" w:pos="894"/>
              </w:tabs>
              <w:spacing w:before="0" w:after="0" w:line="320" w:lineRule="exact"/>
              <w:jc w:val="both"/>
              <w:rPr>
                <w:rFonts w:hint="cs"/>
                <w:spacing w:val="0"/>
                <w:sz w:val="32"/>
                <w:szCs w:val="22"/>
              </w:rPr>
            </w:pPr>
            <w:r>
              <w:rPr>
                <w:rFonts w:hint="cs"/>
                <w:spacing w:val="0"/>
                <w:sz w:val="32"/>
                <w:szCs w:val="22"/>
                <w:rtl/>
              </w:rPr>
              <w:t>946 38</w:t>
            </w:r>
          </w:p>
        </w:tc>
        <w:tc>
          <w:tcPr>
            <w:tcW w:w="900" w:type="dxa"/>
          </w:tcPr>
          <w:p w:rsidR="00443EC1" w:rsidRDefault="00443EC1">
            <w:pPr>
              <w:tabs>
                <w:tab w:val="left" w:pos="894"/>
              </w:tabs>
              <w:spacing w:before="0" w:after="0" w:line="320" w:lineRule="exact"/>
              <w:jc w:val="both"/>
              <w:rPr>
                <w:rFonts w:hint="cs"/>
                <w:spacing w:val="0"/>
                <w:sz w:val="32"/>
                <w:szCs w:val="22"/>
              </w:rPr>
            </w:pPr>
            <w:r>
              <w:rPr>
                <w:rFonts w:hint="cs"/>
                <w:spacing w:val="0"/>
                <w:sz w:val="32"/>
                <w:szCs w:val="22"/>
                <w:rtl/>
              </w:rPr>
              <w:t>584 16</w:t>
            </w:r>
          </w:p>
        </w:tc>
        <w:tc>
          <w:tcPr>
            <w:tcW w:w="900" w:type="dxa"/>
          </w:tcPr>
          <w:p w:rsidR="00443EC1" w:rsidRDefault="00443EC1">
            <w:pPr>
              <w:tabs>
                <w:tab w:val="left" w:pos="894"/>
              </w:tabs>
              <w:spacing w:before="0" w:after="0" w:line="320" w:lineRule="exact"/>
              <w:jc w:val="both"/>
              <w:rPr>
                <w:rFonts w:hint="cs"/>
                <w:spacing w:val="0"/>
                <w:sz w:val="32"/>
                <w:szCs w:val="22"/>
              </w:rPr>
            </w:pPr>
            <w:r>
              <w:rPr>
                <w:rFonts w:hint="cs"/>
                <w:spacing w:val="0"/>
                <w:sz w:val="32"/>
                <w:szCs w:val="22"/>
                <w:rtl/>
              </w:rPr>
              <w:t>362 22</w:t>
            </w:r>
          </w:p>
        </w:tc>
      </w:tr>
      <w:tr w:rsidR="00443EC1" w:rsidTr="00443EC1">
        <w:tblPrEx>
          <w:tblCellMar>
            <w:top w:w="0" w:type="dxa"/>
            <w:bottom w:w="0" w:type="dxa"/>
          </w:tblCellMar>
        </w:tblPrEx>
        <w:trPr>
          <w:cantSplit/>
        </w:trPr>
        <w:tc>
          <w:tcPr>
            <w:tcW w:w="1138" w:type="dxa"/>
          </w:tcPr>
          <w:p w:rsidR="00443EC1" w:rsidRDefault="00443EC1">
            <w:pPr>
              <w:tabs>
                <w:tab w:val="left" w:pos="894"/>
              </w:tabs>
              <w:spacing w:before="0" w:after="0" w:line="320" w:lineRule="exact"/>
              <w:jc w:val="both"/>
              <w:rPr>
                <w:rFonts w:hint="cs"/>
                <w:spacing w:val="0"/>
                <w:sz w:val="32"/>
                <w:szCs w:val="22"/>
              </w:rPr>
            </w:pPr>
            <w:r>
              <w:rPr>
                <w:rFonts w:hint="cs"/>
                <w:spacing w:val="0"/>
                <w:sz w:val="32"/>
                <w:szCs w:val="22"/>
                <w:rtl/>
              </w:rPr>
              <w:t>2000-2001</w:t>
            </w:r>
          </w:p>
        </w:tc>
        <w:tc>
          <w:tcPr>
            <w:tcW w:w="697" w:type="dxa"/>
          </w:tcPr>
          <w:p w:rsidR="00443EC1" w:rsidRDefault="00443EC1">
            <w:pPr>
              <w:tabs>
                <w:tab w:val="left" w:pos="894"/>
              </w:tabs>
              <w:spacing w:before="0" w:after="0" w:line="320" w:lineRule="exact"/>
              <w:jc w:val="both"/>
              <w:rPr>
                <w:rFonts w:hint="cs"/>
                <w:spacing w:val="0"/>
                <w:sz w:val="32"/>
                <w:szCs w:val="22"/>
              </w:rPr>
            </w:pPr>
            <w:r>
              <w:rPr>
                <w:rFonts w:hint="cs"/>
                <w:spacing w:val="0"/>
                <w:sz w:val="32"/>
                <w:szCs w:val="22"/>
                <w:rtl/>
              </w:rPr>
              <w:t>122</w:t>
            </w:r>
          </w:p>
        </w:tc>
        <w:tc>
          <w:tcPr>
            <w:tcW w:w="787" w:type="dxa"/>
          </w:tcPr>
          <w:p w:rsidR="00443EC1" w:rsidRDefault="00443EC1">
            <w:pPr>
              <w:tabs>
                <w:tab w:val="left" w:pos="894"/>
              </w:tabs>
              <w:spacing w:before="0" w:after="0" w:line="320" w:lineRule="exact"/>
              <w:jc w:val="both"/>
              <w:rPr>
                <w:rFonts w:hint="cs"/>
                <w:spacing w:val="0"/>
                <w:sz w:val="32"/>
                <w:szCs w:val="22"/>
              </w:rPr>
            </w:pPr>
            <w:r>
              <w:rPr>
                <w:rFonts w:hint="cs"/>
                <w:spacing w:val="0"/>
                <w:sz w:val="32"/>
                <w:szCs w:val="22"/>
                <w:rtl/>
              </w:rPr>
              <w:t>234 1</w:t>
            </w:r>
          </w:p>
        </w:tc>
        <w:tc>
          <w:tcPr>
            <w:tcW w:w="720" w:type="dxa"/>
          </w:tcPr>
          <w:p w:rsidR="00443EC1" w:rsidRDefault="00443EC1">
            <w:pPr>
              <w:tabs>
                <w:tab w:val="left" w:pos="894"/>
              </w:tabs>
              <w:spacing w:before="0" w:after="0" w:line="320" w:lineRule="exact"/>
              <w:jc w:val="both"/>
              <w:rPr>
                <w:rFonts w:hint="cs"/>
                <w:spacing w:val="0"/>
                <w:sz w:val="32"/>
                <w:szCs w:val="22"/>
              </w:rPr>
            </w:pPr>
            <w:r>
              <w:rPr>
                <w:rFonts w:hint="cs"/>
                <w:spacing w:val="0"/>
                <w:sz w:val="32"/>
                <w:szCs w:val="22"/>
                <w:rtl/>
              </w:rPr>
              <w:t>775</w:t>
            </w:r>
          </w:p>
        </w:tc>
        <w:tc>
          <w:tcPr>
            <w:tcW w:w="720" w:type="dxa"/>
          </w:tcPr>
          <w:p w:rsidR="00443EC1" w:rsidRDefault="00443EC1">
            <w:pPr>
              <w:tabs>
                <w:tab w:val="left" w:pos="894"/>
              </w:tabs>
              <w:spacing w:before="0" w:after="0" w:line="320" w:lineRule="exact"/>
              <w:jc w:val="both"/>
              <w:rPr>
                <w:rFonts w:hint="cs"/>
                <w:spacing w:val="0"/>
                <w:sz w:val="32"/>
                <w:szCs w:val="22"/>
              </w:rPr>
            </w:pPr>
            <w:r>
              <w:rPr>
                <w:rFonts w:hint="cs"/>
                <w:spacing w:val="0"/>
                <w:sz w:val="32"/>
                <w:szCs w:val="22"/>
                <w:rtl/>
              </w:rPr>
              <w:t>459</w:t>
            </w:r>
          </w:p>
        </w:tc>
        <w:tc>
          <w:tcPr>
            <w:tcW w:w="900" w:type="dxa"/>
          </w:tcPr>
          <w:p w:rsidR="00443EC1" w:rsidRDefault="00443EC1">
            <w:pPr>
              <w:tabs>
                <w:tab w:val="left" w:pos="894"/>
              </w:tabs>
              <w:spacing w:before="0" w:after="0" w:line="320" w:lineRule="exact"/>
              <w:jc w:val="both"/>
              <w:rPr>
                <w:rFonts w:hint="cs"/>
                <w:spacing w:val="0"/>
                <w:sz w:val="32"/>
                <w:szCs w:val="22"/>
              </w:rPr>
            </w:pPr>
            <w:r>
              <w:rPr>
                <w:rFonts w:hint="cs"/>
                <w:spacing w:val="0"/>
                <w:sz w:val="32"/>
                <w:szCs w:val="22"/>
                <w:rtl/>
              </w:rPr>
              <w:t>695 65*</w:t>
            </w:r>
          </w:p>
        </w:tc>
        <w:tc>
          <w:tcPr>
            <w:tcW w:w="900" w:type="dxa"/>
          </w:tcPr>
          <w:p w:rsidR="00443EC1" w:rsidRDefault="00443EC1">
            <w:pPr>
              <w:tabs>
                <w:tab w:val="left" w:pos="894"/>
              </w:tabs>
              <w:spacing w:before="0" w:after="0" w:line="320" w:lineRule="exact"/>
              <w:jc w:val="both"/>
              <w:rPr>
                <w:rFonts w:hint="cs"/>
                <w:spacing w:val="0"/>
                <w:sz w:val="32"/>
                <w:szCs w:val="22"/>
              </w:rPr>
            </w:pPr>
            <w:r>
              <w:rPr>
                <w:rFonts w:hint="cs"/>
                <w:spacing w:val="0"/>
                <w:sz w:val="32"/>
                <w:szCs w:val="22"/>
                <w:rtl/>
              </w:rPr>
              <w:t>307 22</w:t>
            </w:r>
          </w:p>
        </w:tc>
        <w:tc>
          <w:tcPr>
            <w:tcW w:w="900" w:type="dxa"/>
          </w:tcPr>
          <w:p w:rsidR="00443EC1" w:rsidRDefault="00443EC1">
            <w:pPr>
              <w:tabs>
                <w:tab w:val="left" w:pos="894"/>
              </w:tabs>
              <w:spacing w:before="0" w:after="0" w:line="320" w:lineRule="exact"/>
              <w:jc w:val="both"/>
              <w:rPr>
                <w:rFonts w:hint="cs"/>
                <w:spacing w:val="0"/>
                <w:sz w:val="32"/>
                <w:szCs w:val="22"/>
              </w:rPr>
            </w:pPr>
            <w:r>
              <w:rPr>
                <w:rFonts w:hint="cs"/>
                <w:spacing w:val="0"/>
                <w:sz w:val="32"/>
                <w:szCs w:val="22"/>
                <w:rtl/>
              </w:rPr>
              <w:t>162 32</w:t>
            </w:r>
          </w:p>
        </w:tc>
        <w:tc>
          <w:tcPr>
            <w:tcW w:w="900" w:type="dxa"/>
          </w:tcPr>
          <w:p w:rsidR="00443EC1" w:rsidRDefault="00443EC1">
            <w:pPr>
              <w:tabs>
                <w:tab w:val="left" w:pos="894"/>
              </w:tabs>
              <w:spacing w:before="0" w:after="0" w:line="320" w:lineRule="exact"/>
              <w:jc w:val="both"/>
              <w:rPr>
                <w:rFonts w:hint="cs"/>
                <w:spacing w:val="0"/>
                <w:sz w:val="32"/>
                <w:szCs w:val="22"/>
              </w:rPr>
            </w:pPr>
            <w:r>
              <w:rPr>
                <w:rFonts w:hint="cs"/>
                <w:spacing w:val="0"/>
                <w:sz w:val="32"/>
                <w:szCs w:val="22"/>
                <w:rtl/>
              </w:rPr>
              <w:t>795 17*</w:t>
            </w:r>
          </w:p>
        </w:tc>
        <w:tc>
          <w:tcPr>
            <w:tcW w:w="900" w:type="dxa"/>
          </w:tcPr>
          <w:p w:rsidR="00443EC1" w:rsidRDefault="00443EC1">
            <w:pPr>
              <w:tabs>
                <w:tab w:val="left" w:pos="894"/>
              </w:tabs>
              <w:spacing w:before="0" w:after="0" w:line="320" w:lineRule="exact"/>
              <w:jc w:val="both"/>
              <w:rPr>
                <w:rFonts w:hint="cs"/>
                <w:spacing w:val="0"/>
                <w:sz w:val="32"/>
                <w:szCs w:val="22"/>
              </w:rPr>
            </w:pPr>
            <w:r>
              <w:rPr>
                <w:rFonts w:hint="cs"/>
                <w:spacing w:val="0"/>
                <w:sz w:val="32"/>
                <w:szCs w:val="22"/>
                <w:rtl/>
              </w:rPr>
              <w:t>481 17</w:t>
            </w:r>
          </w:p>
        </w:tc>
        <w:tc>
          <w:tcPr>
            <w:tcW w:w="900" w:type="dxa"/>
          </w:tcPr>
          <w:p w:rsidR="00443EC1" w:rsidRDefault="00443EC1">
            <w:pPr>
              <w:tabs>
                <w:tab w:val="left" w:pos="894"/>
              </w:tabs>
              <w:spacing w:before="0" w:after="0" w:line="320" w:lineRule="exact"/>
              <w:jc w:val="both"/>
              <w:rPr>
                <w:rFonts w:hint="cs"/>
                <w:spacing w:val="0"/>
                <w:sz w:val="32"/>
                <w:szCs w:val="22"/>
              </w:rPr>
            </w:pPr>
            <w:r>
              <w:rPr>
                <w:rFonts w:hint="cs"/>
                <w:spacing w:val="0"/>
                <w:sz w:val="32"/>
                <w:szCs w:val="22"/>
                <w:rtl/>
              </w:rPr>
              <w:t>503 24</w:t>
            </w:r>
          </w:p>
        </w:tc>
      </w:tr>
    </w:tbl>
    <w:p w:rsidR="00000000" w:rsidRDefault="00443EC1">
      <w:pPr>
        <w:tabs>
          <w:tab w:val="left" w:pos="894"/>
        </w:tabs>
        <w:spacing w:before="0" w:after="0" w:line="380" w:lineRule="exact"/>
        <w:jc w:val="both"/>
        <w:rPr>
          <w:rFonts w:hint="cs"/>
          <w:spacing w:val="0"/>
          <w:sz w:val="24"/>
          <w:szCs w:val="26"/>
          <w:rtl/>
        </w:rPr>
      </w:pPr>
      <w:r>
        <w:rPr>
          <w:rFonts w:hint="cs"/>
          <w:spacing w:val="0"/>
          <w:sz w:val="24"/>
          <w:szCs w:val="26"/>
          <w:rtl/>
        </w:rPr>
        <w:tab/>
        <w:t>*</w:t>
      </w:r>
      <w:r>
        <w:rPr>
          <w:rFonts w:hint="cs"/>
          <w:spacing w:val="0"/>
          <w:sz w:val="24"/>
          <w:szCs w:val="26"/>
          <w:rtl/>
        </w:rPr>
        <w:tab/>
        <w:t>لا تضم المجامي</w:t>
      </w:r>
      <w:r>
        <w:rPr>
          <w:rFonts w:hint="cs"/>
          <w:spacing w:val="0"/>
          <w:sz w:val="24"/>
          <w:szCs w:val="26"/>
          <w:rtl/>
        </w:rPr>
        <w:t>ع العامة المجاميع الفرعية الخاصة بكل جنس لأن بعض المؤسسات لم تتمكن من توفير البيانات ذات الصلة.</w:t>
      </w:r>
    </w:p>
    <w:p w:rsidR="00000000" w:rsidRDefault="00443EC1">
      <w:pPr>
        <w:tabs>
          <w:tab w:val="left" w:pos="894"/>
        </w:tabs>
        <w:spacing w:before="0" w:after="0" w:line="380" w:lineRule="exact"/>
        <w:jc w:val="both"/>
        <w:rPr>
          <w:rFonts w:hint="cs"/>
          <w:spacing w:val="0"/>
          <w:sz w:val="24"/>
          <w:szCs w:val="26"/>
          <w:rtl/>
        </w:rPr>
      </w:pPr>
      <w:r>
        <w:rPr>
          <w:rFonts w:hint="cs"/>
          <w:spacing w:val="0"/>
          <w:sz w:val="24"/>
          <w:szCs w:val="26"/>
          <w:rtl/>
        </w:rPr>
        <w:tab/>
      </w:r>
      <w:r>
        <w:rPr>
          <w:rFonts w:hint="cs"/>
          <w:i/>
          <w:iCs/>
          <w:spacing w:val="0"/>
          <w:sz w:val="24"/>
          <w:szCs w:val="26"/>
          <w:rtl/>
        </w:rPr>
        <w:t>المصدر:</w:t>
      </w:r>
      <w:r>
        <w:rPr>
          <w:rFonts w:hint="cs"/>
          <w:i/>
          <w:iCs/>
          <w:spacing w:val="0"/>
          <w:sz w:val="24"/>
          <w:szCs w:val="26"/>
          <w:rtl/>
        </w:rPr>
        <w:tab/>
      </w:r>
      <w:r>
        <w:rPr>
          <w:rFonts w:hint="cs"/>
          <w:spacing w:val="0"/>
          <w:sz w:val="24"/>
          <w:szCs w:val="26"/>
          <w:rtl/>
        </w:rPr>
        <w:t>الحولية الإحصائية لعام 2001، إدارة الإحصاء والتعداد.</w:t>
      </w:r>
    </w:p>
    <w:p w:rsidR="00000000" w:rsidRDefault="00443EC1">
      <w:pPr>
        <w:tabs>
          <w:tab w:val="left" w:pos="894"/>
        </w:tabs>
        <w:spacing w:line="380" w:lineRule="exact"/>
        <w:jc w:val="both"/>
        <w:rPr>
          <w:rFonts w:hint="cs"/>
          <w:spacing w:val="0"/>
          <w:sz w:val="32"/>
          <w:rtl/>
        </w:rPr>
      </w:pPr>
      <w:r>
        <w:rPr>
          <w:rFonts w:hint="cs"/>
          <w:spacing w:val="0"/>
          <w:sz w:val="32"/>
          <w:rtl/>
        </w:rPr>
        <w:t>1106-</w:t>
      </w:r>
      <w:r>
        <w:rPr>
          <w:spacing w:val="0"/>
          <w:sz w:val="32"/>
          <w:rtl/>
        </w:rPr>
        <w:tab/>
      </w:r>
      <w:r>
        <w:rPr>
          <w:rFonts w:hint="cs"/>
          <w:spacing w:val="0"/>
          <w:sz w:val="32"/>
          <w:rtl/>
        </w:rPr>
        <w:t>وإلى جانب نظام التعليم، نظم خلال عام 2001 عدد من الحلقات الدراسية للتثقيف وتعليم القراءة وال</w:t>
      </w:r>
      <w:r>
        <w:rPr>
          <w:rFonts w:hint="cs"/>
          <w:spacing w:val="0"/>
          <w:sz w:val="32"/>
          <w:rtl/>
        </w:rPr>
        <w:t>كتابة بالاشتراك مع جمعية صائدي الأسماك والجمعية النسائية لحث أعضائهما على تحسين مستواهم الدراسي في إطار خطة "العودة إلى مقاعد الدراسة" .</w:t>
      </w:r>
    </w:p>
    <w:p w:rsidR="00000000" w:rsidRDefault="00443EC1">
      <w:pPr>
        <w:tabs>
          <w:tab w:val="left" w:pos="894"/>
        </w:tabs>
        <w:spacing w:line="380" w:lineRule="exact"/>
        <w:jc w:val="both"/>
        <w:rPr>
          <w:rFonts w:hint="cs"/>
          <w:spacing w:val="0"/>
          <w:sz w:val="32"/>
          <w:rtl/>
        </w:rPr>
      </w:pPr>
      <w:r>
        <w:rPr>
          <w:rFonts w:hint="cs"/>
          <w:spacing w:val="0"/>
          <w:sz w:val="32"/>
          <w:rtl/>
        </w:rPr>
        <w:t>1107-</w:t>
      </w:r>
      <w:r>
        <w:rPr>
          <w:spacing w:val="0"/>
          <w:sz w:val="32"/>
          <w:rtl/>
        </w:rPr>
        <w:tab/>
        <w:t>نشر</w:t>
      </w:r>
      <w:r>
        <w:rPr>
          <w:rFonts w:hint="cs"/>
          <w:spacing w:val="0"/>
          <w:sz w:val="32"/>
          <w:rtl/>
        </w:rPr>
        <w:t>ت</w:t>
      </w:r>
      <w:r>
        <w:rPr>
          <w:spacing w:val="0"/>
          <w:sz w:val="32"/>
          <w:rtl/>
        </w:rPr>
        <w:t xml:space="preserve"> خلال عام 2001-2002 مواد تعليمية </w:t>
      </w:r>
      <w:r>
        <w:rPr>
          <w:rFonts w:hint="cs"/>
          <w:spacing w:val="0"/>
          <w:sz w:val="32"/>
          <w:rtl/>
        </w:rPr>
        <w:t xml:space="preserve">للكبار بغية </w:t>
      </w:r>
      <w:r>
        <w:rPr>
          <w:spacing w:val="0"/>
          <w:sz w:val="32"/>
          <w:rtl/>
        </w:rPr>
        <w:t xml:space="preserve">تحسين </w:t>
      </w:r>
      <w:r>
        <w:rPr>
          <w:rFonts w:hint="cs"/>
          <w:spacing w:val="0"/>
          <w:sz w:val="32"/>
          <w:rtl/>
        </w:rPr>
        <w:t xml:space="preserve">المهارات الأساسية في قراءة اللغة الصينية وكتابتها وفي علم </w:t>
      </w:r>
      <w:r>
        <w:rPr>
          <w:rFonts w:hint="cs"/>
          <w:spacing w:val="0"/>
          <w:sz w:val="32"/>
          <w:rtl/>
        </w:rPr>
        <w:t>الحساب وفي مهارات التدبير المالي الشخصي. ويمثل نقص الثقة بالنفس لدى بعض الكبار العائق الأساسي الذي يمنعهم من الالتحاق ببرامج تعليم القراءة والكتابة والنجاح فيها.</w:t>
      </w:r>
    </w:p>
    <w:p w:rsidR="00000000" w:rsidRDefault="00443EC1">
      <w:pPr>
        <w:tabs>
          <w:tab w:val="left" w:pos="894"/>
        </w:tabs>
        <w:spacing w:line="380" w:lineRule="exact"/>
        <w:jc w:val="both"/>
        <w:rPr>
          <w:rFonts w:hint="cs"/>
          <w:spacing w:val="0"/>
          <w:sz w:val="32"/>
          <w:rtl/>
        </w:rPr>
      </w:pPr>
      <w:r>
        <w:rPr>
          <w:rFonts w:hint="cs"/>
          <w:spacing w:val="0"/>
          <w:sz w:val="32"/>
          <w:rtl/>
        </w:rPr>
        <w:t>1108-</w:t>
      </w:r>
      <w:r>
        <w:rPr>
          <w:spacing w:val="0"/>
          <w:sz w:val="32"/>
          <w:rtl/>
        </w:rPr>
        <w:tab/>
        <w:t xml:space="preserve">أما فيما يخص </w:t>
      </w:r>
      <w:r>
        <w:rPr>
          <w:rFonts w:hint="cs"/>
          <w:spacing w:val="0"/>
          <w:sz w:val="32"/>
          <w:rtl/>
        </w:rPr>
        <w:t>ال</w:t>
      </w:r>
      <w:r>
        <w:rPr>
          <w:spacing w:val="0"/>
          <w:sz w:val="32"/>
          <w:rtl/>
        </w:rPr>
        <w:t xml:space="preserve">تعليم </w:t>
      </w:r>
      <w:r>
        <w:rPr>
          <w:rFonts w:hint="cs"/>
          <w:spacing w:val="0"/>
          <w:sz w:val="32"/>
          <w:rtl/>
        </w:rPr>
        <w:t xml:space="preserve">الموجه لذوي الاحتياجات </w:t>
      </w:r>
      <w:r>
        <w:rPr>
          <w:spacing w:val="0"/>
          <w:sz w:val="32"/>
          <w:rtl/>
        </w:rPr>
        <w:t>الخاص</w:t>
      </w:r>
      <w:r>
        <w:rPr>
          <w:rFonts w:hint="cs"/>
          <w:spacing w:val="0"/>
          <w:sz w:val="32"/>
          <w:rtl/>
        </w:rPr>
        <w:t>ة، فقد بلغ العدد الإجمالي للتلاميذ المس</w:t>
      </w:r>
      <w:r>
        <w:rPr>
          <w:rFonts w:hint="cs"/>
          <w:spacing w:val="0"/>
          <w:sz w:val="32"/>
          <w:rtl/>
        </w:rPr>
        <w:t>جلين ضمن النظام المدرسي 644 طالبا بوصفهم تلاميذ ذوي احتياجات خاصة منها مشاكل بدنية دائمة أو مؤقتة وكذلك صعوبات عاطفية ومشاكل في التأقلم خلال العام الدراسي 2001-2002. وأدمج بعض أولئك التلاميذ في صفوف عادية بينما أدمج الباقون في وحدات تدريب خاصة أُحدثت إما ف</w:t>
      </w:r>
      <w:r>
        <w:rPr>
          <w:rFonts w:hint="cs"/>
          <w:spacing w:val="0"/>
          <w:sz w:val="32"/>
          <w:rtl/>
        </w:rPr>
        <w:t>ي المدارس العادية أو في شكل وحدات مستقلة.</w:t>
      </w:r>
    </w:p>
    <w:p w:rsidR="00000000" w:rsidRDefault="00443EC1">
      <w:pPr>
        <w:tabs>
          <w:tab w:val="left" w:pos="894"/>
        </w:tabs>
        <w:spacing w:line="380" w:lineRule="exact"/>
        <w:jc w:val="both"/>
        <w:rPr>
          <w:rFonts w:hint="cs"/>
          <w:spacing w:val="0"/>
          <w:sz w:val="32"/>
          <w:rtl/>
        </w:rPr>
      </w:pPr>
      <w:r>
        <w:rPr>
          <w:rFonts w:hint="cs"/>
          <w:spacing w:val="0"/>
          <w:sz w:val="32"/>
          <w:rtl/>
        </w:rPr>
        <w:t>1109-</w:t>
      </w:r>
      <w:r>
        <w:rPr>
          <w:spacing w:val="0"/>
          <w:sz w:val="32"/>
          <w:rtl/>
        </w:rPr>
        <w:tab/>
      </w:r>
      <w:r>
        <w:rPr>
          <w:rFonts w:hint="cs"/>
          <w:spacing w:val="0"/>
          <w:sz w:val="32"/>
          <w:rtl/>
        </w:rPr>
        <w:t>ثمة، ضمن شبكة المدارس العامة، مدرسة عامة واحدة وأربع مؤسسات خاصة تقصر نفسها على تلبية حاجات التلاميذ ذوي الاحتياجات الخاصة. ويتمتع جميع العاملين بموجب نظام التعليم الخاص بمؤهلات خاصة في هذا الميدان تمنحها وزا</w:t>
      </w:r>
      <w:r>
        <w:rPr>
          <w:rFonts w:hint="cs"/>
          <w:spacing w:val="0"/>
          <w:sz w:val="32"/>
          <w:rtl/>
        </w:rPr>
        <w:t>رة التعليم وشؤون الشباب بالتعاون مع مؤسسات التعليم العالي المحلية والأجنبية.</w:t>
      </w:r>
    </w:p>
    <w:p w:rsidR="00000000" w:rsidRDefault="00443EC1">
      <w:pPr>
        <w:tabs>
          <w:tab w:val="left" w:pos="894"/>
        </w:tabs>
        <w:spacing w:line="380" w:lineRule="exact"/>
        <w:jc w:val="both"/>
        <w:rPr>
          <w:rFonts w:hint="cs"/>
          <w:spacing w:val="0"/>
          <w:sz w:val="32"/>
          <w:rtl/>
        </w:rPr>
      </w:pPr>
      <w:r>
        <w:rPr>
          <w:rFonts w:hint="cs"/>
          <w:spacing w:val="0"/>
          <w:sz w:val="32"/>
          <w:rtl/>
        </w:rPr>
        <w:t>1110-</w:t>
      </w:r>
      <w:r>
        <w:rPr>
          <w:spacing w:val="0"/>
          <w:sz w:val="32"/>
          <w:rtl/>
        </w:rPr>
        <w:tab/>
        <w:t xml:space="preserve">فيما يتعلق بتعليم السجناء، </w:t>
      </w:r>
      <w:r>
        <w:rPr>
          <w:rFonts w:hint="cs"/>
          <w:spacing w:val="0"/>
          <w:sz w:val="32"/>
          <w:rtl/>
        </w:rPr>
        <w:t>يحق</w:t>
      </w:r>
      <w:r>
        <w:rPr>
          <w:spacing w:val="0"/>
          <w:sz w:val="32"/>
          <w:rtl/>
        </w:rPr>
        <w:t xml:space="preserve"> للسجناء </w:t>
      </w:r>
      <w:r>
        <w:rPr>
          <w:rFonts w:hint="cs"/>
          <w:spacing w:val="0"/>
          <w:sz w:val="32"/>
          <w:rtl/>
        </w:rPr>
        <w:t>الأميين أو الذين لم يكملوا تعليمهم الإجباري</w:t>
      </w:r>
      <w:r>
        <w:rPr>
          <w:spacing w:val="0"/>
          <w:sz w:val="32"/>
          <w:rtl/>
        </w:rPr>
        <w:t xml:space="preserve"> </w:t>
      </w:r>
      <w:r>
        <w:rPr>
          <w:rFonts w:hint="cs"/>
          <w:spacing w:val="0"/>
          <w:sz w:val="32"/>
          <w:rtl/>
        </w:rPr>
        <w:t xml:space="preserve">دون </w:t>
      </w:r>
      <w:r>
        <w:rPr>
          <w:spacing w:val="0"/>
          <w:sz w:val="32"/>
          <w:rtl/>
        </w:rPr>
        <w:t xml:space="preserve">سن الخامسة والعشرين </w:t>
      </w:r>
      <w:r>
        <w:rPr>
          <w:rFonts w:hint="cs"/>
          <w:spacing w:val="0"/>
          <w:sz w:val="32"/>
          <w:rtl/>
        </w:rPr>
        <w:t xml:space="preserve">حضور الصفوف التعليمية سواء باللغة البرتغالية أو الصينية والمشاركة </w:t>
      </w:r>
      <w:r>
        <w:rPr>
          <w:rFonts w:hint="cs"/>
          <w:spacing w:val="0"/>
          <w:sz w:val="32"/>
          <w:rtl/>
        </w:rPr>
        <w:t>في النشاطات التعليمية الأخرى التي تنظمها المؤسسة. كما تيسر إدارة السجون وصول السجناء إلى المقررات التعليمية بالمراسلة أو التي تذاع عبر الراديو أو التلفاز (المادة 58 من المرسوم بقانون 40/94/م).</w:t>
      </w:r>
    </w:p>
    <w:p w:rsidR="00000000" w:rsidRDefault="00443EC1">
      <w:pPr>
        <w:tabs>
          <w:tab w:val="left" w:pos="894"/>
        </w:tabs>
        <w:spacing w:line="380" w:lineRule="exact"/>
        <w:jc w:val="both"/>
        <w:rPr>
          <w:spacing w:val="0"/>
          <w:sz w:val="32"/>
          <w:rtl/>
        </w:rPr>
      </w:pPr>
      <w:r>
        <w:rPr>
          <w:rFonts w:hint="cs"/>
          <w:spacing w:val="0"/>
          <w:sz w:val="32"/>
          <w:rtl/>
        </w:rPr>
        <w:t>1111-</w:t>
      </w:r>
      <w:r>
        <w:rPr>
          <w:spacing w:val="0"/>
          <w:sz w:val="32"/>
          <w:rtl/>
        </w:rPr>
        <w:tab/>
      </w:r>
      <w:r>
        <w:rPr>
          <w:rFonts w:hint="cs"/>
          <w:spacing w:val="0"/>
          <w:sz w:val="32"/>
          <w:rtl/>
        </w:rPr>
        <w:t>و</w:t>
      </w:r>
      <w:r>
        <w:rPr>
          <w:spacing w:val="0"/>
          <w:sz w:val="32"/>
          <w:rtl/>
        </w:rPr>
        <w:t>يسهر مركز إعادة تأهيل الأحداث عل</w:t>
      </w:r>
      <w:r>
        <w:rPr>
          <w:rFonts w:hint="cs"/>
          <w:spacing w:val="0"/>
          <w:sz w:val="32"/>
          <w:rtl/>
        </w:rPr>
        <w:t>ى</w:t>
      </w:r>
      <w:r>
        <w:rPr>
          <w:spacing w:val="0"/>
          <w:sz w:val="32"/>
          <w:rtl/>
        </w:rPr>
        <w:t xml:space="preserve"> تربية القاصرين ممن ارت</w:t>
      </w:r>
      <w:r>
        <w:rPr>
          <w:spacing w:val="0"/>
          <w:sz w:val="32"/>
          <w:rtl/>
        </w:rPr>
        <w:t>كبوا جرائم (المرسوم بقانون 65/99/م).</w:t>
      </w:r>
    </w:p>
    <w:p w:rsidR="00000000" w:rsidRDefault="00443EC1">
      <w:pPr>
        <w:tabs>
          <w:tab w:val="left" w:pos="894"/>
        </w:tabs>
        <w:spacing w:line="380" w:lineRule="exact"/>
        <w:jc w:val="center"/>
        <w:rPr>
          <w:rFonts w:hint="cs"/>
          <w:b/>
          <w:bCs/>
          <w:spacing w:val="0"/>
          <w:sz w:val="32"/>
          <w:rtl/>
        </w:rPr>
      </w:pPr>
      <w:r>
        <w:rPr>
          <w:rFonts w:hint="cs"/>
          <w:b/>
          <w:bCs/>
          <w:spacing w:val="0"/>
          <w:sz w:val="32"/>
          <w:rtl/>
        </w:rPr>
        <w:t>جيم - حصة نفقات التعليم من الميزانية</w:t>
      </w:r>
    </w:p>
    <w:p w:rsidR="00000000" w:rsidRDefault="00443EC1">
      <w:pPr>
        <w:tabs>
          <w:tab w:val="left" w:pos="894"/>
        </w:tabs>
        <w:spacing w:line="380" w:lineRule="exact"/>
        <w:jc w:val="both"/>
        <w:rPr>
          <w:rFonts w:hint="cs"/>
          <w:spacing w:val="0"/>
          <w:sz w:val="32"/>
          <w:rtl/>
        </w:rPr>
      </w:pPr>
      <w:r>
        <w:rPr>
          <w:rFonts w:hint="cs"/>
          <w:spacing w:val="0"/>
          <w:sz w:val="32"/>
          <w:rtl/>
        </w:rPr>
        <w:t>1112-</w:t>
      </w:r>
      <w:r>
        <w:rPr>
          <w:rFonts w:hint="cs"/>
          <w:spacing w:val="0"/>
          <w:sz w:val="32"/>
          <w:rtl/>
        </w:rPr>
        <w:tab/>
        <w:t>زادت حصة نفقات التعليم من ميزانية مقاطعة ماكاو الإدارية الخاصة من 7.44 في المائة إلى 15.19 في المائة في عام 2001 بفضل دخول نظام التعليم المجاني الذي أحدثته حكومة مقاطعة ماكاو ح</w:t>
      </w:r>
      <w:r>
        <w:rPr>
          <w:rFonts w:hint="cs"/>
          <w:spacing w:val="0"/>
          <w:sz w:val="32"/>
          <w:rtl/>
        </w:rPr>
        <w:t>يز التطبيق مؤخراً.</w:t>
      </w:r>
    </w:p>
    <w:p w:rsidR="00000000" w:rsidRDefault="00443EC1">
      <w:pPr>
        <w:tabs>
          <w:tab w:val="left" w:pos="894"/>
        </w:tabs>
        <w:spacing w:line="380" w:lineRule="exact"/>
        <w:jc w:val="both"/>
        <w:rPr>
          <w:rFonts w:hint="cs"/>
          <w:b/>
          <w:bCs/>
          <w:spacing w:val="0"/>
          <w:sz w:val="32"/>
          <w:rtl/>
        </w:rPr>
      </w:pPr>
      <w:r>
        <w:rPr>
          <w:rFonts w:hint="cs"/>
          <w:b/>
          <w:bCs/>
          <w:spacing w:val="0"/>
          <w:sz w:val="32"/>
          <w:rtl/>
        </w:rPr>
        <w:t>حصة نفقات التعليم من ميزانية مقاطعة ماكاو الإدارية الخاصة (بآلاف الباتاكا)</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42"/>
        <w:gridCol w:w="1440"/>
        <w:gridCol w:w="1620"/>
        <w:gridCol w:w="1620"/>
        <w:gridCol w:w="1440"/>
      </w:tblGrid>
      <w:tr w:rsidR="00443EC1" w:rsidTr="00443EC1">
        <w:tblPrEx>
          <w:tblCellMar>
            <w:top w:w="0" w:type="dxa"/>
            <w:bottom w:w="0" w:type="dxa"/>
          </w:tblCellMar>
        </w:tblPrEx>
        <w:trPr>
          <w:jc w:val="center"/>
        </w:trPr>
        <w:tc>
          <w:tcPr>
            <w:tcW w:w="3342" w:type="dxa"/>
          </w:tcPr>
          <w:p w:rsidR="00443EC1" w:rsidRDefault="00443EC1">
            <w:pPr>
              <w:tabs>
                <w:tab w:val="left" w:pos="894"/>
              </w:tabs>
              <w:spacing w:before="0" w:after="0" w:line="320" w:lineRule="exact"/>
              <w:jc w:val="center"/>
              <w:rPr>
                <w:rFonts w:hint="cs"/>
                <w:spacing w:val="0"/>
                <w:sz w:val="32"/>
                <w:szCs w:val="28"/>
              </w:rPr>
            </w:pPr>
            <w:r>
              <w:rPr>
                <w:rFonts w:hint="cs"/>
                <w:spacing w:val="0"/>
                <w:sz w:val="32"/>
                <w:szCs w:val="28"/>
                <w:rtl/>
              </w:rPr>
              <w:t>العام</w:t>
            </w:r>
          </w:p>
        </w:tc>
        <w:tc>
          <w:tcPr>
            <w:tcW w:w="1440" w:type="dxa"/>
          </w:tcPr>
          <w:p w:rsidR="00443EC1" w:rsidRDefault="00443EC1">
            <w:pPr>
              <w:tabs>
                <w:tab w:val="left" w:pos="894"/>
              </w:tabs>
              <w:spacing w:before="0" w:after="0" w:line="320" w:lineRule="exact"/>
              <w:jc w:val="center"/>
              <w:rPr>
                <w:rFonts w:hint="cs"/>
                <w:spacing w:val="0"/>
                <w:sz w:val="32"/>
                <w:szCs w:val="28"/>
              </w:rPr>
            </w:pPr>
            <w:r>
              <w:rPr>
                <w:rFonts w:hint="cs"/>
                <w:spacing w:val="0"/>
                <w:sz w:val="32"/>
                <w:szCs w:val="28"/>
                <w:rtl/>
              </w:rPr>
              <w:t>1999</w:t>
            </w:r>
          </w:p>
        </w:tc>
        <w:tc>
          <w:tcPr>
            <w:tcW w:w="1620" w:type="dxa"/>
          </w:tcPr>
          <w:p w:rsidR="00443EC1" w:rsidRDefault="00443EC1">
            <w:pPr>
              <w:tabs>
                <w:tab w:val="left" w:pos="894"/>
              </w:tabs>
              <w:spacing w:before="0" w:after="0" w:line="320" w:lineRule="exact"/>
              <w:jc w:val="center"/>
              <w:rPr>
                <w:rFonts w:hint="cs"/>
                <w:spacing w:val="0"/>
                <w:sz w:val="32"/>
                <w:szCs w:val="28"/>
              </w:rPr>
            </w:pPr>
            <w:r>
              <w:rPr>
                <w:rFonts w:hint="cs"/>
                <w:spacing w:val="0"/>
                <w:sz w:val="32"/>
                <w:szCs w:val="28"/>
                <w:rtl/>
              </w:rPr>
              <w:t>2000</w:t>
            </w:r>
          </w:p>
        </w:tc>
        <w:tc>
          <w:tcPr>
            <w:tcW w:w="1620" w:type="dxa"/>
          </w:tcPr>
          <w:p w:rsidR="00443EC1" w:rsidRDefault="00443EC1">
            <w:pPr>
              <w:tabs>
                <w:tab w:val="left" w:pos="894"/>
              </w:tabs>
              <w:spacing w:before="0" w:after="0" w:line="320" w:lineRule="exact"/>
              <w:jc w:val="center"/>
              <w:rPr>
                <w:rFonts w:hint="cs"/>
                <w:spacing w:val="0"/>
                <w:sz w:val="32"/>
                <w:szCs w:val="28"/>
              </w:rPr>
            </w:pPr>
            <w:r>
              <w:rPr>
                <w:rFonts w:hint="cs"/>
                <w:spacing w:val="0"/>
                <w:sz w:val="32"/>
                <w:szCs w:val="28"/>
                <w:rtl/>
              </w:rPr>
              <w:t>2001</w:t>
            </w:r>
          </w:p>
        </w:tc>
        <w:tc>
          <w:tcPr>
            <w:tcW w:w="1440" w:type="dxa"/>
          </w:tcPr>
          <w:p w:rsidR="00443EC1" w:rsidRDefault="00443EC1">
            <w:pPr>
              <w:tabs>
                <w:tab w:val="left" w:pos="894"/>
              </w:tabs>
              <w:spacing w:before="0" w:after="0" w:line="320" w:lineRule="exact"/>
              <w:jc w:val="center"/>
              <w:rPr>
                <w:rFonts w:hint="cs"/>
                <w:spacing w:val="0"/>
                <w:sz w:val="32"/>
                <w:szCs w:val="28"/>
              </w:rPr>
            </w:pPr>
            <w:r>
              <w:rPr>
                <w:rFonts w:hint="cs"/>
                <w:spacing w:val="0"/>
                <w:sz w:val="32"/>
                <w:szCs w:val="28"/>
                <w:rtl/>
              </w:rPr>
              <w:t>2002</w:t>
            </w:r>
          </w:p>
        </w:tc>
      </w:tr>
      <w:tr w:rsidR="00443EC1" w:rsidTr="00443EC1">
        <w:tblPrEx>
          <w:tblCellMar>
            <w:top w:w="0" w:type="dxa"/>
            <w:bottom w:w="0" w:type="dxa"/>
          </w:tblCellMar>
        </w:tblPrEx>
        <w:trPr>
          <w:jc w:val="center"/>
        </w:trPr>
        <w:tc>
          <w:tcPr>
            <w:tcW w:w="3342" w:type="dxa"/>
          </w:tcPr>
          <w:p w:rsidR="00443EC1" w:rsidRDefault="00443EC1">
            <w:pPr>
              <w:tabs>
                <w:tab w:val="left" w:pos="894"/>
              </w:tabs>
              <w:spacing w:before="0" w:after="0" w:line="320" w:lineRule="exact"/>
              <w:jc w:val="both"/>
              <w:rPr>
                <w:rFonts w:hint="cs"/>
                <w:spacing w:val="0"/>
                <w:sz w:val="32"/>
                <w:szCs w:val="28"/>
              </w:rPr>
            </w:pPr>
            <w:r>
              <w:rPr>
                <w:rFonts w:hint="cs"/>
                <w:spacing w:val="0"/>
                <w:sz w:val="32"/>
                <w:szCs w:val="28"/>
                <w:rtl/>
              </w:rPr>
              <w:t>نفقات التعليم</w:t>
            </w:r>
          </w:p>
        </w:tc>
        <w:tc>
          <w:tcPr>
            <w:tcW w:w="1440" w:type="dxa"/>
          </w:tcPr>
          <w:p w:rsidR="00443EC1" w:rsidRDefault="00443EC1">
            <w:pPr>
              <w:tabs>
                <w:tab w:val="left" w:pos="894"/>
              </w:tabs>
              <w:spacing w:before="0" w:after="0" w:line="320" w:lineRule="exact"/>
              <w:jc w:val="both"/>
              <w:rPr>
                <w:rFonts w:hint="cs"/>
                <w:spacing w:val="0"/>
                <w:sz w:val="32"/>
                <w:szCs w:val="28"/>
              </w:rPr>
            </w:pPr>
            <w:r>
              <w:rPr>
                <w:rFonts w:hint="cs"/>
                <w:spacing w:val="0"/>
                <w:sz w:val="32"/>
                <w:szCs w:val="28"/>
                <w:rtl/>
              </w:rPr>
              <w:t>461 210 1</w:t>
            </w:r>
          </w:p>
        </w:tc>
        <w:tc>
          <w:tcPr>
            <w:tcW w:w="1620" w:type="dxa"/>
          </w:tcPr>
          <w:p w:rsidR="00443EC1" w:rsidRDefault="00443EC1">
            <w:pPr>
              <w:tabs>
                <w:tab w:val="left" w:pos="894"/>
              </w:tabs>
              <w:spacing w:before="0" w:after="0" w:line="320" w:lineRule="exact"/>
              <w:jc w:val="both"/>
              <w:rPr>
                <w:rFonts w:hint="cs"/>
                <w:spacing w:val="0"/>
                <w:sz w:val="32"/>
                <w:szCs w:val="28"/>
              </w:rPr>
            </w:pPr>
            <w:r>
              <w:rPr>
                <w:rFonts w:hint="cs"/>
                <w:spacing w:val="0"/>
                <w:sz w:val="32"/>
                <w:szCs w:val="28"/>
                <w:rtl/>
              </w:rPr>
              <w:t>878 317 1</w:t>
            </w:r>
          </w:p>
        </w:tc>
        <w:tc>
          <w:tcPr>
            <w:tcW w:w="1620" w:type="dxa"/>
          </w:tcPr>
          <w:p w:rsidR="00443EC1" w:rsidRDefault="00443EC1">
            <w:pPr>
              <w:tabs>
                <w:tab w:val="left" w:pos="894"/>
              </w:tabs>
              <w:spacing w:before="0" w:after="0" w:line="320" w:lineRule="exact"/>
              <w:jc w:val="both"/>
              <w:rPr>
                <w:rFonts w:hint="cs"/>
                <w:spacing w:val="0"/>
                <w:sz w:val="32"/>
                <w:szCs w:val="28"/>
              </w:rPr>
            </w:pPr>
            <w:r>
              <w:rPr>
                <w:rFonts w:hint="cs"/>
                <w:spacing w:val="0"/>
                <w:sz w:val="32"/>
                <w:szCs w:val="28"/>
                <w:rtl/>
              </w:rPr>
              <w:t>563 426 1</w:t>
            </w:r>
          </w:p>
        </w:tc>
        <w:tc>
          <w:tcPr>
            <w:tcW w:w="1440" w:type="dxa"/>
          </w:tcPr>
          <w:p w:rsidR="00443EC1" w:rsidRDefault="00443EC1">
            <w:pPr>
              <w:tabs>
                <w:tab w:val="left" w:pos="894"/>
              </w:tabs>
              <w:spacing w:before="0" w:after="0" w:line="320" w:lineRule="exact"/>
              <w:jc w:val="both"/>
              <w:rPr>
                <w:rFonts w:hint="cs"/>
                <w:spacing w:val="0"/>
                <w:sz w:val="32"/>
                <w:szCs w:val="28"/>
              </w:rPr>
            </w:pPr>
            <w:r>
              <w:rPr>
                <w:rFonts w:hint="cs"/>
                <w:spacing w:val="0"/>
                <w:sz w:val="32"/>
                <w:szCs w:val="28"/>
                <w:rtl/>
              </w:rPr>
              <w:t>189 289 1</w:t>
            </w:r>
          </w:p>
        </w:tc>
      </w:tr>
      <w:tr w:rsidR="00443EC1" w:rsidTr="00443EC1">
        <w:tblPrEx>
          <w:tblCellMar>
            <w:top w:w="0" w:type="dxa"/>
            <w:bottom w:w="0" w:type="dxa"/>
          </w:tblCellMar>
        </w:tblPrEx>
        <w:trPr>
          <w:jc w:val="center"/>
        </w:trPr>
        <w:tc>
          <w:tcPr>
            <w:tcW w:w="3342" w:type="dxa"/>
          </w:tcPr>
          <w:p w:rsidR="00443EC1" w:rsidRDefault="00443EC1">
            <w:pPr>
              <w:tabs>
                <w:tab w:val="left" w:pos="894"/>
              </w:tabs>
              <w:spacing w:before="0" w:after="0" w:line="320" w:lineRule="exact"/>
              <w:jc w:val="both"/>
              <w:rPr>
                <w:rFonts w:hint="cs"/>
                <w:spacing w:val="0"/>
                <w:sz w:val="32"/>
                <w:szCs w:val="28"/>
              </w:rPr>
            </w:pPr>
            <w:r>
              <w:rPr>
                <w:rFonts w:hint="cs"/>
                <w:spacing w:val="0"/>
                <w:sz w:val="32"/>
                <w:szCs w:val="28"/>
                <w:rtl/>
              </w:rPr>
              <w:t>حصتها من ميزانية مقاطعة ماكاو</w:t>
            </w:r>
          </w:p>
        </w:tc>
        <w:tc>
          <w:tcPr>
            <w:tcW w:w="1440" w:type="dxa"/>
          </w:tcPr>
          <w:p w:rsidR="00443EC1" w:rsidRDefault="00443EC1">
            <w:pPr>
              <w:tabs>
                <w:tab w:val="left" w:pos="894"/>
              </w:tabs>
              <w:spacing w:before="0" w:after="0" w:line="320" w:lineRule="exact"/>
              <w:jc w:val="both"/>
              <w:rPr>
                <w:rFonts w:hint="cs"/>
                <w:spacing w:val="0"/>
                <w:sz w:val="32"/>
                <w:szCs w:val="28"/>
              </w:rPr>
            </w:pPr>
            <w:r>
              <w:rPr>
                <w:rFonts w:hint="cs"/>
                <w:spacing w:val="0"/>
                <w:sz w:val="32"/>
                <w:szCs w:val="28"/>
                <w:rtl/>
              </w:rPr>
              <w:t>12.35</w:t>
            </w:r>
            <w:r>
              <w:rPr>
                <w:rFonts w:cs="Mudir MT" w:hint="cs"/>
                <w:spacing w:val="0"/>
                <w:sz w:val="24"/>
                <w:szCs w:val="24"/>
                <w:rtl/>
                <w:lang w:eastAsia="en-US"/>
              </w:rPr>
              <w:t>%</w:t>
            </w:r>
          </w:p>
        </w:tc>
        <w:tc>
          <w:tcPr>
            <w:tcW w:w="1620" w:type="dxa"/>
          </w:tcPr>
          <w:p w:rsidR="00443EC1" w:rsidRDefault="00443EC1">
            <w:pPr>
              <w:tabs>
                <w:tab w:val="left" w:pos="894"/>
              </w:tabs>
              <w:spacing w:before="0" w:after="0" w:line="320" w:lineRule="exact"/>
              <w:jc w:val="both"/>
              <w:rPr>
                <w:rFonts w:hint="cs"/>
                <w:spacing w:val="0"/>
                <w:sz w:val="32"/>
                <w:szCs w:val="28"/>
              </w:rPr>
            </w:pPr>
            <w:r>
              <w:rPr>
                <w:rFonts w:hint="cs"/>
                <w:spacing w:val="0"/>
                <w:sz w:val="32"/>
                <w:szCs w:val="28"/>
                <w:rtl/>
              </w:rPr>
              <w:t>15.4</w:t>
            </w:r>
            <w:r>
              <w:rPr>
                <w:rFonts w:cs="Mudir MT" w:hint="cs"/>
                <w:spacing w:val="0"/>
                <w:sz w:val="24"/>
                <w:szCs w:val="24"/>
                <w:rtl/>
                <w:lang w:eastAsia="en-US"/>
              </w:rPr>
              <w:t>%</w:t>
            </w:r>
          </w:p>
        </w:tc>
        <w:tc>
          <w:tcPr>
            <w:tcW w:w="1620" w:type="dxa"/>
          </w:tcPr>
          <w:p w:rsidR="00443EC1" w:rsidRDefault="00443EC1">
            <w:pPr>
              <w:tabs>
                <w:tab w:val="left" w:pos="894"/>
              </w:tabs>
              <w:spacing w:before="0" w:after="0" w:line="320" w:lineRule="exact"/>
              <w:jc w:val="both"/>
              <w:rPr>
                <w:rFonts w:hint="cs"/>
                <w:spacing w:val="0"/>
                <w:sz w:val="32"/>
                <w:szCs w:val="28"/>
              </w:rPr>
            </w:pPr>
            <w:r>
              <w:rPr>
                <w:rFonts w:hint="cs"/>
                <w:spacing w:val="0"/>
                <w:sz w:val="32"/>
                <w:szCs w:val="28"/>
                <w:rtl/>
              </w:rPr>
              <w:t>15.19</w:t>
            </w:r>
            <w:r>
              <w:rPr>
                <w:rFonts w:cs="Mudir MT" w:hint="cs"/>
                <w:spacing w:val="0"/>
                <w:sz w:val="24"/>
                <w:szCs w:val="24"/>
                <w:rtl/>
                <w:lang w:eastAsia="en-US"/>
              </w:rPr>
              <w:t>%</w:t>
            </w:r>
          </w:p>
        </w:tc>
        <w:tc>
          <w:tcPr>
            <w:tcW w:w="1440" w:type="dxa"/>
          </w:tcPr>
          <w:p w:rsidR="00443EC1" w:rsidRDefault="00443EC1">
            <w:pPr>
              <w:tabs>
                <w:tab w:val="left" w:pos="894"/>
              </w:tabs>
              <w:spacing w:before="0" w:after="0" w:line="320" w:lineRule="exact"/>
              <w:jc w:val="both"/>
              <w:rPr>
                <w:rFonts w:hint="cs"/>
                <w:spacing w:val="0"/>
                <w:sz w:val="32"/>
                <w:szCs w:val="28"/>
              </w:rPr>
            </w:pPr>
            <w:r>
              <w:rPr>
                <w:rFonts w:hint="cs"/>
                <w:spacing w:val="0"/>
                <w:sz w:val="32"/>
                <w:szCs w:val="28"/>
                <w:rtl/>
              </w:rPr>
              <w:t>13.5</w:t>
            </w:r>
            <w:r>
              <w:rPr>
                <w:rFonts w:cs="Mudir MT" w:hint="cs"/>
                <w:spacing w:val="0"/>
                <w:sz w:val="24"/>
                <w:szCs w:val="24"/>
                <w:rtl/>
                <w:lang w:eastAsia="en-US"/>
              </w:rPr>
              <w:t>%</w:t>
            </w:r>
          </w:p>
        </w:tc>
      </w:tr>
    </w:tbl>
    <w:p w:rsidR="00000000" w:rsidRDefault="00443EC1">
      <w:pPr>
        <w:spacing w:line="380" w:lineRule="exact"/>
        <w:jc w:val="both"/>
        <w:rPr>
          <w:rFonts w:hint="cs"/>
          <w:spacing w:val="0"/>
          <w:sz w:val="32"/>
          <w:rtl/>
        </w:rPr>
      </w:pPr>
      <w:r>
        <w:rPr>
          <w:rFonts w:hint="cs"/>
          <w:spacing w:val="0"/>
          <w:sz w:val="32"/>
          <w:rtl/>
        </w:rPr>
        <w:tab/>
      </w:r>
      <w:r>
        <w:rPr>
          <w:rFonts w:hint="cs"/>
          <w:i/>
          <w:iCs/>
          <w:spacing w:val="0"/>
          <w:sz w:val="32"/>
          <w:rtl/>
        </w:rPr>
        <w:t>المصدر</w:t>
      </w:r>
      <w:r>
        <w:rPr>
          <w:rFonts w:hint="cs"/>
          <w:spacing w:val="0"/>
          <w:sz w:val="32"/>
          <w:rtl/>
        </w:rPr>
        <w:t>:</w:t>
      </w:r>
      <w:r>
        <w:rPr>
          <w:rFonts w:hint="cs"/>
          <w:spacing w:val="0"/>
          <w:sz w:val="32"/>
          <w:rtl/>
        </w:rPr>
        <w:tab/>
        <w:t>وزارة المالية،</w:t>
      </w:r>
      <w:r>
        <w:rPr>
          <w:rFonts w:hint="cs"/>
          <w:spacing w:val="0"/>
          <w:sz w:val="32"/>
          <w:rtl/>
        </w:rPr>
        <w:t xml:space="preserve"> 2003.</w:t>
      </w:r>
    </w:p>
    <w:p w:rsidR="00000000" w:rsidRDefault="00443EC1">
      <w:pPr>
        <w:spacing w:line="380" w:lineRule="exact"/>
        <w:jc w:val="both"/>
        <w:rPr>
          <w:rFonts w:hint="cs"/>
          <w:spacing w:val="0"/>
          <w:sz w:val="32"/>
          <w:rtl/>
        </w:rPr>
      </w:pPr>
    </w:p>
    <w:p w:rsidR="00000000" w:rsidRDefault="00443EC1">
      <w:pPr>
        <w:tabs>
          <w:tab w:val="left" w:pos="894"/>
        </w:tabs>
        <w:spacing w:line="380" w:lineRule="exact"/>
        <w:jc w:val="center"/>
        <w:rPr>
          <w:rFonts w:hint="cs"/>
          <w:b/>
          <w:bCs/>
          <w:spacing w:val="0"/>
          <w:sz w:val="32"/>
          <w:rtl/>
        </w:rPr>
      </w:pPr>
      <w:r>
        <w:rPr>
          <w:rFonts w:hint="cs"/>
          <w:b/>
          <w:bCs/>
          <w:spacing w:val="0"/>
          <w:sz w:val="32"/>
          <w:rtl/>
        </w:rPr>
        <w:t>دال - تشجيع التعليم</w:t>
      </w:r>
    </w:p>
    <w:p w:rsidR="00000000" w:rsidRDefault="00443EC1">
      <w:pPr>
        <w:tabs>
          <w:tab w:val="left" w:pos="894"/>
        </w:tabs>
        <w:spacing w:line="380" w:lineRule="exact"/>
        <w:jc w:val="both"/>
        <w:rPr>
          <w:rFonts w:hint="cs"/>
          <w:spacing w:val="0"/>
          <w:sz w:val="32"/>
          <w:rtl/>
        </w:rPr>
      </w:pPr>
      <w:r>
        <w:rPr>
          <w:rFonts w:hint="cs"/>
          <w:spacing w:val="0"/>
          <w:sz w:val="32"/>
          <w:rtl/>
        </w:rPr>
        <w:t>1113-</w:t>
      </w:r>
      <w:r>
        <w:rPr>
          <w:rFonts w:hint="cs"/>
          <w:spacing w:val="0"/>
          <w:sz w:val="32"/>
          <w:rtl/>
        </w:rPr>
        <w:tab/>
        <w:t>بغية ضمان التمتع الكامل بالحق في التعليم لجميع التلاميذ في مقاطعة ماكاو الإدارية الخاصة، بمن فيهم البنات الصغار والأطفال المنتمون للمجموعات ذات الدخل المنخفض والأطفال المعاقون بدنيا أو عقليا وأطفال المهاجرين والأطفال المنت</w:t>
      </w:r>
      <w:r>
        <w:rPr>
          <w:rFonts w:hint="cs"/>
          <w:spacing w:val="0"/>
          <w:sz w:val="32"/>
          <w:rtl/>
        </w:rPr>
        <w:t>مون إلى أقليات لغوية أو عرقية أو دينية أو غير ذلك من الأقليات، شُرع في تنفيذ عدد من التدابير بما فيها، على سبيل المثال، خلق مقاعد مدرسية أخرى وتوفير المساعدة المالية للتلاميذ/الأسر المعوزة والدعم لإدماج القادمين الجدد (لا سيما المهاجرين) اجتماعيا ولتعليمهم</w:t>
      </w:r>
      <w:r>
        <w:rPr>
          <w:rFonts w:hint="cs"/>
          <w:spacing w:val="0"/>
          <w:sz w:val="32"/>
          <w:rtl/>
        </w:rPr>
        <w:t xml:space="preserve"> وتعزيز التدريب المستمر للمدرسين لمعالجة مختلف الاحتياجات والخلفيات الثقافية.</w:t>
      </w:r>
    </w:p>
    <w:p w:rsidR="00000000" w:rsidRDefault="00443EC1">
      <w:pPr>
        <w:tabs>
          <w:tab w:val="left" w:pos="894"/>
        </w:tabs>
        <w:spacing w:line="380" w:lineRule="exact"/>
        <w:jc w:val="both"/>
        <w:rPr>
          <w:rFonts w:hint="cs"/>
          <w:spacing w:val="0"/>
          <w:sz w:val="32"/>
          <w:rtl/>
        </w:rPr>
      </w:pPr>
      <w:r>
        <w:rPr>
          <w:rFonts w:hint="cs"/>
          <w:spacing w:val="0"/>
          <w:sz w:val="32"/>
          <w:rtl/>
        </w:rPr>
        <w:t>1114-</w:t>
      </w:r>
      <w:r>
        <w:rPr>
          <w:spacing w:val="0"/>
          <w:sz w:val="32"/>
          <w:rtl/>
        </w:rPr>
        <w:tab/>
      </w:r>
      <w:r>
        <w:rPr>
          <w:rFonts w:hint="cs"/>
          <w:spacing w:val="0"/>
          <w:sz w:val="32"/>
          <w:rtl/>
        </w:rPr>
        <w:t>بعض الأطفال المهاجرين، وأغلبهم من الصين القارية، يجدون صعوبات في التكيف مع ظروف العيش والدراسة في مقاطعة ماكاو الإدارية الخاصة. لذا فإن وزارة التعليم وشؤون الشباب تنظم أنشط</w:t>
      </w:r>
      <w:r>
        <w:rPr>
          <w:rFonts w:hint="cs"/>
          <w:spacing w:val="0"/>
          <w:sz w:val="32"/>
          <w:rtl/>
        </w:rPr>
        <w:t>ة مختلفة للتعرف على الثقافة المحلية ودروسا لتعلم الحروف الأبجدية الصينية التقليدية ولتدريس اللغتين الكنتونية والإنكليزية للأطفال المهاجرين من أجل إدماجهم على نحو أفضل في المدارس المحلية.</w:t>
      </w:r>
    </w:p>
    <w:p w:rsidR="00000000" w:rsidRDefault="00443EC1">
      <w:pPr>
        <w:tabs>
          <w:tab w:val="left" w:pos="894"/>
        </w:tabs>
        <w:spacing w:line="380" w:lineRule="exact"/>
        <w:jc w:val="both"/>
        <w:rPr>
          <w:rFonts w:hint="cs"/>
          <w:spacing w:val="0"/>
          <w:sz w:val="32"/>
          <w:rtl/>
        </w:rPr>
      </w:pPr>
      <w:r>
        <w:rPr>
          <w:rFonts w:hint="cs"/>
          <w:spacing w:val="0"/>
          <w:sz w:val="32"/>
          <w:rtl/>
        </w:rPr>
        <w:t>1115-</w:t>
      </w:r>
      <w:r>
        <w:rPr>
          <w:spacing w:val="0"/>
          <w:sz w:val="32"/>
          <w:rtl/>
        </w:rPr>
        <w:tab/>
      </w:r>
      <w:r>
        <w:rPr>
          <w:rFonts w:hint="cs"/>
          <w:spacing w:val="0"/>
          <w:sz w:val="32"/>
          <w:rtl/>
        </w:rPr>
        <w:t>و</w:t>
      </w:r>
      <w:r>
        <w:rPr>
          <w:spacing w:val="0"/>
          <w:sz w:val="32"/>
          <w:rtl/>
        </w:rPr>
        <w:t xml:space="preserve">ينبغي الإشارة إلى أن الحروف الأبجدية المبسطة </w:t>
      </w:r>
      <w:r>
        <w:rPr>
          <w:rFonts w:hint="cs"/>
          <w:spacing w:val="0"/>
          <w:sz w:val="32"/>
          <w:rtl/>
        </w:rPr>
        <w:t>تُ</w:t>
      </w:r>
      <w:r>
        <w:rPr>
          <w:spacing w:val="0"/>
          <w:sz w:val="32"/>
          <w:rtl/>
        </w:rPr>
        <w:t>ست</w:t>
      </w:r>
      <w:r>
        <w:rPr>
          <w:rFonts w:hint="cs"/>
          <w:spacing w:val="0"/>
          <w:sz w:val="32"/>
          <w:rtl/>
        </w:rPr>
        <w:t>خدم</w:t>
      </w:r>
      <w:r>
        <w:rPr>
          <w:spacing w:val="0"/>
          <w:sz w:val="32"/>
          <w:rtl/>
        </w:rPr>
        <w:t xml:space="preserve"> في الصين </w:t>
      </w:r>
      <w:r>
        <w:rPr>
          <w:spacing w:val="0"/>
          <w:sz w:val="32"/>
          <w:rtl/>
        </w:rPr>
        <w:t xml:space="preserve">القارية </w:t>
      </w:r>
      <w:r>
        <w:rPr>
          <w:rFonts w:hint="cs"/>
          <w:spacing w:val="0"/>
          <w:sz w:val="32"/>
          <w:rtl/>
        </w:rPr>
        <w:t>التي تعد الماندرين لغة التعليم فيها بينما الكنتونية هي لغة التعليم في مقاطعة ماكاو الإدارية الخاصة.</w:t>
      </w:r>
    </w:p>
    <w:p w:rsidR="00000000" w:rsidRDefault="00443EC1">
      <w:pPr>
        <w:tabs>
          <w:tab w:val="left" w:pos="894"/>
        </w:tabs>
        <w:spacing w:line="380" w:lineRule="exact"/>
        <w:jc w:val="both"/>
        <w:rPr>
          <w:rFonts w:hint="cs"/>
          <w:spacing w:val="0"/>
          <w:sz w:val="32"/>
          <w:rtl/>
        </w:rPr>
      </w:pPr>
      <w:r>
        <w:rPr>
          <w:rFonts w:hint="cs"/>
          <w:spacing w:val="0"/>
          <w:sz w:val="32"/>
          <w:rtl/>
        </w:rPr>
        <w:t>1116-</w:t>
      </w:r>
      <w:r>
        <w:rPr>
          <w:spacing w:val="0"/>
          <w:sz w:val="32"/>
          <w:rtl/>
        </w:rPr>
        <w:tab/>
      </w:r>
      <w:r>
        <w:rPr>
          <w:rFonts w:hint="cs"/>
          <w:spacing w:val="0"/>
          <w:sz w:val="32"/>
          <w:rtl/>
        </w:rPr>
        <w:t>كما تنشأ عن الهجرة إلى الخارج صعوبات في تحديد مكان التلاميذ المتسربين من نظام التعليم وفي تقديم المساعدة لهم.</w:t>
      </w:r>
    </w:p>
    <w:p w:rsidR="00000000" w:rsidRDefault="00443EC1">
      <w:pPr>
        <w:tabs>
          <w:tab w:val="left" w:pos="894"/>
        </w:tabs>
        <w:spacing w:line="380" w:lineRule="exact"/>
        <w:jc w:val="both"/>
        <w:rPr>
          <w:rFonts w:hint="cs"/>
          <w:spacing w:val="0"/>
          <w:sz w:val="32"/>
          <w:rtl/>
        </w:rPr>
      </w:pPr>
      <w:r>
        <w:rPr>
          <w:rFonts w:hint="cs"/>
          <w:spacing w:val="0"/>
          <w:sz w:val="32"/>
          <w:rtl/>
        </w:rPr>
        <w:t>1117-</w:t>
      </w:r>
      <w:r>
        <w:rPr>
          <w:spacing w:val="0"/>
          <w:sz w:val="32"/>
          <w:rtl/>
        </w:rPr>
        <w:tab/>
      </w:r>
      <w:r>
        <w:rPr>
          <w:rFonts w:hint="cs"/>
          <w:spacing w:val="0"/>
          <w:sz w:val="32"/>
          <w:rtl/>
        </w:rPr>
        <w:t>و</w:t>
      </w:r>
      <w:r>
        <w:rPr>
          <w:spacing w:val="0"/>
          <w:sz w:val="32"/>
          <w:rtl/>
        </w:rPr>
        <w:t xml:space="preserve">لقد </w:t>
      </w:r>
      <w:r>
        <w:rPr>
          <w:rFonts w:hint="cs"/>
          <w:spacing w:val="0"/>
          <w:sz w:val="32"/>
          <w:rtl/>
        </w:rPr>
        <w:t>بلورت وزارة التعليم و</w:t>
      </w:r>
      <w:r>
        <w:rPr>
          <w:rFonts w:hint="cs"/>
          <w:spacing w:val="0"/>
          <w:sz w:val="32"/>
          <w:rtl/>
        </w:rPr>
        <w:t>شؤون الشباب كذلك آلية خاصة يراد منها مساعدة التلاميذ المتسربين على البحث عن مدارس أخرى وأماكن إقامة جديدة. وقد نجحت الوزارة في مساعدة ما يزيد على 600 1 شخص ما بين عامي 2000 و2002.</w:t>
      </w:r>
    </w:p>
    <w:p w:rsidR="00000000" w:rsidRDefault="00443EC1">
      <w:pPr>
        <w:tabs>
          <w:tab w:val="left" w:pos="894"/>
        </w:tabs>
        <w:spacing w:line="380" w:lineRule="exact"/>
        <w:jc w:val="both"/>
        <w:rPr>
          <w:rFonts w:hint="cs"/>
          <w:spacing w:val="0"/>
          <w:sz w:val="32"/>
          <w:rtl/>
        </w:rPr>
      </w:pPr>
      <w:r>
        <w:rPr>
          <w:rFonts w:hint="cs"/>
          <w:spacing w:val="0"/>
          <w:sz w:val="32"/>
          <w:rtl/>
        </w:rPr>
        <w:t>1118-</w:t>
      </w:r>
      <w:r>
        <w:rPr>
          <w:spacing w:val="0"/>
          <w:sz w:val="32"/>
          <w:rtl/>
        </w:rPr>
        <w:tab/>
      </w:r>
      <w:r>
        <w:rPr>
          <w:rFonts w:hint="cs"/>
          <w:spacing w:val="0"/>
          <w:sz w:val="32"/>
          <w:rtl/>
        </w:rPr>
        <w:t>ي</w:t>
      </w:r>
      <w:r>
        <w:rPr>
          <w:spacing w:val="0"/>
          <w:sz w:val="32"/>
          <w:rtl/>
        </w:rPr>
        <w:t>نصب  القسط الأكبر من جهود حكومة</w:t>
      </w:r>
      <w:r>
        <w:rPr>
          <w:spacing w:val="0"/>
          <w:sz w:val="32"/>
        </w:rPr>
        <w:t xml:space="preserve"> </w:t>
      </w:r>
      <w:r>
        <w:rPr>
          <w:rFonts w:hint="eastAsia"/>
          <w:spacing w:val="0"/>
          <w:sz w:val="32"/>
          <w:rtl/>
        </w:rPr>
        <w:t>مقاطعة ماكاو</w:t>
      </w:r>
      <w:r>
        <w:rPr>
          <w:spacing w:val="0"/>
          <w:sz w:val="32"/>
          <w:rtl/>
        </w:rPr>
        <w:t xml:space="preserve"> الإدارية الخاصة</w:t>
      </w:r>
      <w:r>
        <w:rPr>
          <w:rFonts w:hint="cs"/>
          <w:spacing w:val="0"/>
          <w:sz w:val="32"/>
          <w:rtl/>
        </w:rPr>
        <w:t xml:space="preserve"> على تحسي</w:t>
      </w:r>
      <w:r>
        <w:rPr>
          <w:rFonts w:hint="cs"/>
          <w:spacing w:val="0"/>
          <w:sz w:val="32"/>
          <w:rtl/>
        </w:rPr>
        <w:t>ن أداء المدارس والتلاميذ وزيادة تيسير الوصول إلى المدارس وتحقيق أداء أكاديمي مُرضٍ.</w:t>
      </w:r>
    </w:p>
    <w:p w:rsidR="00000000" w:rsidRDefault="00443EC1">
      <w:pPr>
        <w:tabs>
          <w:tab w:val="left" w:pos="894"/>
        </w:tabs>
        <w:spacing w:line="380" w:lineRule="exact"/>
        <w:jc w:val="center"/>
        <w:rPr>
          <w:rFonts w:hint="cs"/>
          <w:b/>
          <w:bCs/>
          <w:spacing w:val="0"/>
          <w:sz w:val="32"/>
          <w:rtl/>
        </w:rPr>
      </w:pPr>
      <w:r>
        <w:rPr>
          <w:rFonts w:hint="cs"/>
          <w:b/>
          <w:bCs/>
          <w:spacing w:val="0"/>
          <w:sz w:val="32"/>
          <w:rtl/>
        </w:rPr>
        <w:t>هاء - الرسوم المدرسية والمساعدة المالية للتلاميذ</w:t>
      </w:r>
    </w:p>
    <w:p w:rsidR="00000000" w:rsidRDefault="00443EC1">
      <w:pPr>
        <w:tabs>
          <w:tab w:val="left" w:pos="894"/>
        </w:tabs>
        <w:spacing w:line="380" w:lineRule="exact"/>
        <w:jc w:val="both"/>
        <w:rPr>
          <w:rFonts w:hint="cs"/>
          <w:spacing w:val="0"/>
          <w:sz w:val="32"/>
          <w:rtl/>
        </w:rPr>
      </w:pPr>
      <w:r>
        <w:rPr>
          <w:rFonts w:hint="cs"/>
          <w:spacing w:val="0"/>
          <w:sz w:val="32"/>
          <w:rtl/>
        </w:rPr>
        <w:t>1119-</w:t>
      </w:r>
      <w:r>
        <w:rPr>
          <w:spacing w:val="0"/>
          <w:sz w:val="32"/>
          <w:rtl/>
        </w:rPr>
        <w:tab/>
      </w:r>
      <w:r>
        <w:rPr>
          <w:rFonts w:hint="cs"/>
          <w:spacing w:val="0"/>
          <w:sz w:val="32"/>
          <w:rtl/>
        </w:rPr>
        <w:t xml:space="preserve">إن التعليم الأساسي إجباري ومتاح للجميع مجّاناً في المؤسسات التعليمية العامة كما في تلك التي تتلقى المعونات من حكومة </w:t>
      </w:r>
      <w:r>
        <w:rPr>
          <w:rFonts w:hint="eastAsia"/>
          <w:spacing w:val="0"/>
          <w:sz w:val="32"/>
          <w:rtl/>
        </w:rPr>
        <w:t>م</w:t>
      </w:r>
      <w:r>
        <w:rPr>
          <w:rFonts w:hint="eastAsia"/>
          <w:spacing w:val="0"/>
          <w:sz w:val="32"/>
          <w:rtl/>
        </w:rPr>
        <w:t>قاطعة ماكاو</w:t>
      </w:r>
      <w:r>
        <w:rPr>
          <w:spacing w:val="0"/>
          <w:sz w:val="32"/>
          <w:rtl/>
        </w:rPr>
        <w:t xml:space="preserve"> الإدارية الخاصة</w:t>
      </w:r>
      <w:r>
        <w:rPr>
          <w:rFonts w:hint="cs"/>
          <w:spacing w:val="0"/>
          <w:sz w:val="32"/>
          <w:rtl/>
        </w:rPr>
        <w:t xml:space="preserve">. وتغطي تلك المعونات الإعفاء من أداء الرسوم المدرسية أو غيرها من الرسوم المتعلقة بالتسجيل أو الحضور أو تسليم الشهادات ومنح معونات التعليم للتلاميذ في المدارس الخاصة التي لا تلقى معونات حكومية (المادة 6 من القانون 11/91/م والمادة </w:t>
      </w:r>
      <w:r>
        <w:rPr>
          <w:rFonts w:hint="cs"/>
          <w:spacing w:val="0"/>
          <w:sz w:val="32"/>
          <w:rtl/>
        </w:rPr>
        <w:t>1 من المرسوم بقانون 42/99/م).</w:t>
      </w:r>
    </w:p>
    <w:p w:rsidR="00000000" w:rsidRDefault="00443EC1">
      <w:pPr>
        <w:tabs>
          <w:tab w:val="left" w:pos="894"/>
        </w:tabs>
        <w:spacing w:line="380" w:lineRule="exact"/>
        <w:jc w:val="both"/>
        <w:rPr>
          <w:rFonts w:hint="cs"/>
          <w:spacing w:val="0"/>
          <w:sz w:val="32"/>
          <w:rtl/>
        </w:rPr>
      </w:pPr>
      <w:r>
        <w:rPr>
          <w:rFonts w:hint="cs"/>
          <w:spacing w:val="0"/>
          <w:sz w:val="32"/>
          <w:rtl/>
        </w:rPr>
        <w:t>1120-</w:t>
      </w:r>
      <w:r>
        <w:rPr>
          <w:spacing w:val="0"/>
          <w:sz w:val="32"/>
          <w:rtl/>
        </w:rPr>
        <w:tab/>
      </w:r>
      <w:r>
        <w:rPr>
          <w:rFonts w:hint="cs"/>
          <w:spacing w:val="0"/>
          <w:sz w:val="32"/>
          <w:rtl/>
        </w:rPr>
        <w:t xml:space="preserve">وتتحمل حكومة </w:t>
      </w:r>
      <w:r>
        <w:rPr>
          <w:rFonts w:hint="eastAsia"/>
          <w:spacing w:val="0"/>
          <w:sz w:val="32"/>
          <w:rtl/>
        </w:rPr>
        <w:t>مقاطعة ماكاو</w:t>
      </w:r>
      <w:r>
        <w:rPr>
          <w:spacing w:val="0"/>
          <w:sz w:val="32"/>
          <w:rtl/>
        </w:rPr>
        <w:t xml:space="preserve"> الإدارية الخاصة</w:t>
      </w:r>
      <w:r>
        <w:rPr>
          <w:rFonts w:hint="cs"/>
          <w:spacing w:val="0"/>
          <w:sz w:val="32"/>
          <w:rtl/>
        </w:rPr>
        <w:t xml:space="preserve"> مسؤولية تمويل المستويات الدراسية التي يشملها نظام التعليم المجاني ضمن شبكة التعليم العام. وتشمل هذه الشبكة المدارس العامة والخاصة التي توفر التعليم مجاناً بمقتضى اتفاق يربطها بسل</w:t>
      </w:r>
      <w:r>
        <w:rPr>
          <w:rFonts w:hint="cs"/>
          <w:spacing w:val="0"/>
          <w:sz w:val="32"/>
          <w:rtl/>
        </w:rPr>
        <w:t xml:space="preserve">طات التعليم (وزارة التعليم وشؤون الشباب). وبالتالي فإن سكان </w:t>
      </w:r>
      <w:r>
        <w:rPr>
          <w:rFonts w:hint="eastAsia"/>
          <w:spacing w:val="0"/>
          <w:sz w:val="32"/>
          <w:rtl/>
        </w:rPr>
        <w:t>مقاطعة ماكاو</w:t>
      </w:r>
      <w:r>
        <w:rPr>
          <w:spacing w:val="0"/>
          <w:sz w:val="32"/>
          <w:rtl/>
        </w:rPr>
        <w:t xml:space="preserve"> الإدارية الخاصة</w:t>
      </w:r>
      <w:r>
        <w:rPr>
          <w:rFonts w:hint="cs"/>
          <w:spacing w:val="0"/>
          <w:sz w:val="32"/>
          <w:rtl/>
        </w:rPr>
        <w:t xml:space="preserve"> يستفيدون من تخفيض الرسوم الدراسية بمعدل يتراوح ما بين 40 و85 في المائة ويختلف باختلاف المقررات الدراسية والمؤسسات.</w:t>
      </w:r>
    </w:p>
    <w:p w:rsidR="00000000" w:rsidRDefault="00443EC1">
      <w:pPr>
        <w:tabs>
          <w:tab w:val="left" w:pos="894"/>
        </w:tabs>
        <w:spacing w:line="380" w:lineRule="exact"/>
        <w:jc w:val="both"/>
        <w:rPr>
          <w:rFonts w:hint="cs"/>
          <w:spacing w:val="0"/>
          <w:sz w:val="32"/>
          <w:rtl/>
        </w:rPr>
      </w:pPr>
      <w:r>
        <w:rPr>
          <w:rFonts w:hint="cs"/>
          <w:spacing w:val="0"/>
          <w:sz w:val="32"/>
          <w:rtl/>
        </w:rPr>
        <w:t>1121-</w:t>
      </w:r>
      <w:r>
        <w:rPr>
          <w:spacing w:val="0"/>
          <w:sz w:val="32"/>
          <w:rtl/>
        </w:rPr>
        <w:tab/>
      </w:r>
      <w:r>
        <w:rPr>
          <w:rFonts w:hint="cs"/>
          <w:spacing w:val="0"/>
          <w:sz w:val="32"/>
          <w:rtl/>
        </w:rPr>
        <w:t xml:space="preserve">يحق للتلاميذ من أبناء الأسر ذات الدخل المنخفض </w:t>
      </w:r>
      <w:r>
        <w:rPr>
          <w:rFonts w:hint="cs"/>
          <w:spacing w:val="0"/>
          <w:sz w:val="32"/>
          <w:rtl/>
        </w:rPr>
        <w:t>المسجلين في المدارس الخاصة خارج شبكة المدارس العامة تلقي إعانة لتغطية الرسوم المدرسية. فبإمكانهم طلب الحصول على إعانة لشراء المواد الدراسية (من كتب وأدوات مدرسية وزي مدرسي وتجهيزات خاصة بالمعاقين، إلخ.) كما تُعطى المنح والقروض أيضا لطلبة التعليم العالي.</w:t>
      </w:r>
    </w:p>
    <w:p w:rsidR="00000000" w:rsidRDefault="00443EC1">
      <w:pPr>
        <w:tabs>
          <w:tab w:val="left" w:pos="894"/>
        </w:tabs>
        <w:spacing w:line="380" w:lineRule="exact"/>
        <w:jc w:val="both"/>
        <w:rPr>
          <w:rFonts w:hint="cs"/>
          <w:spacing w:val="0"/>
          <w:sz w:val="32"/>
          <w:rtl/>
        </w:rPr>
      </w:pPr>
      <w:r>
        <w:rPr>
          <w:rFonts w:hint="cs"/>
          <w:spacing w:val="0"/>
          <w:sz w:val="32"/>
          <w:rtl/>
        </w:rPr>
        <w:t>11</w:t>
      </w:r>
      <w:r>
        <w:rPr>
          <w:rFonts w:hint="cs"/>
          <w:spacing w:val="0"/>
          <w:sz w:val="32"/>
          <w:rtl/>
        </w:rPr>
        <w:t>22-</w:t>
      </w:r>
      <w:r>
        <w:rPr>
          <w:spacing w:val="0"/>
          <w:sz w:val="32"/>
          <w:rtl/>
        </w:rPr>
        <w:tab/>
      </w:r>
      <w:r>
        <w:rPr>
          <w:rFonts w:hint="cs"/>
          <w:spacing w:val="0"/>
          <w:sz w:val="32"/>
          <w:rtl/>
        </w:rPr>
        <w:t>بالنسبة للتعليم الابتدائي، قدمت حكومة مقاطعة</w:t>
      </w:r>
      <w:r>
        <w:rPr>
          <w:spacing w:val="0"/>
          <w:sz w:val="32"/>
          <w:rtl/>
        </w:rPr>
        <w:t xml:space="preserve"> </w:t>
      </w:r>
      <w:r>
        <w:rPr>
          <w:rFonts w:hint="cs"/>
          <w:spacing w:val="0"/>
          <w:sz w:val="32"/>
          <w:rtl/>
        </w:rPr>
        <w:t xml:space="preserve">ماكاو </w:t>
      </w:r>
      <w:r>
        <w:rPr>
          <w:spacing w:val="0"/>
          <w:sz w:val="32"/>
          <w:rtl/>
        </w:rPr>
        <w:t>الإدارية الخاصة</w:t>
      </w:r>
      <w:r>
        <w:rPr>
          <w:rFonts w:hint="cs"/>
          <w:spacing w:val="0"/>
          <w:sz w:val="32"/>
          <w:rtl/>
        </w:rPr>
        <w:t xml:space="preserve"> إعانات بقيمة 100 6 باتاكا لتغطية الرسوم المدرسية لتلاميذ ما قبل التعليم الابتدائي ولتلاميذ التعليم الابتدائي الذين يترددون على المدارس الخاصة خلال العام الدراسي 2002-2003. ويمكن للمدارس</w:t>
      </w:r>
      <w:r>
        <w:rPr>
          <w:rFonts w:hint="cs"/>
          <w:spacing w:val="0"/>
          <w:sz w:val="32"/>
          <w:rtl/>
        </w:rPr>
        <w:t xml:space="preserve"> الخاصة ضمن شبكة المدارس العامة أن تحصل على إعانات قد تبلغ 160 1 باتاكا عن كل تلميذ/في كل عام دراسي كرسوم خدمة إضافية (القانون الإداري 20/2002 الصادر في 9 أيلول/ سبتمبر).</w:t>
      </w:r>
    </w:p>
    <w:p w:rsidR="00000000" w:rsidRDefault="00443EC1">
      <w:pPr>
        <w:tabs>
          <w:tab w:val="left" w:pos="894"/>
        </w:tabs>
        <w:spacing w:line="380" w:lineRule="exact"/>
        <w:jc w:val="both"/>
        <w:rPr>
          <w:rFonts w:hint="cs"/>
          <w:spacing w:val="0"/>
          <w:sz w:val="32"/>
          <w:rtl/>
        </w:rPr>
      </w:pPr>
      <w:r>
        <w:rPr>
          <w:rFonts w:hint="cs"/>
          <w:spacing w:val="0"/>
          <w:sz w:val="32"/>
          <w:rtl/>
        </w:rPr>
        <w:t>1123-</w:t>
      </w:r>
      <w:r>
        <w:rPr>
          <w:spacing w:val="0"/>
          <w:sz w:val="32"/>
          <w:rtl/>
        </w:rPr>
        <w:tab/>
        <w:t xml:space="preserve">تفرض المدارس ما قبل الابتدائية والمدارس الابتدائية من خارج شبكة المدارس العامة </w:t>
      </w:r>
      <w:r>
        <w:rPr>
          <w:spacing w:val="0"/>
          <w:sz w:val="32"/>
          <w:rtl/>
        </w:rPr>
        <w:t>رسوما</w:t>
      </w:r>
      <w:r>
        <w:rPr>
          <w:rFonts w:hint="cs"/>
          <w:spacing w:val="0"/>
          <w:sz w:val="32"/>
          <w:rtl/>
        </w:rPr>
        <w:t>ً</w:t>
      </w:r>
      <w:r>
        <w:rPr>
          <w:spacing w:val="0"/>
          <w:sz w:val="32"/>
          <w:rtl/>
        </w:rPr>
        <w:t xml:space="preserve"> مدرسية ورسوم</w:t>
      </w:r>
      <w:r>
        <w:rPr>
          <w:rFonts w:hint="cs"/>
          <w:spacing w:val="0"/>
          <w:sz w:val="32"/>
          <w:rtl/>
        </w:rPr>
        <w:t>اً أخرى</w:t>
      </w:r>
      <w:r>
        <w:rPr>
          <w:spacing w:val="0"/>
          <w:sz w:val="32"/>
          <w:rtl/>
        </w:rPr>
        <w:t xml:space="preserve">. </w:t>
      </w:r>
      <w:r>
        <w:rPr>
          <w:rFonts w:hint="cs"/>
          <w:spacing w:val="0"/>
          <w:sz w:val="32"/>
          <w:rtl/>
        </w:rPr>
        <w:t>وللتلاميذ المسجلين في تلك المدارس الحق في الحصول على 900 2 باتاكا في كل عام دراسي من حكومة</w:t>
      </w:r>
      <w:r>
        <w:rPr>
          <w:spacing w:val="0"/>
          <w:sz w:val="32"/>
        </w:rPr>
        <w:t xml:space="preserve"> </w:t>
      </w:r>
      <w:r>
        <w:rPr>
          <w:rFonts w:hint="eastAsia"/>
          <w:spacing w:val="0"/>
          <w:sz w:val="32"/>
          <w:rtl/>
        </w:rPr>
        <w:t>مقاطعة ماكاو</w:t>
      </w:r>
      <w:r>
        <w:rPr>
          <w:spacing w:val="0"/>
          <w:sz w:val="32"/>
          <w:rtl/>
        </w:rPr>
        <w:t xml:space="preserve"> الإدارية الخاصة</w:t>
      </w:r>
      <w:r>
        <w:rPr>
          <w:rFonts w:hint="cs"/>
          <w:spacing w:val="0"/>
          <w:sz w:val="32"/>
          <w:rtl/>
        </w:rPr>
        <w:t xml:space="preserve"> كإعانة أساسية. وبالإضافة إلى تلك الإعانة الأساسية، يجوز للتلاميذ الذين يواجهون صعوبات مالية طلب الحصول على إ</w:t>
      </w:r>
      <w:r>
        <w:rPr>
          <w:rFonts w:hint="cs"/>
          <w:spacing w:val="0"/>
          <w:sz w:val="32"/>
          <w:rtl/>
        </w:rPr>
        <w:t>عانة إضافية تتراوح قيمتها ما بين 600 1 و200 3 باتاكا . وتشمل هذه الإعانة أيضا التعليم ما قبل الابتدائي.</w:t>
      </w:r>
    </w:p>
    <w:p w:rsidR="00000000" w:rsidRDefault="00443EC1">
      <w:pPr>
        <w:tabs>
          <w:tab w:val="left" w:pos="894"/>
        </w:tabs>
        <w:spacing w:line="380" w:lineRule="exact"/>
        <w:jc w:val="both"/>
        <w:rPr>
          <w:rFonts w:hint="cs"/>
          <w:spacing w:val="0"/>
          <w:sz w:val="32"/>
          <w:rtl/>
        </w:rPr>
      </w:pPr>
      <w:r>
        <w:rPr>
          <w:rFonts w:hint="cs"/>
          <w:spacing w:val="0"/>
          <w:sz w:val="32"/>
          <w:rtl/>
        </w:rPr>
        <w:t>1124-</w:t>
      </w:r>
      <w:r>
        <w:rPr>
          <w:spacing w:val="0"/>
          <w:sz w:val="32"/>
          <w:rtl/>
        </w:rPr>
        <w:tab/>
      </w:r>
      <w:r>
        <w:rPr>
          <w:rFonts w:hint="cs"/>
          <w:spacing w:val="0"/>
          <w:sz w:val="32"/>
          <w:rtl/>
        </w:rPr>
        <w:t>بإمكان التلاميذ المعوزين كذلك طلب الحصول على منحة لشراء المواد التعليمية (بما فيها الزي المدرسي) يتراوح مبلغها ما بين 425 و850 باتاكا. ويتيسر للتل</w:t>
      </w:r>
      <w:r>
        <w:rPr>
          <w:rFonts w:hint="cs"/>
          <w:spacing w:val="0"/>
          <w:sz w:val="32"/>
          <w:rtl/>
        </w:rPr>
        <w:t>اميذ المعاقين الاستفادة من صندوق للمنح لا يخضع لأي حدود مسبقة. ويُبت في الطلبات بالنظر في كل حالة على حدة.</w:t>
      </w:r>
    </w:p>
    <w:p w:rsidR="00000000" w:rsidRDefault="00443EC1">
      <w:pPr>
        <w:tabs>
          <w:tab w:val="left" w:pos="894"/>
        </w:tabs>
        <w:spacing w:line="380" w:lineRule="exact"/>
        <w:jc w:val="both"/>
        <w:rPr>
          <w:rFonts w:hint="cs"/>
          <w:spacing w:val="0"/>
          <w:sz w:val="32"/>
          <w:rtl/>
        </w:rPr>
      </w:pPr>
      <w:r>
        <w:rPr>
          <w:rFonts w:hint="cs"/>
          <w:spacing w:val="0"/>
          <w:sz w:val="32"/>
          <w:rtl/>
        </w:rPr>
        <w:t>1125-</w:t>
      </w:r>
      <w:r>
        <w:rPr>
          <w:spacing w:val="0"/>
          <w:sz w:val="32"/>
          <w:rtl/>
        </w:rPr>
        <w:tab/>
      </w:r>
      <w:r>
        <w:rPr>
          <w:rFonts w:hint="cs"/>
          <w:spacing w:val="0"/>
          <w:sz w:val="32"/>
          <w:rtl/>
        </w:rPr>
        <w:t>و</w:t>
      </w:r>
      <w:r>
        <w:rPr>
          <w:spacing w:val="0"/>
          <w:sz w:val="32"/>
          <w:rtl/>
        </w:rPr>
        <w:t>لجميع التلاميذ في ال</w:t>
      </w:r>
      <w:r>
        <w:rPr>
          <w:rFonts w:hint="cs"/>
          <w:spacing w:val="0"/>
          <w:sz w:val="32"/>
          <w:rtl/>
        </w:rPr>
        <w:t>مرحلة ا</w:t>
      </w:r>
      <w:r>
        <w:rPr>
          <w:spacing w:val="0"/>
          <w:sz w:val="32"/>
          <w:rtl/>
        </w:rPr>
        <w:t>لإعدادي</w:t>
      </w:r>
      <w:r>
        <w:rPr>
          <w:rFonts w:hint="cs"/>
          <w:spacing w:val="0"/>
          <w:sz w:val="32"/>
          <w:rtl/>
        </w:rPr>
        <w:t>ة</w:t>
      </w:r>
      <w:r>
        <w:rPr>
          <w:spacing w:val="0"/>
          <w:sz w:val="32"/>
          <w:rtl/>
        </w:rPr>
        <w:t xml:space="preserve"> المسجلين ضمن شبكة المدارس العامة، بمن فيهم أولئك الذي</w:t>
      </w:r>
      <w:r>
        <w:rPr>
          <w:rFonts w:hint="cs"/>
          <w:spacing w:val="0"/>
          <w:sz w:val="32"/>
          <w:rtl/>
        </w:rPr>
        <w:t>ن</w:t>
      </w:r>
      <w:r>
        <w:rPr>
          <w:spacing w:val="0"/>
          <w:sz w:val="32"/>
          <w:rtl/>
        </w:rPr>
        <w:t xml:space="preserve"> ي</w:t>
      </w:r>
      <w:r>
        <w:rPr>
          <w:rFonts w:hint="cs"/>
          <w:spacing w:val="0"/>
          <w:sz w:val="32"/>
          <w:rtl/>
        </w:rPr>
        <w:t>ترددون</w:t>
      </w:r>
      <w:r>
        <w:rPr>
          <w:spacing w:val="0"/>
          <w:sz w:val="32"/>
          <w:rtl/>
        </w:rPr>
        <w:t xml:space="preserve"> </w:t>
      </w:r>
      <w:r>
        <w:rPr>
          <w:rFonts w:hint="cs"/>
          <w:spacing w:val="0"/>
          <w:sz w:val="32"/>
          <w:rtl/>
        </w:rPr>
        <w:t>ع</w:t>
      </w:r>
      <w:r>
        <w:rPr>
          <w:spacing w:val="0"/>
          <w:sz w:val="32"/>
          <w:rtl/>
        </w:rPr>
        <w:t xml:space="preserve">لى المدارس الثانوية الفنية والمهنية، الحق </w:t>
      </w:r>
      <w:r>
        <w:rPr>
          <w:spacing w:val="0"/>
          <w:sz w:val="32"/>
          <w:rtl/>
        </w:rPr>
        <w:t>في الحصول على التعليم مجان</w:t>
      </w:r>
      <w:r>
        <w:rPr>
          <w:rFonts w:hint="cs"/>
          <w:spacing w:val="0"/>
          <w:sz w:val="32"/>
          <w:rtl/>
        </w:rPr>
        <w:t>اً</w:t>
      </w:r>
      <w:r>
        <w:rPr>
          <w:spacing w:val="0"/>
          <w:sz w:val="32"/>
          <w:rtl/>
        </w:rPr>
        <w:t xml:space="preserve"> وعلى منحة لتغطية </w:t>
      </w:r>
      <w:r>
        <w:rPr>
          <w:rFonts w:hint="cs"/>
          <w:spacing w:val="0"/>
          <w:sz w:val="32"/>
          <w:rtl/>
        </w:rPr>
        <w:t>رسوم الخدمة الإضافية. ومنحت حكومة</w:t>
      </w:r>
      <w:r>
        <w:rPr>
          <w:spacing w:val="0"/>
          <w:sz w:val="32"/>
        </w:rPr>
        <w:t xml:space="preserve"> </w:t>
      </w:r>
      <w:r>
        <w:rPr>
          <w:rFonts w:hint="eastAsia"/>
          <w:spacing w:val="0"/>
          <w:sz w:val="32"/>
          <w:rtl/>
        </w:rPr>
        <w:t>مقاطعة ماكاو</w:t>
      </w:r>
      <w:r>
        <w:rPr>
          <w:spacing w:val="0"/>
          <w:sz w:val="32"/>
          <w:rtl/>
        </w:rPr>
        <w:t xml:space="preserve"> الإدارية الخاصة</w:t>
      </w:r>
      <w:r>
        <w:rPr>
          <w:rFonts w:hint="cs"/>
          <w:spacing w:val="0"/>
          <w:sz w:val="32"/>
          <w:rtl/>
        </w:rPr>
        <w:t xml:space="preserve"> المدارس الخاصة التي تفرض رسوما دراسية إعانات مالية قد تبلغ 200 9 باتاكا لكل تلميذ في المرحلة الإعدادية في العام الدراسي 2002-2003. ويمكن للمدارس أن</w:t>
      </w:r>
      <w:r>
        <w:rPr>
          <w:rFonts w:hint="cs"/>
          <w:spacing w:val="0"/>
          <w:sz w:val="32"/>
          <w:rtl/>
        </w:rPr>
        <w:t xml:space="preserve"> تحصل على إعانات قد تبلغ قيمتها 760 1 باتاكا عن كل تلميذ/في كل عام دراسي كرسوم خدمة إضافية.</w:t>
      </w:r>
    </w:p>
    <w:p w:rsidR="00000000" w:rsidRDefault="00443EC1">
      <w:pPr>
        <w:tabs>
          <w:tab w:val="left" w:pos="894"/>
        </w:tabs>
        <w:spacing w:line="380" w:lineRule="exact"/>
        <w:jc w:val="both"/>
        <w:rPr>
          <w:rFonts w:hint="cs"/>
          <w:spacing w:val="0"/>
          <w:sz w:val="32"/>
          <w:rtl/>
        </w:rPr>
      </w:pPr>
      <w:r>
        <w:rPr>
          <w:rFonts w:hint="cs"/>
          <w:spacing w:val="0"/>
          <w:sz w:val="32"/>
          <w:rtl/>
        </w:rPr>
        <w:t>1126-</w:t>
      </w:r>
      <w:r>
        <w:rPr>
          <w:spacing w:val="0"/>
          <w:sz w:val="32"/>
          <w:rtl/>
        </w:rPr>
        <w:tab/>
      </w:r>
      <w:r>
        <w:rPr>
          <w:rFonts w:hint="cs"/>
          <w:spacing w:val="0"/>
          <w:sz w:val="32"/>
          <w:rtl/>
        </w:rPr>
        <w:t>أما تلاميذ المرحلة الإعدادية المسجلين في مدارس من خارج شبكة المدارس العامة فيحق لهم الحصول على مبلغ 300 4 باتاكا في العام الدراسي كإعانة أساسية.</w:t>
      </w:r>
    </w:p>
    <w:p w:rsidR="00000000" w:rsidRDefault="00443EC1">
      <w:pPr>
        <w:tabs>
          <w:tab w:val="left" w:pos="894"/>
        </w:tabs>
        <w:spacing w:line="380" w:lineRule="exact"/>
        <w:jc w:val="both"/>
        <w:rPr>
          <w:rFonts w:hint="cs"/>
          <w:spacing w:val="0"/>
          <w:sz w:val="32"/>
          <w:rtl/>
        </w:rPr>
      </w:pPr>
      <w:r>
        <w:rPr>
          <w:rFonts w:hint="cs"/>
          <w:spacing w:val="0"/>
          <w:sz w:val="32"/>
          <w:rtl/>
        </w:rPr>
        <w:t>1127-</w:t>
      </w:r>
      <w:r>
        <w:rPr>
          <w:spacing w:val="0"/>
          <w:sz w:val="32"/>
          <w:rtl/>
        </w:rPr>
        <w:tab/>
        <w:t>كما يتي</w:t>
      </w:r>
      <w:r>
        <w:rPr>
          <w:spacing w:val="0"/>
          <w:sz w:val="32"/>
          <w:rtl/>
        </w:rPr>
        <w:t xml:space="preserve">سر للتلاميذ المعوزين الحصول على منح إضافية لتغطية الرسوم المدرسية (ما بين 475 </w:t>
      </w:r>
      <w:r>
        <w:rPr>
          <w:rFonts w:hint="cs"/>
          <w:spacing w:val="0"/>
          <w:sz w:val="32"/>
          <w:rtl/>
        </w:rPr>
        <w:t xml:space="preserve">2 </w:t>
      </w:r>
      <w:r>
        <w:rPr>
          <w:spacing w:val="0"/>
          <w:sz w:val="32"/>
          <w:rtl/>
        </w:rPr>
        <w:t xml:space="preserve">و800 </w:t>
      </w:r>
      <w:r>
        <w:rPr>
          <w:rFonts w:hint="cs"/>
          <w:spacing w:val="0"/>
          <w:sz w:val="32"/>
          <w:rtl/>
        </w:rPr>
        <w:t xml:space="preserve">4 </w:t>
      </w:r>
      <w:r>
        <w:rPr>
          <w:spacing w:val="0"/>
          <w:sz w:val="32"/>
          <w:rtl/>
        </w:rPr>
        <w:t>باتاكا</w:t>
      </w:r>
      <w:r>
        <w:rPr>
          <w:rFonts w:hint="cs"/>
          <w:spacing w:val="0"/>
          <w:sz w:val="32"/>
          <w:rtl/>
        </w:rPr>
        <w:t>) والمواد التعليمية (ما بين 625 و300 1 باتاكا).</w:t>
      </w:r>
    </w:p>
    <w:p w:rsidR="00000000" w:rsidRDefault="00443EC1">
      <w:pPr>
        <w:tabs>
          <w:tab w:val="left" w:pos="894"/>
        </w:tabs>
        <w:spacing w:line="380" w:lineRule="exact"/>
        <w:jc w:val="both"/>
        <w:rPr>
          <w:rFonts w:hint="cs"/>
          <w:spacing w:val="0"/>
          <w:sz w:val="32"/>
          <w:rtl/>
        </w:rPr>
      </w:pPr>
      <w:r>
        <w:rPr>
          <w:rFonts w:hint="cs"/>
          <w:spacing w:val="0"/>
          <w:sz w:val="32"/>
          <w:rtl/>
        </w:rPr>
        <w:t>1128-</w:t>
      </w:r>
      <w:r>
        <w:rPr>
          <w:spacing w:val="0"/>
          <w:sz w:val="32"/>
          <w:rtl/>
        </w:rPr>
        <w:tab/>
        <w:t>وقد ارتفع عدد التلاميذ المستفيدين من شبكة المدارس الخاصة في مستوى التعليم الث</w:t>
      </w:r>
      <w:r>
        <w:rPr>
          <w:rFonts w:hint="cs"/>
          <w:spacing w:val="0"/>
          <w:sz w:val="32"/>
          <w:rtl/>
        </w:rPr>
        <w:t>ا</w:t>
      </w:r>
      <w:r>
        <w:rPr>
          <w:spacing w:val="0"/>
          <w:sz w:val="32"/>
          <w:rtl/>
        </w:rPr>
        <w:t>نوي بشكل كبير</w:t>
      </w:r>
      <w:r>
        <w:rPr>
          <w:rFonts w:hint="cs"/>
          <w:spacing w:val="0"/>
          <w:sz w:val="32"/>
          <w:rtl/>
        </w:rPr>
        <w:t xml:space="preserve"> في السنوات الأخير</w:t>
      </w:r>
      <w:r>
        <w:rPr>
          <w:rFonts w:hint="cs"/>
          <w:spacing w:val="0"/>
          <w:sz w:val="32"/>
          <w:rtl/>
        </w:rPr>
        <w:t>ة.</w:t>
      </w:r>
    </w:p>
    <w:p w:rsidR="00000000" w:rsidRDefault="00443EC1">
      <w:pPr>
        <w:tabs>
          <w:tab w:val="left" w:pos="894"/>
        </w:tabs>
        <w:spacing w:line="380" w:lineRule="exact"/>
        <w:jc w:val="both"/>
        <w:rPr>
          <w:rFonts w:hint="cs"/>
          <w:spacing w:val="0"/>
          <w:sz w:val="32"/>
          <w:rtl/>
        </w:rPr>
      </w:pPr>
      <w:r>
        <w:rPr>
          <w:rFonts w:hint="cs"/>
          <w:spacing w:val="0"/>
          <w:sz w:val="32"/>
          <w:rtl/>
        </w:rPr>
        <w:t>1129-</w:t>
      </w:r>
      <w:r>
        <w:rPr>
          <w:spacing w:val="0"/>
          <w:sz w:val="32"/>
          <w:rtl/>
        </w:rPr>
        <w:tab/>
      </w:r>
      <w:r>
        <w:rPr>
          <w:rFonts w:hint="cs"/>
          <w:spacing w:val="0"/>
          <w:sz w:val="32"/>
          <w:rtl/>
        </w:rPr>
        <w:t xml:space="preserve">وتمنح المساعدة المالية أيضا للطلبة في التعليم العالي </w:t>
      </w:r>
      <w:r>
        <w:rPr>
          <w:spacing w:val="0"/>
          <w:sz w:val="32"/>
        </w:rPr>
        <w:t>)</w:t>
      </w:r>
      <w:r>
        <w:rPr>
          <w:rFonts w:hint="cs"/>
          <w:spacing w:val="0"/>
          <w:sz w:val="32"/>
          <w:rtl/>
        </w:rPr>
        <w:t>الأمر 18/2001 الصادر في 14 أيار/مايو عن وزير الشؤون الاجتماعية والثقافة</w:t>
      </w:r>
      <w:r>
        <w:rPr>
          <w:spacing w:val="0"/>
          <w:sz w:val="32"/>
        </w:rPr>
        <w:t>(</w:t>
      </w:r>
      <w:r>
        <w:rPr>
          <w:rFonts w:hint="cs"/>
          <w:spacing w:val="0"/>
          <w:sz w:val="32"/>
          <w:rtl/>
        </w:rPr>
        <w:t>. وحسب بيانات أوردتها وزارة التعليم وشؤون الشباب في عام 2002، فإن المنح الدراسية والقروض المخصصة للطلبة وقروض الطلبة الخا</w:t>
      </w:r>
      <w:r>
        <w:rPr>
          <w:rFonts w:hint="cs"/>
          <w:spacing w:val="0"/>
          <w:sz w:val="32"/>
          <w:rtl/>
        </w:rPr>
        <w:t>صة وإعانات السفر وأجرة السكن لطلبة التعليم العالي قد بلغت قيمتها الإجمالية 967 888 59 باتاكا وبلغ عدد المستفيدين منها 905 2 طالبا في المجموع في العام الدراسي 1999-2000، وبلغت قيمتها الإجمالية 179 874 61 باتاكا وبلغ عدد المستفيدين منها 3040 طالبا في العام ا</w:t>
      </w:r>
      <w:r>
        <w:rPr>
          <w:rFonts w:hint="cs"/>
          <w:spacing w:val="0"/>
          <w:sz w:val="32"/>
          <w:rtl/>
        </w:rPr>
        <w:t>لدراسي</w:t>
      </w:r>
      <w:r>
        <w:rPr>
          <w:spacing w:val="0"/>
          <w:sz w:val="32"/>
          <w:rtl/>
        </w:rPr>
        <w:br/>
      </w:r>
      <w:r>
        <w:rPr>
          <w:rFonts w:hint="cs"/>
          <w:spacing w:val="0"/>
          <w:sz w:val="32"/>
          <w:rtl/>
        </w:rPr>
        <w:t>2000-2001، وبلغت قيمتها الإجمالية 332 701 59 باتاكا وبلغ عدد المستفيدين منها 060 3 طالبا في المجموع في عام 2001-2002.</w:t>
      </w:r>
    </w:p>
    <w:p w:rsidR="00000000" w:rsidRDefault="00443EC1">
      <w:pPr>
        <w:tabs>
          <w:tab w:val="left" w:pos="894"/>
        </w:tabs>
        <w:spacing w:line="380" w:lineRule="exact"/>
        <w:jc w:val="both"/>
        <w:rPr>
          <w:rFonts w:hint="cs"/>
          <w:b/>
          <w:bCs/>
          <w:spacing w:val="0"/>
          <w:sz w:val="32"/>
          <w:rtl/>
        </w:rPr>
      </w:pPr>
      <w:r>
        <w:rPr>
          <w:rFonts w:hint="cs"/>
          <w:b/>
          <w:bCs/>
          <w:spacing w:val="0"/>
          <w:sz w:val="32"/>
          <w:rtl/>
        </w:rPr>
        <w:t>المنح الدراسية في التعليم العالي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24"/>
        <w:gridCol w:w="978"/>
        <w:gridCol w:w="1151"/>
        <w:gridCol w:w="1151"/>
        <w:gridCol w:w="1040"/>
        <w:gridCol w:w="1080"/>
        <w:gridCol w:w="1551"/>
        <w:gridCol w:w="1149"/>
      </w:tblGrid>
      <w:tr w:rsidR="00443EC1" w:rsidTr="00443EC1">
        <w:tblPrEx>
          <w:tblCellMar>
            <w:top w:w="0" w:type="dxa"/>
            <w:bottom w:w="0" w:type="dxa"/>
          </w:tblCellMar>
        </w:tblPrEx>
        <w:trPr>
          <w:jc w:val="center"/>
        </w:trPr>
        <w:tc>
          <w:tcPr>
            <w:tcW w:w="1324" w:type="dxa"/>
          </w:tcPr>
          <w:p w:rsidR="00443EC1" w:rsidRDefault="00443EC1">
            <w:pPr>
              <w:tabs>
                <w:tab w:val="left" w:pos="894"/>
              </w:tabs>
              <w:spacing w:before="0" w:after="0" w:line="320" w:lineRule="exact"/>
              <w:jc w:val="center"/>
              <w:rPr>
                <w:rFonts w:hint="cs"/>
                <w:spacing w:val="0"/>
                <w:sz w:val="32"/>
                <w:szCs w:val="26"/>
                <w:rtl/>
              </w:rPr>
            </w:pPr>
          </w:p>
          <w:p w:rsidR="00443EC1" w:rsidRDefault="00443EC1">
            <w:pPr>
              <w:tabs>
                <w:tab w:val="left" w:pos="894"/>
              </w:tabs>
              <w:spacing w:before="0" w:after="0" w:line="320" w:lineRule="exact"/>
              <w:jc w:val="center"/>
              <w:rPr>
                <w:rFonts w:hint="cs"/>
                <w:spacing w:val="0"/>
                <w:sz w:val="32"/>
                <w:szCs w:val="26"/>
              </w:rPr>
            </w:pPr>
            <w:r>
              <w:rPr>
                <w:rFonts w:hint="cs"/>
                <w:spacing w:val="0"/>
                <w:sz w:val="32"/>
                <w:szCs w:val="26"/>
                <w:rtl/>
              </w:rPr>
              <w:t>العام</w:t>
            </w:r>
          </w:p>
        </w:tc>
        <w:tc>
          <w:tcPr>
            <w:tcW w:w="978" w:type="dxa"/>
          </w:tcPr>
          <w:p w:rsidR="00443EC1" w:rsidRDefault="00443EC1">
            <w:pPr>
              <w:tabs>
                <w:tab w:val="left" w:pos="894"/>
              </w:tabs>
              <w:spacing w:before="0" w:after="0" w:line="320" w:lineRule="exact"/>
              <w:jc w:val="center"/>
              <w:rPr>
                <w:rFonts w:hint="cs"/>
                <w:spacing w:val="0"/>
                <w:sz w:val="32"/>
                <w:szCs w:val="26"/>
                <w:rtl/>
              </w:rPr>
            </w:pPr>
          </w:p>
          <w:p w:rsidR="00443EC1" w:rsidRDefault="00443EC1">
            <w:pPr>
              <w:tabs>
                <w:tab w:val="left" w:pos="894"/>
              </w:tabs>
              <w:spacing w:before="0" w:after="0" w:line="320" w:lineRule="exact"/>
              <w:jc w:val="center"/>
              <w:rPr>
                <w:rFonts w:hint="cs"/>
                <w:spacing w:val="0"/>
                <w:sz w:val="32"/>
                <w:szCs w:val="26"/>
              </w:rPr>
            </w:pPr>
            <w:r>
              <w:rPr>
                <w:rFonts w:hint="cs"/>
                <w:spacing w:val="0"/>
                <w:sz w:val="32"/>
                <w:szCs w:val="26"/>
                <w:rtl/>
              </w:rPr>
              <w:t>المجموع</w:t>
            </w:r>
          </w:p>
        </w:tc>
        <w:tc>
          <w:tcPr>
            <w:tcW w:w="1151" w:type="dxa"/>
          </w:tcPr>
          <w:p w:rsidR="00443EC1" w:rsidRDefault="00443EC1">
            <w:pPr>
              <w:tabs>
                <w:tab w:val="left" w:pos="894"/>
              </w:tabs>
              <w:spacing w:before="0" w:after="0" w:line="320" w:lineRule="exact"/>
              <w:jc w:val="center"/>
              <w:rPr>
                <w:rFonts w:hint="cs"/>
                <w:spacing w:val="0"/>
                <w:sz w:val="32"/>
                <w:szCs w:val="26"/>
                <w:rtl/>
              </w:rPr>
            </w:pPr>
          </w:p>
          <w:p w:rsidR="00443EC1" w:rsidRDefault="00443EC1">
            <w:pPr>
              <w:tabs>
                <w:tab w:val="left" w:pos="894"/>
              </w:tabs>
              <w:spacing w:before="0" w:after="0" w:line="320" w:lineRule="exact"/>
              <w:jc w:val="center"/>
              <w:rPr>
                <w:rFonts w:hint="cs"/>
                <w:spacing w:val="0"/>
                <w:sz w:val="32"/>
                <w:szCs w:val="26"/>
              </w:rPr>
            </w:pPr>
            <w:r>
              <w:rPr>
                <w:rFonts w:hint="cs"/>
                <w:spacing w:val="0"/>
                <w:sz w:val="32"/>
                <w:szCs w:val="26"/>
                <w:rtl/>
              </w:rPr>
              <w:t>الصين القارية</w:t>
            </w:r>
          </w:p>
        </w:tc>
        <w:tc>
          <w:tcPr>
            <w:tcW w:w="1151" w:type="dxa"/>
          </w:tcPr>
          <w:p w:rsidR="00443EC1" w:rsidRDefault="00443EC1">
            <w:pPr>
              <w:tabs>
                <w:tab w:val="left" w:pos="894"/>
              </w:tabs>
              <w:spacing w:before="0" w:after="0" w:line="320" w:lineRule="exact"/>
              <w:jc w:val="center"/>
              <w:rPr>
                <w:rFonts w:hint="cs"/>
                <w:spacing w:val="0"/>
                <w:sz w:val="32"/>
                <w:szCs w:val="26"/>
                <w:rtl/>
              </w:rPr>
            </w:pPr>
          </w:p>
          <w:p w:rsidR="00443EC1" w:rsidRDefault="00443EC1">
            <w:pPr>
              <w:tabs>
                <w:tab w:val="left" w:pos="894"/>
              </w:tabs>
              <w:spacing w:before="0" w:after="0" w:line="320" w:lineRule="exact"/>
              <w:jc w:val="center"/>
              <w:rPr>
                <w:rFonts w:hint="cs"/>
                <w:spacing w:val="0"/>
                <w:sz w:val="32"/>
                <w:szCs w:val="26"/>
              </w:rPr>
            </w:pPr>
            <w:r>
              <w:rPr>
                <w:rFonts w:hint="cs"/>
                <w:spacing w:val="0"/>
                <w:sz w:val="32"/>
                <w:szCs w:val="26"/>
                <w:rtl/>
              </w:rPr>
              <w:t>ماكاو</w:t>
            </w:r>
          </w:p>
        </w:tc>
        <w:tc>
          <w:tcPr>
            <w:tcW w:w="1040" w:type="dxa"/>
          </w:tcPr>
          <w:p w:rsidR="00443EC1" w:rsidRDefault="00443EC1">
            <w:pPr>
              <w:tabs>
                <w:tab w:val="left" w:pos="894"/>
              </w:tabs>
              <w:spacing w:before="0" w:after="0" w:line="320" w:lineRule="exact"/>
              <w:jc w:val="center"/>
              <w:rPr>
                <w:rFonts w:hint="cs"/>
                <w:spacing w:val="0"/>
                <w:sz w:val="32"/>
                <w:szCs w:val="26"/>
                <w:rtl/>
              </w:rPr>
            </w:pPr>
          </w:p>
          <w:p w:rsidR="00443EC1" w:rsidRDefault="00443EC1">
            <w:pPr>
              <w:tabs>
                <w:tab w:val="left" w:pos="894"/>
              </w:tabs>
              <w:spacing w:before="0" w:after="0" w:line="320" w:lineRule="exact"/>
              <w:jc w:val="center"/>
              <w:rPr>
                <w:rFonts w:hint="cs"/>
                <w:spacing w:val="0"/>
                <w:sz w:val="32"/>
                <w:szCs w:val="26"/>
              </w:rPr>
            </w:pPr>
            <w:r>
              <w:rPr>
                <w:rFonts w:hint="cs"/>
                <w:spacing w:val="0"/>
                <w:sz w:val="32"/>
                <w:szCs w:val="26"/>
                <w:rtl/>
              </w:rPr>
              <w:t>تايوان</w:t>
            </w:r>
          </w:p>
        </w:tc>
        <w:tc>
          <w:tcPr>
            <w:tcW w:w="1080" w:type="dxa"/>
          </w:tcPr>
          <w:p w:rsidR="00443EC1" w:rsidRDefault="00443EC1">
            <w:pPr>
              <w:tabs>
                <w:tab w:val="left" w:pos="894"/>
              </w:tabs>
              <w:spacing w:before="0" w:after="0" w:line="320" w:lineRule="exact"/>
              <w:jc w:val="center"/>
              <w:rPr>
                <w:rFonts w:hint="cs"/>
                <w:spacing w:val="0"/>
                <w:sz w:val="32"/>
                <w:szCs w:val="26"/>
                <w:rtl/>
              </w:rPr>
            </w:pPr>
          </w:p>
          <w:p w:rsidR="00443EC1" w:rsidRDefault="00443EC1">
            <w:pPr>
              <w:tabs>
                <w:tab w:val="left" w:pos="894"/>
              </w:tabs>
              <w:spacing w:before="0" w:after="0" w:line="320" w:lineRule="exact"/>
              <w:jc w:val="center"/>
              <w:rPr>
                <w:rFonts w:hint="cs"/>
                <w:spacing w:val="0"/>
                <w:sz w:val="32"/>
                <w:szCs w:val="26"/>
              </w:rPr>
            </w:pPr>
            <w:r>
              <w:rPr>
                <w:rFonts w:hint="cs"/>
                <w:spacing w:val="0"/>
                <w:sz w:val="32"/>
                <w:szCs w:val="26"/>
                <w:rtl/>
              </w:rPr>
              <w:t>البرتغال</w:t>
            </w:r>
          </w:p>
        </w:tc>
        <w:tc>
          <w:tcPr>
            <w:tcW w:w="1551" w:type="dxa"/>
          </w:tcPr>
          <w:p w:rsidR="00443EC1" w:rsidRDefault="00443EC1">
            <w:pPr>
              <w:tabs>
                <w:tab w:val="left" w:pos="894"/>
              </w:tabs>
              <w:spacing w:before="0" w:after="0" w:line="320" w:lineRule="exact"/>
              <w:jc w:val="center"/>
              <w:rPr>
                <w:rFonts w:hint="cs"/>
                <w:spacing w:val="0"/>
                <w:sz w:val="32"/>
                <w:szCs w:val="26"/>
              </w:rPr>
            </w:pPr>
            <w:r>
              <w:rPr>
                <w:rFonts w:hint="cs"/>
                <w:spacing w:val="0"/>
                <w:sz w:val="32"/>
                <w:szCs w:val="26"/>
                <w:rtl/>
              </w:rPr>
              <w:t>الولايات المتحدة</w:t>
            </w:r>
            <w:r>
              <w:rPr>
                <w:spacing w:val="0"/>
                <w:sz w:val="32"/>
                <w:szCs w:val="26"/>
                <w:rtl/>
              </w:rPr>
              <w:br/>
            </w:r>
            <w:r>
              <w:rPr>
                <w:rFonts w:hint="cs"/>
                <w:spacing w:val="0"/>
                <w:sz w:val="32"/>
                <w:szCs w:val="26"/>
                <w:rtl/>
              </w:rPr>
              <w:t>الأمريكية</w:t>
            </w:r>
          </w:p>
        </w:tc>
        <w:tc>
          <w:tcPr>
            <w:tcW w:w="1149" w:type="dxa"/>
          </w:tcPr>
          <w:p w:rsidR="00443EC1" w:rsidRDefault="00443EC1">
            <w:pPr>
              <w:tabs>
                <w:tab w:val="left" w:pos="894"/>
              </w:tabs>
              <w:spacing w:before="0" w:after="0" w:line="320" w:lineRule="exact"/>
              <w:jc w:val="center"/>
              <w:rPr>
                <w:rFonts w:hint="cs"/>
                <w:spacing w:val="0"/>
                <w:sz w:val="32"/>
                <w:szCs w:val="26"/>
              </w:rPr>
            </w:pPr>
            <w:r>
              <w:rPr>
                <w:rFonts w:hint="cs"/>
                <w:spacing w:val="0"/>
                <w:sz w:val="32"/>
                <w:szCs w:val="26"/>
                <w:rtl/>
              </w:rPr>
              <w:t>غيرها من</w:t>
            </w:r>
            <w:r>
              <w:rPr>
                <w:spacing w:val="0"/>
                <w:sz w:val="32"/>
                <w:szCs w:val="26"/>
                <w:rtl/>
              </w:rPr>
              <w:br/>
            </w:r>
            <w:r>
              <w:rPr>
                <w:rFonts w:hint="cs"/>
                <w:spacing w:val="0"/>
                <w:sz w:val="32"/>
                <w:szCs w:val="26"/>
                <w:rtl/>
              </w:rPr>
              <w:t>الدول</w:t>
            </w:r>
          </w:p>
        </w:tc>
      </w:tr>
      <w:tr w:rsidR="00443EC1" w:rsidTr="00443EC1">
        <w:tblPrEx>
          <w:tblCellMar>
            <w:top w:w="0" w:type="dxa"/>
            <w:bottom w:w="0" w:type="dxa"/>
          </w:tblCellMar>
        </w:tblPrEx>
        <w:trPr>
          <w:jc w:val="center"/>
        </w:trPr>
        <w:tc>
          <w:tcPr>
            <w:tcW w:w="1324" w:type="dxa"/>
          </w:tcPr>
          <w:p w:rsidR="00443EC1" w:rsidRDefault="00443EC1">
            <w:pPr>
              <w:tabs>
                <w:tab w:val="left" w:pos="894"/>
              </w:tabs>
              <w:spacing w:before="0" w:after="0" w:line="320" w:lineRule="exact"/>
              <w:jc w:val="both"/>
              <w:rPr>
                <w:rFonts w:hint="cs"/>
                <w:spacing w:val="0"/>
                <w:sz w:val="32"/>
                <w:szCs w:val="26"/>
              </w:rPr>
            </w:pPr>
            <w:r>
              <w:rPr>
                <w:rFonts w:hint="cs"/>
                <w:spacing w:val="0"/>
                <w:sz w:val="32"/>
                <w:szCs w:val="26"/>
                <w:rtl/>
              </w:rPr>
              <w:t>1999-2000</w:t>
            </w:r>
          </w:p>
        </w:tc>
        <w:tc>
          <w:tcPr>
            <w:tcW w:w="978" w:type="dxa"/>
          </w:tcPr>
          <w:p w:rsidR="00443EC1" w:rsidRDefault="00443EC1">
            <w:pPr>
              <w:tabs>
                <w:tab w:val="left" w:pos="894"/>
              </w:tabs>
              <w:spacing w:before="0" w:after="0" w:line="320" w:lineRule="exact"/>
              <w:jc w:val="center"/>
              <w:rPr>
                <w:rFonts w:hint="cs"/>
                <w:spacing w:val="0"/>
                <w:sz w:val="32"/>
                <w:szCs w:val="26"/>
              </w:rPr>
            </w:pPr>
            <w:r>
              <w:rPr>
                <w:rFonts w:hint="cs"/>
                <w:spacing w:val="0"/>
                <w:sz w:val="32"/>
                <w:szCs w:val="26"/>
                <w:rtl/>
              </w:rPr>
              <w:t>905 2</w:t>
            </w:r>
          </w:p>
        </w:tc>
        <w:tc>
          <w:tcPr>
            <w:tcW w:w="1151" w:type="dxa"/>
          </w:tcPr>
          <w:p w:rsidR="00443EC1" w:rsidRDefault="00443EC1">
            <w:pPr>
              <w:tabs>
                <w:tab w:val="left" w:pos="894"/>
              </w:tabs>
              <w:spacing w:before="0" w:after="0" w:line="320" w:lineRule="exact"/>
              <w:jc w:val="center"/>
              <w:rPr>
                <w:rFonts w:hint="cs"/>
                <w:spacing w:val="0"/>
                <w:sz w:val="32"/>
                <w:szCs w:val="26"/>
              </w:rPr>
            </w:pPr>
            <w:r>
              <w:rPr>
                <w:rFonts w:hint="cs"/>
                <w:spacing w:val="0"/>
                <w:sz w:val="32"/>
                <w:szCs w:val="26"/>
                <w:rtl/>
              </w:rPr>
              <w:t>130 1</w:t>
            </w:r>
          </w:p>
        </w:tc>
        <w:tc>
          <w:tcPr>
            <w:tcW w:w="1151" w:type="dxa"/>
          </w:tcPr>
          <w:p w:rsidR="00443EC1" w:rsidRDefault="00443EC1">
            <w:pPr>
              <w:tabs>
                <w:tab w:val="left" w:pos="894"/>
              </w:tabs>
              <w:spacing w:before="0" w:after="0" w:line="320" w:lineRule="exact"/>
              <w:jc w:val="center"/>
              <w:rPr>
                <w:rFonts w:hint="cs"/>
                <w:spacing w:val="0"/>
                <w:sz w:val="32"/>
                <w:szCs w:val="26"/>
              </w:rPr>
            </w:pPr>
            <w:r>
              <w:rPr>
                <w:rFonts w:hint="cs"/>
                <w:spacing w:val="0"/>
                <w:sz w:val="32"/>
                <w:szCs w:val="26"/>
                <w:rtl/>
              </w:rPr>
              <w:t>208 1</w:t>
            </w:r>
          </w:p>
        </w:tc>
        <w:tc>
          <w:tcPr>
            <w:tcW w:w="1040" w:type="dxa"/>
          </w:tcPr>
          <w:p w:rsidR="00443EC1" w:rsidRDefault="00443EC1">
            <w:pPr>
              <w:tabs>
                <w:tab w:val="left" w:pos="894"/>
              </w:tabs>
              <w:spacing w:before="0" w:after="0" w:line="320" w:lineRule="exact"/>
              <w:jc w:val="center"/>
              <w:rPr>
                <w:rFonts w:hint="cs"/>
                <w:spacing w:val="0"/>
                <w:sz w:val="32"/>
                <w:szCs w:val="26"/>
              </w:rPr>
            </w:pPr>
            <w:r>
              <w:rPr>
                <w:rFonts w:hint="cs"/>
                <w:spacing w:val="0"/>
                <w:sz w:val="32"/>
                <w:szCs w:val="26"/>
                <w:rtl/>
              </w:rPr>
              <w:t>475</w:t>
            </w:r>
          </w:p>
        </w:tc>
        <w:tc>
          <w:tcPr>
            <w:tcW w:w="1080" w:type="dxa"/>
          </w:tcPr>
          <w:p w:rsidR="00443EC1" w:rsidRDefault="00443EC1">
            <w:pPr>
              <w:tabs>
                <w:tab w:val="left" w:pos="894"/>
              </w:tabs>
              <w:spacing w:before="0" w:after="0" w:line="320" w:lineRule="exact"/>
              <w:jc w:val="center"/>
              <w:rPr>
                <w:rFonts w:hint="cs"/>
                <w:spacing w:val="0"/>
                <w:sz w:val="32"/>
                <w:szCs w:val="26"/>
              </w:rPr>
            </w:pPr>
            <w:r>
              <w:rPr>
                <w:rFonts w:hint="cs"/>
                <w:spacing w:val="0"/>
                <w:sz w:val="32"/>
                <w:szCs w:val="26"/>
                <w:rtl/>
              </w:rPr>
              <w:t>36</w:t>
            </w:r>
          </w:p>
        </w:tc>
        <w:tc>
          <w:tcPr>
            <w:tcW w:w="1551" w:type="dxa"/>
          </w:tcPr>
          <w:p w:rsidR="00443EC1" w:rsidRDefault="00443EC1">
            <w:pPr>
              <w:tabs>
                <w:tab w:val="left" w:pos="894"/>
              </w:tabs>
              <w:spacing w:before="0" w:after="0" w:line="320" w:lineRule="exact"/>
              <w:jc w:val="center"/>
              <w:rPr>
                <w:rFonts w:hint="cs"/>
                <w:spacing w:val="0"/>
                <w:sz w:val="32"/>
                <w:szCs w:val="26"/>
              </w:rPr>
            </w:pPr>
            <w:r>
              <w:rPr>
                <w:rFonts w:hint="cs"/>
                <w:spacing w:val="0"/>
                <w:sz w:val="32"/>
                <w:szCs w:val="26"/>
                <w:rtl/>
              </w:rPr>
              <w:t>26</w:t>
            </w:r>
          </w:p>
        </w:tc>
        <w:tc>
          <w:tcPr>
            <w:tcW w:w="1149" w:type="dxa"/>
          </w:tcPr>
          <w:p w:rsidR="00443EC1" w:rsidRDefault="00443EC1">
            <w:pPr>
              <w:tabs>
                <w:tab w:val="left" w:pos="894"/>
              </w:tabs>
              <w:spacing w:before="0" w:after="0" w:line="320" w:lineRule="exact"/>
              <w:jc w:val="center"/>
              <w:rPr>
                <w:rFonts w:hint="cs"/>
                <w:spacing w:val="0"/>
                <w:sz w:val="32"/>
                <w:szCs w:val="26"/>
              </w:rPr>
            </w:pPr>
            <w:r>
              <w:rPr>
                <w:rFonts w:hint="cs"/>
                <w:spacing w:val="0"/>
                <w:sz w:val="32"/>
                <w:szCs w:val="26"/>
                <w:rtl/>
              </w:rPr>
              <w:t>30</w:t>
            </w:r>
          </w:p>
        </w:tc>
      </w:tr>
      <w:tr w:rsidR="00443EC1" w:rsidTr="00443EC1">
        <w:tblPrEx>
          <w:tblCellMar>
            <w:top w:w="0" w:type="dxa"/>
            <w:bottom w:w="0" w:type="dxa"/>
          </w:tblCellMar>
        </w:tblPrEx>
        <w:trPr>
          <w:jc w:val="center"/>
        </w:trPr>
        <w:tc>
          <w:tcPr>
            <w:tcW w:w="1324" w:type="dxa"/>
          </w:tcPr>
          <w:p w:rsidR="00443EC1" w:rsidRDefault="00443EC1">
            <w:pPr>
              <w:tabs>
                <w:tab w:val="left" w:pos="894"/>
              </w:tabs>
              <w:spacing w:before="0" w:after="0" w:line="320" w:lineRule="exact"/>
              <w:jc w:val="both"/>
              <w:rPr>
                <w:rFonts w:hint="cs"/>
                <w:spacing w:val="0"/>
                <w:sz w:val="32"/>
                <w:szCs w:val="26"/>
              </w:rPr>
            </w:pPr>
            <w:r>
              <w:rPr>
                <w:rFonts w:hint="cs"/>
                <w:spacing w:val="0"/>
                <w:sz w:val="32"/>
                <w:szCs w:val="26"/>
                <w:rtl/>
              </w:rPr>
              <w:t>2000-2001</w:t>
            </w:r>
          </w:p>
        </w:tc>
        <w:tc>
          <w:tcPr>
            <w:tcW w:w="978" w:type="dxa"/>
          </w:tcPr>
          <w:p w:rsidR="00443EC1" w:rsidRDefault="00443EC1">
            <w:pPr>
              <w:tabs>
                <w:tab w:val="left" w:pos="894"/>
              </w:tabs>
              <w:spacing w:before="0" w:after="0" w:line="320" w:lineRule="exact"/>
              <w:jc w:val="center"/>
              <w:rPr>
                <w:rFonts w:hint="cs"/>
                <w:spacing w:val="0"/>
                <w:sz w:val="32"/>
                <w:szCs w:val="26"/>
              </w:rPr>
            </w:pPr>
            <w:r>
              <w:rPr>
                <w:rFonts w:hint="cs"/>
                <w:spacing w:val="0"/>
                <w:sz w:val="32"/>
                <w:szCs w:val="26"/>
                <w:rtl/>
              </w:rPr>
              <w:t>040 3</w:t>
            </w:r>
          </w:p>
        </w:tc>
        <w:tc>
          <w:tcPr>
            <w:tcW w:w="1151" w:type="dxa"/>
          </w:tcPr>
          <w:p w:rsidR="00443EC1" w:rsidRDefault="00443EC1">
            <w:pPr>
              <w:tabs>
                <w:tab w:val="left" w:pos="894"/>
              </w:tabs>
              <w:spacing w:before="0" w:after="0" w:line="320" w:lineRule="exact"/>
              <w:jc w:val="center"/>
              <w:rPr>
                <w:rFonts w:hint="cs"/>
                <w:spacing w:val="0"/>
                <w:sz w:val="32"/>
                <w:szCs w:val="26"/>
              </w:rPr>
            </w:pPr>
            <w:r>
              <w:rPr>
                <w:rFonts w:hint="cs"/>
                <w:spacing w:val="0"/>
                <w:sz w:val="32"/>
                <w:szCs w:val="26"/>
                <w:rtl/>
              </w:rPr>
              <w:t>120 1</w:t>
            </w:r>
          </w:p>
        </w:tc>
        <w:tc>
          <w:tcPr>
            <w:tcW w:w="1151" w:type="dxa"/>
          </w:tcPr>
          <w:p w:rsidR="00443EC1" w:rsidRDefault="00443EC1">
            <w:pPr>
              <w:tabs>
                <w:tab w:val="left" w:pos="894"/>
              </w:tabs>
              <w:spacing w:before="0" w:after="0" w:line="320" w:lineRule="exact"/>
              <w:jc w:val="center"/>
              <w:rPr>
                <w:rFonts w:hint="cs"/>
                <w:spacing w:val="0"/>
                <w:sz w:val="32"/>
                <w:szCs w:val="26"/>
              </w:rPr>
            </w:pPr>
            <w:r>
              <w:rPr>
                <w:rFonts w:hint="cs"/>
                <w:spacing w:val="0"/>
                <w:sz w:val="32"/>
                <w:szCs w:val="26"/>
                <w:rtl/>
              </w:rPr>
              <w:t>392 1</w:t>
            </w:r>
          </w:p>
        </w:tc>
        <w:tc>
          <w:tcPr>
            <w:tcW w:w="1040" w:type="dxa"/>
          </w:tcPr>
          <w:p w:rsidR="00443EC1" w:rsidRDefault="00443EC1">
            <w:pPr>
              <w:tabs>
                <w:tab w:val="left" w:pos="894"/>
              </w:tabs>
              <w:spacing w:before="0" w:after="0" w:line="320" w:lineRule="exact"/>
              <w:jc w:val="center"/>
              <w:rPr>
                <w:rFonts w:hint="cs"/>
                <w:spacing w:val="0"/>
                <w:sz w:val="32"/>
                <w:szCs w:val="26"/>
              </w:rPr>
            </w:pPr>
            <w:r>
              <w:rPr>
                <w:rFonts w:hint="cs"/>
                <w:spacing w:val="0"/>
                <w:sz w:val="32"/>
                <w:szCs w:val="26"/>
                <w:rtl/>
              </w:rPr>
              <w:t>437</w:t>
            </w:r>
          </w:p>
        </w:tc>
        <w:tc>
          <w:tcPr>
            <w:tcW w:w="1080" w:type="dxa"/>
          </w:tcPr>
          <w:p w:rsidR="00443EC1" w:rsidRDefault="00443EC1">
            <w:pPr>
              <w:tabs>
                <w:tab w:val="left" w:pos="894"/>
              </w:tabs>
              <w:spacing w:before="0" w:after="0" w:line="320" w:lineRule="exact"/>
              <w:jc w:val="center"/>
              <w:rPr>
                <w:rFonts w:hint="cs"/>
                <w:spacing w:val="0"/>
                <w:sz w:val="32"/>
                <w:szCs w:val="26"/>
              </w:rPr>
            </w:pPr>
            <w:r>
              <w:rPr>
                <w:rFonts w:hint="cs"/>
                <w:spacing w:val="0"/>
                <w:sz w:val="32"/>
                <w:szCs w:val="26"/>
                <w:rtl/>
              </w:rPr>
              <w:t>31</w:t>
            </w:r>
          </w:p>
        </w:tc>
        <w:tc>
          <w:tcPr>
            <w:tcW w:w="1551" w:type="dxa"/>
          </w:tcPr>
          <w:p w:rsidR="00443EC1" w:rsidRDefault="00443EC1">
            <w:pPr>
              <w:tabs>
                <w:tab w:val="left" w:pos="894"/>
              </w:tabs>
              <w:spacing w:before="0" w:after="0" w:line="320" w:lineRule="exact"/>
              <w:jc w:val="center"/>
              <w:rPr>
                <w:rFonts w:hint="cs"/>
                <w:spacing w:val="0"/>
                <w:sz w:val="32"/>
                <w:szCs w:val="26"/>
              </w:rPr>
            </w:pPr>
            <w:r>
              <w:rPr>
                <w:rFonts w:hint="cs"/>
                <w:spacing w:val="0"/>
                <w:sz w:val="32"/>
                <w:szCs w:val="26"/>
                <w:rtl/>
              </w:rPr>
              <w:t>25</w:t>
            </w:r>
          </w:p>
        </w:tc>
        <w:tc>
          <w:tcPr>
            <w:tcW w:w="1149" w:type="dxa"/>
          </w:tcPr>
          <w:p w:rsidR="00443EC1" w:rsidRDefault="00443EC1">
            <w:pPr>
              <w:tabs>
                <w:tab w:val="left" w:pos="894"/>
              </w:tabs>
              <w:spacing w:before="0" w:after="0" w:line="320" w:lineRule="exact"/>
              <w:jc w:val="center"/>
              <w:rPr>
                <w:rFonts w:hint="cs"/>
                <w:spacing w:val="0"/>
                <w:sz w:val="32"/>
                <w:szCs w:val="26"/>
              </w:rPr>
            </w:pPr>
            <w:r>
              <w:rPr>
                <w:rFonts w:hint="cs"/>
                <w:spacing w:val="0"/>
                <w:sz w:val="32"/>
                <w:szCs w:val="26"/>
                <w:rtl/>
              </w:rPr>
              <w:t>35</w:t>
            </w:r>
          </w:p>
        </w:tc>
      </w:tr>
      <w:tr w:rsidR="00443EC1" w:rsidTr="00443EC1">
        <w:tblPrEx>
          <w:tblCellMar>
            <w:top w:w="0" w:type="dxa"/>
            <w:bottom w:w="0" w:type="dxa"/>
          </w:tblCellMar>
        </w:tblPrEx>
        <w:trPr>
          <w:jc w:val="center"/>
        </w:trPr>
        <w:tc>
          <w:tcPr>
            <w:tcW w:w="1324" w:type="dxa"/>
          </w:tcPr>
          <w:p w:rsidR="00443EC1" w:rsidRDefault="00443EC1">
            <w:pPr>
              <w:tabs>
                <w:tab w:val="left" w:pos="894"/>
              </w:tabs>
              <w:spacing w:before="0" w:after="0" w:line="320" w:lineRule="exact"/>
              <w:jc w:val="both"/>
              <w:rPr>
                <w:rFonts w:hint="cs"/>
                <w:spacing w:val="0"/>
                <w:sz w:val="32"/>
                <w:szCs w:val="26"/>
              </w:rPr>
            </w:pPr>
            <w:r>
              <w:rPr>
                <w:rFonts w:hint="cs"/>
                <w:spacing w:val="0"/>
                <w:sz w:val="32"/>
                <w:szCs w:val="26"/>
                <w:rtl/>
              </w:rPr>
              <w:t>2001-2002</w:t>
            </w:r>
          </w:p>
        </w:tc>
        <w:tc>
          <w:tcPr>
            <w:tcW w:w="978" w:type="dxa"/>
          </w:tcPr>
          <w:p w:rsidR="00443EC1" w:rsidRDefault="00443EC1">
            <w:pPr>
              <w:tabs>
                <w:tab w:val="left" w:pos="894"/>
              </w:tabs>
              <w:spacing w:before="0" w:after="0" w:line="320" w:lineRule="exact"/>
              <w:jc w:val="center"/>
              <w:rPr>
                <w:rFonts w:hint="cs"/>
                <w:spacing w:val="0"/>
                <w:sz w:val="32"/>
                <w:szCs w:val="26"/>
              </w:rPr>
            </w:pPr>
            <w:r>
              <w:rPr>
                <w:rFonts w:hint="cs"/>
                <w:spacing w:val="0"/>
                <w:sz w:val="32"/>
                <w:szCs w:val="26"/>
                <w:rtl/>
              </w:rPr>
              <w:t>060 3</w:t>
            </w:r>
          </w:p>
        </w:tc>
        <w:tc>
          <w:tcPr>
            <w:tcW w:w="1151" w:type="dxa"/>
          </w:tcPr>
          <w:p w:rsidR="00443EC1" w:rsidRDefault="00443EC1">
            <w:pPr>
              <w:tabs>
                <w:tab w:val="left" w:pos="894"/>
              </w:tabs>
              <w:spacing w:before="0" w:after="0" w:line="320" w:lineRule="exact"/>
              <w:jc w:val="center"/>
              <w:rPr>
                <w:rFonts w:hint="cs"/>
                <w:spacing w:val="0"/>
                <w:sz w:val="32"/>
                <w:szCs w:val="26"/>
              </w:rPr>
            </w:pPr>
            <w:r>
              <w:rPr>
                <w:rFonts w:hint="cs"/>
                <w:spacing w:val="0"/>
                <w:sz w:val="32"/>
                <w:szCs w:val="26"/>
                <w:rtl/>
              </w:rPr>
              <w:t>020 1</w:t>
            </w:r>
          </w:p>
        </w:tc>
        <w:tc>
          <w:tcPr>
            <w:tcW w:w="1151" w:type="dxa"/>
          </w:tcPr>
          <w:p w:rsidR="00443EC1" w:rsidRDefault="00443EC1">
            <w:pPr>
              <w:tabs>
                <w:tab w:val="left" w:pos="894"/>
              </w:tabs>
              <w:spacing w:before="0" w:after="0" w:line="320" w:lineRule="exact"/>
              <w:jc w:val="center"/>
              <w:rPr>
                <w:rFonts w:hint="cs"/>
                <w:spacing w:val="0"/>
                <w:sz w:val="32"/>
                <w:szCs w:val="26"/>
              </w:rPr>
            </w:pPr>
            <w:r>
              <w:rPr>
                <w:rFonts w:hint="cs"/>
                <w:spacing w:val="0"/>
                <w:sz w:val="32"/>
                <w:szCs w:val="26"/>
                <w:rtl/>
              </w:rPr>
              <w:t>524 1</w:t>
            </w:r>
          </w:p>
        </w:tc>
        <w:tc>
          <w:tcPr>
            <w:tcW w:w="1040" w:type="dxa"/>
          </w:tcPr>
          <w:p w:rsidR="00443EC1" w:rsidRDefault="00443EC1">
            <w:pPr>
              <w:tabs>
                <w:tab w:val="left" w:pos="894"/>
              </w:tabs>
              <w:spacing w:before="0" w:after="0" w:line="320" w:lineRule="exact"/>
              <w:jc w:val="center"/>
              <w:rPr>
                <w:rFonts w:hint="cs"/>
                <w:spacing w:val="0"/>
                <w:sz w:val="32"/>
                <w:szCs w:val="26"/>
              </w:rPr>
            </w:pPr>
            <w:r>
              <w:rPr>
                <w:rFonts w:hint="cs"/>
                <w:spacing w:val="0"/>
                <w:sz w:val="32"/>
                <w:szCs w:val="26"/>
                <w:rtl/>
              </w:rPr>
              <w:t>452</w:t>
            </w:r>
          </w:p>
        </w:tc>
        <w:tc>
          <w:tcPr>
            <w:tcW w:w="1080" w:type="dxa"/>
          </w:tcPr>
          <w:p w:rsidR="00443EC1" w:rsidRDefault="00443EC1">
            <w:pPr>
              <w:tabs>
                <w:tab w:val="left" w:pos="894"/>
              </w:tabs>
              <w:spacing w:before="0" w:after="0" w:line="320" w:lineRule="exact"/>
              <w:jc w:val="center"/>
              <w:rPr>
                <w:rFonts w:hint="cs"/>
                <w:spacing w:val="0"/>
                <w:sz w:val="32"/>
                <w:szCs w:val="26"/>
              </w:rPr>
            </w:pPr>
            <w:r>
              <w:rPr>
                <w:rFonts w:hint="cs"/>
                <w:spacing w:val="0"/>
                <w:sz w:val="32"/>
                <w:szCs w:val="26"/>
                <w:rtl/>
              </w:rPr>
              <w:t>18</w:t>
            </w:r>
          </w:p>
        </w:tc>
        <w:tc>
          <w:tcPr>
            <w:tcW w:w="1551" w:type="dxa"/>
          </w:tcPr>
          <w:p w:rsidR="00443EC1" w:rsidRDefault="00443EC1">
            <w:pPr>
              <w:tabs>
                <w:tab w:val="left" w:pos="894"/>
              </w:tabs>
              <w:spacing w:before="0" w:after="0" w:line="320" w:lineRule="exact"/>
              <w:jc w:val="center"/>
              <w:rPr>
                <w:rFonts w:hint="cs"/>
                <w:spacing w:val="0"/>
                <w:sz w:val="32"/>
                <w:szCs w:val="26"/>
              </w:rPr>
            </w:pPr>
            <w:r>
              <w:rPr>
                <w:rFonts w:hint="cs"/>
                <w:spacing w:val="0"/>
                <w:sz w:val="32"/>
                <w:szCs w:val="26"/>
                <w:rtl/>
              </w:rPr>
              <w:t>18</w:t>
            </w:r>
          </w:p>
        </w:tc>
        <w:tc>
          <w:tcPr>
            <w:tcW w:w="1149" w:type="dxa"/>
          </w:tcPr>
          <w:p w:rsidR="00443EC1" w:rsidRDefault="00443EC1">
            <w:pPr>
              <w:tabs>
                <w:tab w:val="left" w:pos="894"/>
              </w:tabs>
              <w:spacing w:before="0" w:after="0" w:line="320" w:lineRule="exact"/>
              <w:jc w:val="center"/>
              <w:rPr>
                <w:rFonts w:hint="cs"/>
                <w:spacing w:val="0"/>
                <w:sz w:val="32"/>
                <w:szCs w:val="26"/>
              </w:rPr>
            </w:pPr>
            <w:r>
              <w:rPr>
                <w:rFonts w:hint="cs"/>
                <w:spacing w:val="0"/>
                <w:sz w:val="32"/>
                <w:szCs w:val="26"/>
                <w:rtl/>
              </w:rPr>
              <w:t>28</w:t>
            </w:r>
          </w:p>
        </w:tc>
      </w:tr>
    </w:tbl>
    <w:p w:rsidR="00000000" w:rsidRDefault="00443EC1">
      <w:pPr>
        <w:spacing w:line="380" w:lineRule="exact"/>
        <w:jc w:val="both"/>
        <w:rPr>
          <w:rFonts w:hint="cs"/>
          <w:spacing w:val="0"/>
          <w:sz w:val="32"/>
          <w:rtl/>
        </w:rPr>
      </w:pPr>
      <w:r>
        <w:rPr>
          <w:rFonts w:hint="cs"/>
          <w:i/>
          <w:iCs/>
          <w:spacing w:val="0"/>
          <w:sz w:val="32"/>
          <w:rtl/>
        </w:rPr>
        <w:tab/>
        <w:t>المصدر</w:t>
      </w:r>
      <w:r>
        <w:rPr>
          <w:rFonts w:hint="cs"/>
          <w:spacing w:val="0"/>
          <w:sz w:val="32"/>
          <w:rtl/>
        </w:rPr>
        <w:t>:</w:t>
      </w:r>
      <w:r>
        <w:rPr>
          <w:rFonts w:hint="cs"/>
          <w:spacing w:val="0"/>
          <w:sz w:val="32"/>
          <w:rtl/>
        </w:rPr>
        <w:tab/>
        <w:t>وزارة التعليم وشؤون الشباب، 2002.</w:t>
      </w:r>
    </w:p>
    <w:p w:rsidR="00000000" w:rsidRDefault="00443EC1">
      <w:pPr>
        <w:tabs>
          <w:tab w:val="left" w:pos="894"/>
        </w:tabs>
        <w:spacing w:line="380" w:lineRule="exact"/>
        <w:jc w:val="center"/>
        <w:rPr>
          <w:b/>
          <w:bCs/>
          <w:spacing w:val="0"/>
          <w:sz w:val="32"/>
          <w:rtl/>
        </w:rPr>
      </w:pPr>
      <w:r>
        <w:rPr>
          <w:rFonts w:hint="cs"/>
          <w:b/>
          <w:bCs/>
          <w:spacing w:val="0"/>
          <w:sz w:val="32"/>
          <w:rtl/>
        </w:rPr>
        <w:t xml:space="preserve">واو </w:t>
      </w:r>
      <w:r>
        <w:rPr>
          <w:b/>
          <w:bCs/>
          <w:spacing w:val="0"/>
          <w:sz w:val="32"/>
          <w:rtl/>
        </w:rPr>
        <w:t>–</w:t>
      </w:r>
      <w:r>
        <w:rPr>
          <w:rFonts w:hint="cs"/>
          <w:b/>
          <w:bCs/>
          <w:spacing w:val="0"/>
          <w:sz w:val="32"/>
          <w:rtl/>
        </w:rPr>
        <w:t xml:space="preserve"> </w:t>
      </w:r>
      <w:r>
        <w:rPr>
          <w:b/>
          <w:bCs/>
          <w:spacing w:val="0"/>
          <w:sz w:val="32"/>
          <w:rtl/>
        </w:rPr>
        <w:t>السياسة</w:t>
      </w:r>
      <w:r>
        <w:rPr>
          <w:rFonts w:hint="cs"/>
          <w:b/>
          <w:bCs/>
          <w:spacing w:val="0"/>
          <w:sz w:val="32"/>
          <w:rtl/>
        </w:rPr>
        <w:t xml:space="preserve"> في مجال </w:t>
      </w:r>
      <w:r>
        <w:rPr>
          <w:b/>
          <w:bCs/>
          <w:spacing w:val="0"/>
          <w:sz w:val="32"/>
          <w:rtl/>
        </w:rPr>
        <w:t>اللغ</w:t>
      </w:r>
      <w:r>
        <w:rPr>
          <w:rFonts w:hint="cs"/>
          <w:b/>
          <w:bCs/>
          <w:spacing w:val="0"/>
          <w:sz w:val="32"/>
          <w:rtl/>
        </w:rPr>
        <w:t>ات</w:t>
      </w:r>
    </w:p>
    <w:p w:rsidR="00000000" w:rsidRDefault="00443EC1">
      <w:pPr>
        <w:tabs>
          <w:tab w:val="left" w:pos="894"/>
        </w:tabs>
        <w:spacing w:line="380" w:lineRule="exact"/>
        <w:jc w:val="both"/>
        <w:rPr>
          <w:rFonts w:hint="cs"/>
          <w:spacing w:val="0"/>
          <w:sz w:val="32"/>
          <w:rtl/>
        </w:rPr>
      </w:pPr>
      <w:r>
        <w:rPr>
          <w:rFonts w:hint="cs"/>
          <w:spacing w:val="0"/>
          <w:sz w:val="32"/>
          <w:rtl/>
        </w:rPr>
        <w:t xml:space="preserve">1130-   </w:t>
      </w:r>
      <w:r>
        <w:rPr>
          <w:spacing w:val="0"/>
          <w:sz w:val="32"/>
          <w:rtl/>
        </w:rPr>
        <w:t>تعتبر</w:t>
      </w:r>
      <w:r>
        <w:rPr>
          <w:rFonts w:hint="cs"/>
          <w:spacing w:val="0"/>
          <w:sz w:val="32"/>
          <w:rtl/>
        </w:rPr>
        <w:t xml:space="preserve"> كل من</w:t>
      </w:r>
      <w:r>
        <w:rPr>
          <w:spacing w:val="0"/>
          <w:sz w:val="32"/>
          <w:rtl/>
        </w:rPr>
        <w:t xml:space="preserve"> الصينية والبرتغالية</w:t>
      </w:r>
      <w:r>
        <w:rPr>
          <w:rFonts w:hint="cs"/>
          <w:spacing w:val="0"/>
          <w:sz w:val="32"/>
          <w:rtl/>
        </w:rPr>
        <w:t xml:space="preserve"> اللغتين الرسميتين</w:t>
      </w:r>
      <w:r>
        <w:rPr>
          <w:rFonts w:hint="cs"/>
          <w:spacing w:val="0"/>
          <w:sz w:val="32"/>
          <w:rtl/>
        </w:rPr>
        <w:t xml:space="preserve"> في مقاطعة ماكاو الإدارية الخاصة. وبالتالي، فإن المدارس العامة لا يسعها إلا أن تجعل من الصينية أو من البرتغالية لغة التعليم فيها. وتعتمد المدارس التي جعلت الصينية لغة التعليم فيها اللغة البرتغالية كلغة ثانية والعكس صحيح. </w:t>
      </w:r>
      <w:r>
        <w:rPr>
          <w:spacing w:val="0"/>
          <w:sz w:val="32"/>
        </w:rPr>
        <w:t>)</w:t>
      </w:r>
      <w:r>
        <w:rPr>
          <w:rFonts w:hint="cs"/>
          <w:spacing w:val="0"/>
          <w:sz w:val="32"/>
          <w:rtl/>
        </w:rPr>
        <w:t>الفقرتان 7 و8 من المادة 35 من القا</w:t>
      </w:r>
      <w:r>
        <w:rPr>
          <w:rFonts w:hint="cs"/>
          <w:spacing w:val="0"/>
          <w:sz w:val="32"/>
          <w:rtl/>
        </w:rPr>
        <w:t>نون 11/91/م</w:t>
      </w:r>
      <w:r>
        <w:rPr>
          <w:spacing w:val="0"/>
          <w:sz w:val="32"/>
        </w:rPr>
        <w:t>(</w:t>
      </w:r>
      <w:r>
        <w:rPr>
          <w:rFonts w:hint="cs"/>
          <w:spacing w:val="0"/>
          <w:sz w:val="32"/>
          <w:rtl/>
        </w:rPr>
        <w:t>.</w:t>
      </w:r>
    </w:p>
    <w:p w:rsidR="00000000" w:rsidRDefault="00443EC1">
      <w:pPr>
        <w:spacing w:line="380" w:lineRule="exact"/>
        <w:jc w:val="both"/>
        <w:rPr>
          <w:rFonts w:hint="cs"/>
          <w:rtl/>
        </w:rPr>
      </w:pPr>
      <w:r>
        <w:rPr>
          <w:rFonts w:hint="cs"/>
          <w:rtl/>
        </w:rPr>
        <w:t>1131-   وتقتضي ممارسة</w:t>
      </w:r>
      <w:r>
        <w:t xml:space="preserve"> </w:t>
      </w:r>
      <w:r>
        <w:rPr>
          <w:rFonts w:hint="cs"/>
          <w:rtl/>
        </w:rPr>
        <w:t xml:space="preserve">استقلالية اتخاذ القرارات التربوية أن يكون للمؤسسات التعليمية الخاصة مطلق الحرية في اختيار لغة التعليم وكذلك اللغة الثانية في المقررات الدراسية لكل واحدة من تلك المؤسسات </w:t>
      </w:r>
      <w:r>
        <w:t>)</w:t>
      </w:r>
      <w:r>
        <w:rPr>
          <w:rFonts w:hint="cs"/>
          <w:rtl/>
        </w:rPr>
        <w:t>الفقرة 6 من المادة 35 من القانون 11/91/م</w:t>
      </w:r>
      <w:r>
        <w:t>(</w:t>
      </w:r>
      <w:r>
        <w:rPr>
          <w:rFonts w:hint="cs"/>
          <w:rtl/>
        </w:rPr>
        <w:t>.</w:t>
      </w:r>
    </w:p>
    <w:p w:rsidR="00000000" w:rsidRDefault="00443EC1">
      <w:pPr>
        <w:spacing w:line="380" w:lineRule="exact"/>
        <w:jc w:val="both"/>
        <w:rPr>
          <w:rFonts w:hint="cs"/>
          <w:rtl/>
        </w:rPr>
      </w:pPr>
      <w:r>
        <w:rPr>
          <w:rFonts w:hint="cs"/>
          <w:rtl/>
        </w:rPr>
        <w:t xml:space="preserve">1132-  </w:t>
      </w:r>
      <w:r>
        <w:rPr>
          <w:rFonts w:hint="cs"/>
          <w:rtl/>
        </w:rPr>
        <w:t xml:space="preserve"> تعتبر اللغة الكانتونية اللغة السائدة الاستعمال والمفهومة من قبل الأغلبية في مجال التدريس.</w:t>
      </w:r>
    </w:p>
    <w:p w:rsidR="00000000" w:rsidRDefault="00443EC1">
      <w:pPr>
        <w:spacing w:line="380" w:lineRule="exact"/>
        <w:jc w:val="both"/>
        <w:rPr>
          <w:rFonts w:hint="cs"/>
          <w:b/>
          <w:bCs/>
          <w:rtl/>
        </w:rPr>
      </w:pPr>
      <w:r>
        <w:rPr>
          <w:rFonts w:hint="cs"/>
          <w:b/>
          <w:bCs/>
          <w:rtl/>
        </w:rPr>
        <w:t>توزيع التلاميذ حسب لغة التعليم</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40"/>
        <w:gridCol w:w="1440"/>
        <w:gridCol w:w="1620"/>
        <w:gridCol w:w="1620"/>
        <w:gridCol w:w="1440"/>
      </w:tblGrid>
      <w:tr w:rsidR="00443EC1" w:rsidTr="00443EC1">
        <w:tblPrEx>
          <w:tblCellMar>
            <w:top w:w="0" w:type="dxa"/>
            <w:bottom w:w="0" w:type="dxa"/>
          </w:tblCellMar>
        </w:tblPrEx>
        <w:trPr>
          <w:jc w:val="center"/>
        </w:trPr>
        <w:tc>
          <w:tcPr>
            <w:tcW w:w="2340" w:type="dxa"/>
            <w:tcBorders>
              <w:bottom w:val="single" w:sz="4" w:space="0" w:color="auto"/>
            </w:tcBorders>
          </w:tcPr>
          <w:p w:rsidR="00443EC1" w:rsidRDefault="00443EC1">
            <w:pPr>
              <w:spacing w:before="0" w:after="0" w:line="320" w:lineRule="exact"/>
              <w:jc w:val="center"/>
              <w:rPr>
                <w:rFonts w:hint="cs"/>
                <w:szCs w:val="26"/>
              </w:rPr>
            </w:pPr>
            <w:r>
              <w:rPr>
                <w:rFonts w:hint="cs"/>
                <w:szCs w:val="26"/>
                <w:rtl/>
              </w:rPr>
              <w:t>العام الدراسي 2000/2001</w:t>
            </w:r>
          </w:p>
        </w:tc>
        <w:tc>
          <w:tcPr>
            <w:tcW w:w="1440" w:type="dxa"/>
            <w:tcBorders>
              <w:bottom w:val="single" w:sz="4" w:space="0" w:color="auto"/>
            </w:tcBorders>
          </w:tcPr>
          <w:p w:rsidR="00443EC1" w:rsidRDefault="00443EC1">
            <w:pPr>
              <w:spacing w:before="0" w:after="0" w:line="320" w:lineRule="exact"/>
              <w:jc w:val="center"/>
              <w:rPr>
                <w:rFonts w:hint="cs"/>
                <w:szCs w:val="26"/>
              </w:rPr>
            </w:pPr>
            <w:r>
              <w:rPr>
                <w:rFonts w:hint="cs"/>
                <w:szCs w:val="26"/>
                <w:rtl/>
              </w:rPr>
              <w:t>الصينية</w:t>
            </w:r>
          </w:p>
        </w:tc>
        <w:tc>
          <w:tcPr>
            <w:tcW w:w="1620" w:type="dxa"/>
            <w:tcBorders>
              <w:bottom w:val="single" w:sz="4" w:space="0" w:color="auto"/>
            </w:tcBorders>
          </w:tcPr>
          <w:p w:rsidR="00443EC1" w:rsidRDefault="00443EC1">
            <w:pPr>
              <w:spacing w:before="0" w:after="0" w:line="320" w:lineRule="exact"/>
              <w:jc w:val="center"/>
              <w:rPr>
                <w:rFonts w:hint="cs"/>
                <w:szCs w:val="26"/>
              </w:rPr>
            </w:pPr>
            <w:r>
              <w:rPr>
                <w:rFonts w:hint="cs"/>
                <w:szCs w:val="26"/>
                <w:rtl/>
              </w:rPr>
              <w:t>البرتغالية</w:t>
            </w:r>
          </w:p>
        </w:tc>
        <w:tc>
          <w:tcPr>
            <w:tcW w:w="1620" w:type="dxa"/>
            <w:tcBorders>
              <w:bottom w:val="single" w:sz="4" w:space="0" w:color="auto"/>
            </w:tcBorders>
          </w:tcPr>
          <w:p w:rsidR="00443EC1" w:rsidRDefault="00443EC1">
            <w:pPr>
              <w:spacing w:before="0" w:after="0" w:line="320" w:lineRule="exact"/>
              <w:jc w:val="center"/>
              <w:rPr>
                <w:rFonts w:hint="cs"/>
                <w:szCs w:val="26"/>
              </w:rPr>
            </w:pPr>
            <w:r>
              <w:rPr>
                <w:rFonts w:hint="cs"/>
                <w:szCs w:val="26"/>
                <w:rtl/>
              </w:rPr>
              <w:t>الإنكليزية</w:t>
            </w:r>
          </w:p>
        </w:tc>
        <w:tc>
          <w:tcPr>
            <w:tcW w:w="1440" w:type="dxa"/>
            <w:tcBorders>
              <w:bottom w:val="single" w:sz="4" w:space="0" w:color="auto"/>
            </w:tcBorders>
          </w:tcPr>
          <w:p w:rsidR="00443EC1" w:rsidRDefault="00443EC1">
            <w:pPr>
              <w:spacing w:before="0" w:after="0" w:line="320" w:lineRule="exact"/>
              <w:jc w:val="center"/>
              <w:rPr>
                <w:rFonts w:hint="cs"/>
                <w:szCs w:val="26"/>
              </w:rPr>
            </w:pPr>
            <w:r>
              <w:rPr>
                <w:rFonts w:hint="cs"/>
                <w:szCs w:val="26"/>
                <w:rtl/>
              </w:rPr>
              <w:t>لغات أخرى</w:t>
            </w:r>
          </w:p>
        </w:tc>
      </w:tr>
      <w:tr w:rsidR="00443EC1" w:rsidTr="00443EC1">
        <w:tblPrEx>
          <w:tblCellMar>
            <w:top w:w="0" w:type="dxa"/>
            <w:bottom w:w="0" w:type="dxa"/>
          </w:tblCellMar>
        </w:tblPrEx>
        <w:trPr>
          <w:jc w:val="center"/>
        </w:trPr>
        <w:tc>
          <w:tcPr>
            <w:tcW w:w="2340" w:type="dxa"/>
            <w:tcBorders>
              <w:bottom w:val="nil"/>
            </w:tcBorders>
          </w:tcPr>
          <w:p w:rsidR="00443EC1" w:rsidRDefault="00443EC1">
            <w:pPr>
              <w:spacing w:before="0" w:after="0" w:line="320" w:lineRule="exact"/>
              <w:jc w:val="both"/>
              <w:rPr>
                <w:rFonts w:hint="cs"/>
                <w:szCs w:val="26"/>
              </w:rPr>
            </w:pPr>
            <w:r>
              <w:rPr>
                <w:rFonts w:hint="cs"/>
                <w:szCs w:val="26"/>
                <w:rtl/>
              </w:rPr>
              <w:t>التعليم قبل المدرسي</w:t>
            </w:r>
          </w:p>
        </w:tc>
        <w:tc>
          <w:tcPr>
            <w:tcW w:w="1440" w:type="dxa"/>
            <w:tcBorders>
              <w:bottom w:val="nil"/>
            </w:tcBorders>
          </w:tcPr>
          <w:p w:rsidR="00443EC1" w:rsidRDefault="00443EC1">
            <w:pPr>
              <w:spacing w:before="0" w:after="0" w:line="320" w:lineRule="exact"/>
              <w:ind w:firstLine="290"/>
              <w:jc w:val="both"/>
              <w:rPr>
                <w:rFonts w:hint="cs"/>
                <w:szCs w:val="26"/>
              </w:rPr>
            </w:pPr>
            <w:r>
              <w:rPr>
                <w:rFonts w:hint="cs"/>
                <w:szCs w:val="26"/>
                <w:rtl/>
              </w:rPr>
              <w:t>775 14</w:t>
            </w:r>
          </w:p>
        </w:tc>
        <w:tc>
          <w:tcPr>
            <w:tcW w:w="1620" w:type="dxa"/>
            <w:tcBorders>
              <w:bottom w:val="nil"/>
            </w:tcBorders>
          </w:tcPr>
          <w:p w:rsidR="00443EC1" w:rsidRDefault="00443EC1">
            <w:pPr>
              <w:spacing w:before="0" w:after="0" w:line="320" w:lineRule="exact"/>
              <w:ind w:firstLine="450"/>
              <w:jc w:val="both"/>
              <w:rPr>
                <w:rFonts w:hint="cs"/>
                <w:szCs w:val="26"/>
              </w:rPr>
            </w:pPr>
            <w:r>
              <w:rPr>
                <w:rFonts w:hint="cs"/>
                <w:szCs w:val="26"/>
                <w:rtl/>
              </w:rPr>
              <w:t>107</w:t>
            </w:r>
          </w:p>
        </w:tc>
        <w:tc>
          <w:tcPr>
            <w:tcW w:w="1620" w:type="dxa"/>
            <w:tcBorders>
              <w:bottom w:val="nil"/>
            </w:tcBorders>
          </w:tcPr>
          <w:p w:rsidR="00443EC1" w:rsidRDefault="00443EC1">
            <w:pPr>
              <w:spacing w:before="0" w:after="0" w:line="320" w:lineRule="exact"/>
              <w:ind w:firstLine="470"/>
              <w:jc w:val="both"/>
              <w:rPr>
                <w:rFonts w:hint="cs"/>
                <w:szCs w:val="26"/>
              </w:rPr>
            </w:pPr>
            <w:r>
              <w:rPr>
                <w:rFonts w:hint="cs"/>
                <w:szCs w:val="26"/>
                <w:rtl/>
              </w:rPr>
              <w:t>96</w:t>
            </w:r>
          </w:p>
        </w:tc>
        <w:tc>
          <w:tcPr>
            <w:tcW w:w="1440" w:type="dxa"/>
            <w:tcBorders>
              <w:bottom w:val="nil"/>
            </w:tcBorders>
          </w:tcPr>
          <w:p w:rsidR="00443EC1" w:rsidRDefault="00443EC1">
            <w:pPr>
              <w:spacing w:before="0" w:after="0" w:line="320" w:lineRule="exact"/>
              <w:ind w:firstLine="470"/>
              <w:jc w:val="both"/>
              <w:rPr>
                <w:rFonts w:hint="cs"/>
                <w:szCs w:val="26"/>
              </w:rPr>
            </w:pPr>
            <w:r>
              <w:rPr>
                <w:rFonts w:hint="cs"/>
                <w:szCs w:val="26"/>
                <w:rtl/>
              </w:rPr>
              <w:t>-</w:t>
            </w:r>
          </w:p>
        </w:tc>
      </w:tr>
      <w:tr w:rsidR="00443EC1" w:rsidTr="00443EC1">
        <w:tblPrEx>
          <w:tblCellMar>
            <w:top w:w="0" w:type="dxa"/>
            <w:bottom w:w="0" w:type="dxa"/>
          </w:tblCellMar>
        </w:tblPrEx>
        <w:trPr>
          <w:jc w:val="center"/>
        </w:trPr>
        <w:tc>
          <w:tcPr>
            <w:tcW w:w="2340" w:type="dxa"/>
            <w:tcBorders>
              <w:top w:val="nil"/>
              <w:bottom w:val="nil"/>
            </w:tcBorders>
          </w:tcPr>
          <w:p w:rsidR="00443EC1" w:rsidRDefault="00443EC1">
            <w:pPr>
              <w:spacing w:before="0" w:after="0" w:line="320" w:lineRule="exact"/>
              <w:jc w:val="both"/>
              <w:rPr>
                <w:rFonts w:hint="cs"/>
                <w:szCs w:val="26"/>
              </w:rPr>
            </w:pPr>
            <w:r>
              <w:rPr>
                <w:rFonts w:hint="cs"/>
                <w:szCs w:val="26"/>
                <w:rtl/>
              </w:rPr>
              <w:t>التعليم الابتدائي</w:t>
            </w:r>
          </w:p>
        </w:tc>
        <w:tc>
          <w:tcPr>
            <w:tcW w:w="1440" w:type="dxa"/>
            <w:tcBorders>
              <w:top w:val="nil"/>
              <w:bottom w:val="nil"/>
            </w:tcBorders>
          </w:tcPr>
          <w:p w:rsidR="00443EC1" w:rsidRDefault="00443EC1">
            <w:pPr>
              <w:spacing w:before="0" w:after="0" w:line="320" w:lineRule="exact"/>
              <w:ind w:firstLine="290"/>
              <w:jc w:val="both"/>
              <w:rPr>
                <w:rFonts w:hint="cs"/>
                <w:szCs w:val="26"/>
              </w:rPr>
            </w:pPr>
            <w:r>
              <w:rPr>
                <w:rFonts w:hint="cs"/>
                <w:szCs w:val="26"/>
                <w:rtl/>
              </w:rPr>
              <w:t>350 42</w:t>
            </w:r>
          </w:p>
        </w:tc>
        <w:tc>
          <w:tcPr>
            <w:tcW w:w="1620" w:type="dxa"/>
            <w:tcBorders>
              <w:top w:val="nil"/>
              <w:bottom w:val="nil"/>
            </w:tcBorders>
          </w:tcPr>
          <w:p w:rsidR="00443EC1" w:rsidRDefault="00443EC1">
            <w:pPr>
              <w:spacing w:before="0" w:after="0" w:line="320" w:lineRule="exact"/>
              <w:ind w:firstLine="450"/>
              <w:jc w:val="both"/>
              <w:rPr>
                <w:rFonts w:hint="cs"/>
                <w:szCs w:val="26"/>
              </w:rPr>
            </w:pPr>
            <w:r>
              <w:rPr>
                <w:rFonts w:hint="cs"/>
                <w:szCs w:val="26"/>
                <w:rtl/>
              </w:rPr>
              <w:t>339</w:t>
            </w:r>
          </w:p>
        </w:tc>
        <w:tc>
          <w:tcPr>
            <w:tcW w:w="1620" w:type="dxa"/>
            <w:tcBorders>
              <w:top w:val="nil"/>
              <w:bottom w:val="nil"/>
            </w:tcBorders>
          </w:tcPr>
          <w:p w:rsidR="00443EC1" w:rsidRDefault="00443EC1">
            <w:pPr>
              <w:spacing w:before="0" w:after="0" w:line="320" w:lineRule="exact"/>
              <w:ind w:firstLine="470"/>
              <w:jc w:val="both"/>
              <w:rPr>
                <w:rFonts w:hint="cs"/>
                <w:szCs w:val="26"/>
              </w:rPr>
            </w:pPr>
            <w:r>
              <w:rPr>
                <w:rFonts w:hint="cs"/>
                <w:szCs w:val="26"/>
                <w:rtl/>
              </w:rPr>
              <w:t>785 2</w:t>
            </w:r>
          </w:p>
        </w:tc>
        <w:tc>
          <w:tcPr>
            <w:tcW w:w="1440" w:type="dxa"/>
            <w:tcBorders>
              <w:top w:val="nil"/>
              <w:bottom w:val="nil"/>
            </w:tcBorders>
          </w:tcPr>
          <w:p w:rsidR="00443EC1" w:rsidRDefault="00443EC1">
            <w:pPr>
              <w:spacing w:before="0" w:after="0" w:line="320" w:lineRule="exact"/>
              <w:ind w:firstLine="470"/>
              <w:jc w:val="both"/>
              <w:rPr>
                <w:rFonts w:hint="cs"/>
                <w:szCs w:val="26"/>
              </w:rPr>
            </w:pPr>
            <w:r>
              <w:rPr>
                <w:rFonts w:hint="cs"/>
                <w:szCs w:val="26"/>
                <w:rtl/>
              </w:rPr>
              <w:t>-</w:t>
            </w:r>
          </w:p>
        </w:tc>
      </w:tr>
      <w:tr w:rsidR="00443EC1" w:rsidTr="00443EC1">
        <w:tblPrEx>
          <w:tblCellMar>
            <w:top w:w="0" w:type="dxa"/>
            <w:bottom w:w="0" w:type="dxa"/>
          </w:tblCellMar>
        </w:tblPrEx>
        <w:trPr>
          <w:jc w:val="center"/>
        </w:trPr>
        <w:tc>
          <w:tcPr>
            <w:tcW w:w="2340" w:type="dxa"/>
            <w:tcBorders>
              <w:top w:val="nil"/>
              <w:bottom w:val="nil"/>
            </w:tcBorders>
          </w:tcPr>
          <w:p w:rsidR="00443EC1" w:rsidRDefault="00443EC1">
            <w:pPr>
              <w:spacing w:before="0" w:after="0" w:line="320" w:lineRule="exact"/>
              <w:jc w:val="both"/>
              <w:rPr>
                <w:rFonts w:hint="cs"/>
                <w:szCs w:val="26"/>
              </w:rPr>
            </w:pPr>
            <w:r>
              <w:rPr>
                <w:rFonts w:hint="cs"/>
                <w:szCs w:val="26"/>
                <w:rtl/>
              </w:rPr>
              <w:t>التعليم الثانوي</w:t>
            </w:r>
          </w:p>
        </w:tc>
        <w:tc>
          <w:tcPr>
            <w:tcW w:w="1440" w:type="dxa"/>
            <w:tcBorders>
              <w:top w:val="nil"/>
              <w:bottom w:val="nil"/>
            </w:tcBorders>
          </w:tcPr>
          <w:p w:rsidR="00443EC1" w:rsidRDefault="00443EC1">
            <w:pPr>
              <w:spacing w:before="0" w:after="0" w:line="320" w:lineRule="exact"/>
              <w:ind w:firstLine="290"/>
              <w:jc w:val="both"/>
              <w:rPr>
                <w:rFonts w:hint="cs"/>
                <w:szCs w:val="26"/>
              </w:rPr>
            </w:pPr>
            <w:r>
              <w:rPr>
                <w:rFonts w:hint="cs"/>
                <w:szCs w:val="26"/>
                <w:rtl/>
              </w:rPr>
              <w:t>328 31</w:t>
            </w:r>
          </w:p>
        </w:tc>
        <w:tc>
          <w:tcPr>
            <w:tcW w:w="1620" w:type="dxa"/>
            <w:tcBorders>
              <w:top w:val="nil"/>
              <w:bottom w:val="nil"/>
            </w:tcBorders>
          </w:tcPr>
          <w:p w:rsidR="00443EC1" w:rsidRDefault="00443EC1">
            <w:pPr>
              <w:spacing w:before="0" w:after="0" w:line="320" w:lineRule="exact"/>
              <w:ind w:firstLine="450"/>
              <w:jc w:val="both"/>
              <w:rPr>
                <w:rFonts w:hint="cs"/>
                <w:szCs w:val="26"/>
              </w:rPr>
            </w:pPr>
            <w:r>
              <w:rPr>
                <w:rFonts w:hint="cs"/>
                <w:szCs w:val="26"/>
                <w:rtl/>
              </w:rPr>
              <w:t>561</w:t>
            </w:r>
          </w:p>
        </w:tc>
        <w:tc>
          <w:tcPr>
            <w:tcW w:w="1620" w:type="dxa"/>
            <w:tcBorders>
              <w:top w:val="nil"/>
              <w:bottom w:val="nil"/>
            </w:tcBorders>
          </w:tcPr>
          <w:p w:rsidR="00443EC1" w:rsidRDefault="00443EC1">
            <w:pPr>
              <w:spacing w:before="0" w:after="0" w:line="320" w:lineRule="exact"/>
              <w:ind w:firstLine="470"/>
              <w:jc w:val="both"/>
              <w:rPr>
                <w:rFonts w:hint="cs"/>
                <w:szCs w:val="26"/>
              </w:rPr>
            </w:pPr>
            <w:r>
              <w:rPr>
                <w:rFonts w:hint="cs"/>
                <w:szCs w:val="26"/>
                <w:rtl/>
              </w:rPr>
              <w:t>721 3</w:t>
            </w:r>
          </w:p>
        </w:tc>
        <w:tc>
          <w:tcPr>
            <w:tcW w:w="1440" w:type="dxa"/>
            <w:tcBorders>
              <w:top w:val="nil"/>
              <w:bottom w:val="nil"/>
            </w:tcBorders>
          </w:tcPr>
          <w:p w:rsidR="00443EC1" w:rsidRDefault="00443EC1">
            <w:pPr>
              <w:spacing w:before="0" w:after="0" w:line="320" w:lineRule="exact"/>
              <w:ind w:firstLine="470"/>
              <w:jc w:val="both"/>
              <w:rPr>
                <w:rFonts w:hint="cs"/>
                <w:szCs w:val="26"/>
              </w:rPr>
            </w:pPr>
            <w:r>
              <w:rPr>
                <w:rFonts w:hint="cs"/>
                <w:szCs w:val="26"/>
                <w:rtl/>
              </w:rPr>
              <w:t>240</w:t>
            </w:r>
          </w:p>
        </w:tc>
      </w:tr>
      <w:tr w:rsidR="00443EC1" w:rsidTr="00443EC1">
        <w:tblPrEx>
          <w:tblCellMar>
            <w:top w:w="0" w:type="dxa"/>
            <w:bottom w:w="0" w:type="dxa"/>
          </w:tblCellMar>
        </w:tblPrEx>
        <w:trPr>
          <w:jc w:val="center"/>
        </w:trPr>
        <w:tc>
          <w:tcPr>
            <w:tcW w:w="2340" w:type="dxa"/>
            <w:tcBorders>
              <w:top w:val="nil"/>
            </w:tcBorders>
          </w:tcPr>
          <w:p w:rsidR="00443EC1" w:rsidRDefault="00443EC1">
            <w:pPr>
              <w:spacing w:before="0" w:after="0" w:line="320" w:lineRule="exact"/>
              <w:jc w:val="both"/>
              <w:rPr>
                <w:rFonts w:hint="cs"/>
                <w:szCs w:val="26"/>
              </w:rPr>
            </w:pPr>
            <w:r>
              <w:rPr>
                <w:rFonts w:hint="cs"/>
                <w:szCs w:val="26"/>
                <w:rtl/>
              </w:rPr>
              <w:t>التعليم الفني والمهني</w:t>
            </w:r>
          </w:p>
        </w:tc>
        <w:tc>
          <w:tcPr>
            <w:tcW w:w="1440" w:type="dxa"/>
            <w:tcBorders>
              <w:top w:val="nil"/>
            </w:tcBorders>
          </w:tcPr>
          <w:p w:rsidR="00443EC1" w:rsidRDefault="00443EC1">
            <w:pPr>
              <w:spacing w:before="0" w:after="0" w:line="320" w:lineRule="exact"/>
              <w:ind w:firstLine="290"/>
              <w:jc w:val="both"/>
              <w:rPr>
                <w:rFonts w:hint="cs"/>
                <w:szCs w:val="26"/>
              </w:rPr>
            </w:pPr>
            <w:r>
              <w:rPr>
                <w:rFonts w:hint="cs"/>
                <w:szCs w:val="26"/>
                <w:rtl/>
              </w:rPr>
              <w:t>306 2</w:t>
            </w:r>
          </w:p>
        </w:tc>
        <w:tc>
          <w:tcPr>
            <w:tcW w:w="1620" w:type="dxa"/>
            <w:tcBorders>
              <w:top w:val="nil"/>
            </w:tcBorders>
          </w:tcPr>
          <w:p w:rsidR="00443EC1" w:rsidRDefault="00443EC1">
            <w:pPr>
              <w:spacing w:before="0" w:after="0" w:line="320" w:lineRule="exact"/>
              <w:ind w:firstLine="450"/>
              <w:jc w:val="both"/>
              <w:rPr>
                <w:rFonts w:hint="cs"/>
                <w:szCs w:val="26"/>
              </w:rPr>
            </w:pPr>
            <w:r>
              <w:rPr>
                <w:rFonts w:hint="cs"/>
                <w:szCs w:val="26"/>
                <w:rtl/>
              </w:rPr>
              <w:t>-</w:t>
            </w:r>
          </w:p>
        </w:tc>
        <w:tc>
          <w:tcPr>
            <w:tcW w:w="1620" w:type="dxa"/>
            <w:tcBorders>
              <w:top w:val="nil"/>
            </w:tcBorders>
          </w:tcPr>
          <w:p w:rsidR="00443EC1" w:rsidRDefault="00443EC1">
            <w:pPr>
              <w:spacing w:before="0" w:after="0" w:line="320" w:lineRule="exact"/>
              <w:ind w:firstLine="470"/>
              <w:jc w:val="both"/>
              <w:rPr>
                <w:rFonts w:hint="cs"/>
                <w:szCs w:val="26"/>
              </w:rPr>
            </w:pPr>
            <w:r>
              <w:rPr>
                <w:rFonts w:hint="cs"/>
                <w:szCs w:val="26"/>
                <w:rtl/>
              </w:rPr>
              <w:t>-</w:t>
            </w:r>
          </w:p>
        </w:tc>
        <w:tc>
          <w:tcPr>
            <w:tcW w:w="1440" w:type="dxa"/>
            <w:tcBorders>
              <w:top w:val="nil"/>
            </w:tcBorders>
          </w:tcPr>
          <w:p w:rsidR="00443EC1" w:rsidRDefault="00443EC1">
            <w:pPr>
              <w:spacing w:before="0" w:after="0" w:line="320" w:lineRule="exact"/>
              <w:ind w:firstLine="470"/>
              <w:jc w:val="both"/>
              <w:rPr>
                <w:rFonts w:hint="cs"/>
                <w:szCs w:val="26"/>
              </w:rPr>
            </w:pPr>
            <w:r>
              <w:rPr>
                <w:rFonts w:hint="cs"/>
                <w:szCs w:val="26"/>
                <w:rtl/>
              </w:rPr>
              <w:t>-</w:t>
            </w:r>
          </w:p>
        </w:tc>
      </w:tr>
    </w:tbl>
    <w:p w:rsidR="00000000" w:rsidRDefault="00443EC1">
      <w:pPr>
        <w:spacing w:line="380" w:lineRule="exact"/>
        <w:jc w:val="both"/>
        <w:rPr>
          <w:rFonts w:hint="cs"/>
          <w:rtl/>
        </w:rPr>
      </w:pPr>
      <w:r>
        <w:rPr>
          <w:rFonts w:hint="cs"/>
          <w:rtl/>
        </w:rPr>
        <w:tab/>
      </w:r>
      <w:r>
        <w:rPr>
          <w:rFonts w:hint="cs"/>
          <w:i/>
          <w:iCs/>
          <w:rtl/>
        </w:rPr>
        <w:t>المصدر</w:t>
      </w:r>
      <w:r>
        <w:rPr>
          <w:rFonts w:hint="cs"/>
          <w:rtl/>
        </w:rPr>
        <w:t>: إحصاء عام 2001، إدارة الإحصاء والتعداد.</w:t>
      </w:r>
    </w:p>
    <w:p w:rsidR="00000000" w:rsidRDefault="00443EC1">
      <w:pPr>
        <w:spacing w:before="180" w:after="180" w:line="360" w:lineRule="exact"/>
        <w:jc w:val="both"/>
        <w:rPr>
          <w:rFonts w:hint="cs"/>
          <w:rtl/>
        </w:rPr>
      </w:pPr>
      <w:r>
        <w:rPr>
          <w:rFonts w:hint="cs"/>
          <w:rtl/>
        </w:rPr>
        <w:t>1133-   فيما يتعلق بتوفير وسائل تعلم اللغات، تقدم حكومة مقاطعة ماكاو الإدارية الخاصة دروسا بلغة التلاميذ الأم، كالصينية والبرتغا</w:t>
      </w:r>
      <w:r>
        <w:rPr>
          <w:rFonts w:hint="cs"/>
          <w:rtl/>
        </w:rPr>
        <w:t>لية، من خلال مركز التعليم المستمر والمشروع الخاص للمعهد المتعدد التخصصات ومدرسة اللغات والترجمة.</w:t>
      </w:r>
    </w:p>
    <w:p w:rsidR="00000000" w:rsidRDefault="00443EC1">
      <w:pPr>
        <w:spacing w:before="180" w:after="180" w:line="360" w:lineRule="exact"/>
        <w:jc w:val="center"/>
        <w:rPr>
          <w:rFonts w:hint="cs"/>
          <w:b/>
          <w:bCs/>
          <w:rtl/>
        </w:rPr>
      </w:pPr>
      <w:r>
        <w:rPr>
          <w:rFonts w:hint="cs"/>
          <w:b/>
          <w:bCs/>
          <w:rtl/>
        </w:rPr>
        <w:t xml:space="preserve">زاي </w:t>
      </w:r>
      <w:r>
        <w:rPr>
          <w:b/>
          <w:bCs/>
          <w:rtl/>
        </w:rPr>
        <w:t>–</w:t>
      </w:r>
      <w:r>
        <w:rPr>
          <w:rFonts w:hint="cs"/>
          <w:b/>
          <w:bCs/>
          <w:rtl/>
        </w:rPr>
        <w:t xml:space="preserve"> المدرسون</w:t>
      </w:r>
    </w:p>
    <w:p w:rsidR="00000000" w:rsidRDefault="00443EC1">
      <w:pPr>
        <w:spacing w:before="180" w:after="180" w:line="360" w:lineRule="exact"/>
        <w:jc w:val="both"/>
        <w:rPr>
          <w:rFonts w:hint="cs"/>
          <w:rtl/>
        </w:rPr>
      </w:pPr>
      <w:r>
        <w:rPr>
          <w:rFonts w:hint="cs"/>
          <w:rtl/>
        </w:rPr>
        <w:t>1134-   وفقا لنظام التعليم القائم في مقاطعة ماكاو الإدارية الخاصة، يقوم المدرسون والمربون بعمل يعتبر خدمة للمصلحة العامة ويحظى بمرتبة مشرفة تتلا</w:t>
      </w:r>
      <w:r>
        <w:rPr>
          <w:rFonts w:hint="cs"/>
          <w:rtl/>
        </w:rPr>
        <w:t xml:space="preserve">ءم مع مؤهلاتهم المهنية ومع مسؤولياتهم الاجتماعية </w:t>
      </w:r>
      <w:r>
        <w:t>)</w:t>
      </w:r>
      <w:r>
        <w:rPr>
          <w:rFonts w:hint="cs"/>
          <w:rtl/>
        </w:rPr>
        <w:t>المادة 25 من القانون 11/91/م والمرسوم بقانون 15/96/م المرسوم بقانون في 25 آذار/مارس).</w:t>
      </w:r>
    </w:p>
    <w:p w:rsidR="00000000" w:rsidRDefault="00443EC1">
      <w:pPr>
        <w:spacing w:before="180" w:after="180" w:line="360" w:lineRule="exact"/>
        <w:jc w:val="both"/>
        <w:rPr>
          <w:rFonts w:hint="cs"/>
          <w:rtl/>
        </w:rPr>
      </w:pPr>
      <w:r>
        <w:rPr>
          <w:rFonts w:hint="cs"/>
          <w:rtl/>
        </w:rPr>
        <w:t>1135-   بحكم القانون، من حق المدرسين والمربين، بل من واجبهم، الحصول على تدريب مهني. وتتحمل حكومة مقاطعة ماكاو الإدارية ا</w:t>
      </w:r>
      <w:r>
        <w:rPr>
          <w:rFonts w:hint="cs"/>
          <w:rtl/>
        </w:rPr>
        <w:t xml:space="preserve">لخاصة مسؤولية تحسين الظروف وتوفير الوسائل الضرورية لبلوغ هذا الهدف. ويتخذ تدريب المدرسين أشكالا متنوعة وطيعة تتراوح ما بين التدريب الأولي (فترة التدريب) والتدريب المستمر </w:t>
      </w:r>
      <w:r>
        <w:rPr>
          <w:rtl/>
        </w:rPr>
        <w:br/>
      </w:r>
      <w:r>
        <w:t>)</w:t>
      </w:r>
      <w:r>
        <w:rPr>
          <w:rFonts w:hint="cs"/>
          <w:rtl/>
        </w:rPr>
        <w:t>الفقرة 6 من المادة 25 والمادة 26 من القانون 11/91/م</w:t>
      </w:r>
      <w:r>
        <w:t>(</w:t>
      </w:r>
      <w:r>
        <w:rPr>
          <w:rFonts w:hint="cs"/>
          <w:rtl/>
        </w:rPr>
        <w:t>.</w:t>
      </w:r>
    </w:p>
    <w:p w:rsidR="00000000" w:rsidRDefault="00443EC1">
      <w:pPr>
        <w:spacing w:before="180" w:after="180" w:line="360" w:lineRule="exact"/>
        <w:jc w:val="both"/>
        <w:rPr>
          <w:rFonts w:hint="cs"/>
          <w:rtl/>
        </w:rPr>
      </w:pPr>
      <w:r>
        <w:rPr>
          <w:rFonts w:hint="cs"/>
          <w:rtl/>
        </w:rPr>
        <w:t>1136-   ينبغي أن تتضمن جميع أن</w:t>
      </w:r>
      <w:r>
        <w:rPr>
          <w:rFonts w:hint="cs"/>
          <w:rtl/>
        </w:rPr>
        <w:t>واع التدريب التي تقدم للمدرسين معارف ومهارات علمية وتربوية. كما ينبغي أن تكون أيضا ذات بعد شخصي واجتماعي يلائم احتياجات المقررات الدراسية لمختلف مستويات التربية والتعليم.</w:t>
      </w:r>
    </w:p>
    <w:p w:rsidR="00000000" w:rsidRDefault="00443EC1">
      <w:pPr>
        <w:spacing w:before="180" w:after="180" w:line="360" w:lineRule="exact"/>
        <w:jc w:val="both"/>
        <w:rPr>
          <w:rFonts w:hint="cs"/>
          <w:rtl/>
        </w:rPr>
      </w:pPr>
      <w:r>
        <w:rPr>
          <w:rFonts w:hint="cs"/>
          <w:rtl/>
        </w:rPr>
        <w:t>1137-   و</w:t>
      </w:r>
      <w:r>
        <w:rPr>
          <w:rtl/>
        </w:rPr>
        <w:t>في عام 2001،</w:t>
      </w:r>
      <w:r>
        <w:rPr>
          <w:rFonts w:hint="cs"/>
          <w:rtl/>
        </w:rPr>
        <w:t xml:space="preserve"> وفّرت وزارة التعليم وشؤون الشباب 133 دورة تدريبية للمدرسين شارك</w:t>
      </w:r>
      <w:r>
        <w:rPr>
          <w:rFonts w:hint="cs"/>
          <w:rtl/>
        </w:rPr>
        <w:t xml:space="preserve"> فيها 873 8 مدرسا. وفي العام الدراسي 2001-2002، قدمت وزارة التعليم وشؤون الشباب كذلك إعانة بلغت قيمتها 310 427 3 باتاكا للمدرسين في مرحلتي ما قبل الخدمة وأثناء الخدمة ليشاركوا في برامج التدريب التي تنظمها مختلف مؤسسات التعليم العالي.</w:t>
      </w:r>
    </w:p>
    <w:p w:rsidR="00000000" w:rsidRDefault="00443EC1">
      <w:pPr>
        <w:spacing w:before="180" w:after="180" w:line="360" w:lineRule="exact"/>
        <w:jc w:val="both"/>
        <w:rPr>
          <w:rFonts w:hint="cs"/>
          <w:rtl/>
        </w:rPr>
      </w:pPr>
      <w:r>
        <w:rPr>
          <w:rFonts w:hint="cs"/>
          <w:rtl/>
        </w:rPr>
        <w:t>1138-   ولقد ارتفع الع</w:t>
      </w:r>
      <w:r>
        <w:rPr>
          <w:rFonts w:hint="cs"/>
          <w:rtl/>
        </w:rPr>
        <w:t>دد الإجمالي للمدرسين وانخفضت نسبة التلاميذ إلى المدرسين شيئا فشيئا على مدى الأعوام الدراسية القليلة الماضية. وحسب بيانات قدمتها وزارة التعليم وشؤون الشباب (تأخذ في الاعتبار التعليم العالي)، بلغ العدد الإجمالي للمدرسين 983 3 مدرساً في العام الدراسي 2000-200</w:t>
      </w:r>
      <w:r>
        <w:rPr>
          <w:rFonts w:hint="cs"/>
          <w:rtl/>
        </w:rPr>
        <w:t xml:space="preserve">1 و050 4 في العام الدراسي 2001-2002 بينما كان العدد الإجمالي للتلاميذ 576 99 في العام الدراسي 2000-2001 </w:t>
      </w:r>
      <w:r>
        <w:rPr>
          <w:rtl/>
        </w:rPr>
        <w:br/>
      </w:r>
      <w:r>
        <w:rPr>
          <w:rFonts w:hint="cs"/>
          <w:rtl/>
        </w:rPr>
        <w:t>و990 99 في العام الدراسي 2001-2002.</w:t>
      </w:r>
    </w:p>
    <w:p w:rsidR="00000000" w:rsidRDefault="00443EC1">
      <w:pPr>
        <w:spacing w:before="180" w:after="180" w:line="380" w:lineRule="exact"/>
        <w:jc w:val="both"/>
        <w:rPr>
          <w:rFonts w:hint="cs"/>
          <w:b/>
          <w:bCs/>
          <w:rtl/>
        </w:rPr>
      </w:pPr>
      <w:r>
        <w:rPr>
          <w:rFonts w:hint="cs"/>
          <w:b/>
          <w:bCs/>
          <w:rtl/>
        </w:rPr>
        <w:t>توزيع عدد المدرسين حسب المستوى الدراسي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0"/>
        <w:gridCol w:w="1986"/>
        <w:gridCol w:w="1674"/>
        <w:gridCol w:w="1674"/>
      </w:tblGrid>
      <w:tr w:rsidR="00443EC1" w:rsidTr="00443EC1">
        <w:tblPrEx>
          <w:tblCellMar>
            <w:top w:w="0" w:type="dxa"/>
            <w:bottom w:w="0" w:type="dxa"/>
          </w:tblCellMar>
        </w:tblPrEx>
        <w:trPr>
          <w:jc w:val="center"/>
        </w:trPr>
        <w:tc>
          <w:tcPr>
            <w:tcW w:w="3060" w:type="dxa"/>
            <w:tcBorders>
              <w:bottom w:val="single" w:sz="4" w:space="0" w:color="auto"/>
            </w:tcBorders>
          </w:tcPr>
          <w:p w:rsidR="00443EC1" w:rsidRDefault="00443EC1">
            <w:pPr>
              <w:spacing w:before="0" w:after="0" w:line="260" w:lineRule="exact"/>
              <w:jc w:val="center"/>
              <w:rPr>
                <w:rFonts w:hint="cs"/>
                <w:szCs w:val="26"/>
              </w:rPr>
            </w:pPr>
            <w:r>
              <w:rPr>
                <w:rFonts w:hint="cs"/>
                <w:szCs w:val="26"/>
                <w:rtl/>
              </w:rPr>
              <w:t>مستويات التعليم</w:t>
            </w:r>
          </w:p>
        </w:tc>
        <w:tc>
          <w:tcPr>
            <w:tcW w:w="1986" w:type="dxa"/>
            <w:tcBorders>
              <w:bottom w:val="single" w:sz="4" w:space="0" w:color="auto"/>
            </w:tcBorders>
          </w:tcPr>
          <w:p w:rsidR="00443EC1" w:rsidRDefault="00443EC1">
            <w:pPr>
              <w:spacing w:before="0" w:after="0" w:line="260" w:lineRule="exact"/>
              <w:jc w:val="center"/>
              <w:rPr>
                <w:rFonts w:hint="cs"/>
                <w:szCs w:val="26"/>
              </w:rPr>
            </w:pPr>
            <w:r>
              <w:rPr>
                <w:rFonts w:hint="cs"/>
                <w:szCs w:val="26"/>
                <w:rtl/>
              </w:rPr>
              <w:t>1999/2000</w:t>
            </w:r>
          </w:p>
        </w:tc>
        <w:tc>
          <w:tcPr>
            <w:tcW w:w="1674" w:type="dxa"/>
            <w:tcBorders>
              <w:bottom w:val="single" w:sz="4" w:space="0" w:color="auto"/>
            </w:tcBorders>
          </w:tcPr>
          <w:p w:rsidR="00443EC1" w:rsidRDefault="00443EC1">
            <w:pPr>
              <w:spacing w:before="0" w:after="0" w:line="260" w:lineRule="exact"/>
              <w:jc w:val="center"/>
              <w:rPr>
                <w:rFonts w:hint="cs"/>
                <w:szCs w:val="26"/>
              </w:rPr>
            </w:pPr>
            <w:r>
              <w:rPr>
                <w:rFonts w:hint="cs"/>
                <w:szCs w:val="26"/>
                <w:rtl/>
              </w:rPr>
              <w:t>2000/2001</w:t>
            </w:r>
          </w:p>
        </w:tc>
        <w:tc>
          <w:tcPr>
            <w:tcW w:w="1674" w:type="dxa"/>
            <w:tcBorders>
              <w:bottom w:val="single" w:sz="4" w:space="0" w:color="auto"/>
            </w:tcBorders>
          </w:tcPr>
          <w:p w:rsidR="00443EC1" w:rsidRDefault="00443EC1">
            <w:pPr>
              <w:spacing w:before="0" w:after="0" w:line="260" w:lineRule="exact"/>
              <w:jc w:val="center"/>
              <w:rPr>
                <w:rFonts w:hint="cs"/>
                <w:szCs w:val="26"/>
              </w:rPr>
            </w:pPr>
            <w:r>
              <w:rPr>
                <w:rFonts w:hint="cs"/>
                <w:szCs w:val="26"/>
                <w:rtl/>
              </w:rPr>
              <w:t>2001/2002</w:t>
            </w:r>
          </w:p>
        </w:tc>
      </w:tr>
      <w:tr w:rsidR="00443EC1" w:rsidTr="00443EC1">
        <w:tblPrEx>
          <w:tblCellMar>
            <w:top w:w="0" w:type="dxa"/>
            <w:bottom w:w="0" w:type="dxa"/>
          </w:tblCellMar>
        </w:tblPrEx>
        <w:trPr>
          <w:jc w:val="center"/>
        </w:trPr>
        <w:tc>
          <w:tcPr>
            <w:tcW w:w="3060" w:type="dxa"/>
            <w:tcBorders>
              <w:bottom w:val="nil"/>
            </w:tcBorders>
          </w:tcPr>
          <w:p w:rsidR="00443EC1" w:rsidRDefault="00443EC1">
            <w:pPr>
              <w:spacing w:before="0" w:after="0" w:line="260" w:lineRule="exact"/>
              <w:jc w:val="both"/>
              <w:rPr>
                <w:rFonts w:hint="cs"/>
                <w:szCs w:val="26"/>
              </w:rPr>
            </w:pPr>
            <w:r>
              <w:rPr>
                <w:rFonts w:hint="cs"/>
                <w:szCs w:val="26"/>
                <w:rtl/>
              </w:rPr>
              <w:t>ما قبل المدرسة (دور الحضانة)</w:t>
            </w:r>
          </w:p>
        </w:tc>
        <w:tc>
          <w:tcPr>
            <w:tcW w:w="1986" w:type="dxa"/>
            <w:tcBorders>
              <w:bottom w:val="nil"/>
            </w:tcBorders>
          </w:tcPr>
          <w:p w:rsidR="00443EC1" w:rsidRDefault="00443EC1">
            <w:pPr>
              <w:spacing w:before="0" w:after="0" w:line="260" w:lineRule="exact"/>
              <w:ind w:firstLine="612"/>
              <w:jc w:val="both"/>
              <w:rPr>
                <w:rFonts w:hint="cs"/>
                <w:szCs w:val="26"/>
              </w:rPr>
            </w:pPr>
            <w:r>
              <w:rPr>
                <w:rFonts w:hint="cs"/>
                <w:szCs w:val="26"/>
                <w:rtl/>
              </w:rPr>
              <w:t>531</w:t>
            </w:r>
          </w:p>
        </w:tc>
        <w:tc>
          <w:tcPr>
            <w:tcW w:w="1674" w:type="dxa"/>
            <w:tcBorders>
              <w:bottom w:val="nil"/>
            </w:tcBorders>
          </w:tcPr>
          <w:p w:rsidR="00443EC1" w:rsidRDefault="00443EC1">
            <w:pPr>
              <w:spacing w:before="0" w:after="0" w:line="260" w:lineRule="exact"/>
              <w:ind w:firstLine="426"/>
              <w:jc w:val="both"/>
              <w:rPr>
                <w:rFonts w:hint="cs"/>
                <w:szCs w:val="26"/>
              </w:rPr>
            </w:pPr>
            <w:r>
              <w:rPr>
                <w:rFonts w:hint="cs"/>
                <w:szCs w:val="26"/>
                <w:rtl/>
              </w:rPr>
              <w:t>494</w:t>
            </w:r>
          </w:p>
        </w:tc>
        <w:tc>
          <w:tcPr>
            <w:tcW w:w="1674" w:type="dxa"/>
            <w:tcBorders>
              <w:bottom w:val="nil"/>
            </w:tcBorders>
          </w:tcPr>
          <w:p w:rsidR="00443EC1" w:rsidRDefault="00443EC1">
            <w:pPr>
              <w:spacing w:before="0" w:after="0" w:line="260" w:lineRule="exact"/>
              <w:ind w:firstLine="372"/>
              <w:jc w:val="both"/>
              <w:rPr>
                <w:rFonts w:hint="cs"/>
                <w:szCs w:val="26"/>
              </w:rPr>
            </w:pPr>
            <w:r>
              <w:rPr>
                <w:rFonts w:hint="cs"/>
                <w:szCs w:val="26"/>
                <w:rtl/>
              </w:rPr>
              <w:t>472*</w:t>
            </w:r>
          </w:p>
        </w:tc>
      </w:tr>
      <w:tr w:rsidR="00443EC1" w:rsidTr="00443EC1">
        <w:tblPrEx>
          <w:tblCellMar>
            <w:top w:w="0" w:type="dxa"/>
            <w:bottom w:w="0" w:type="dxa"/>
          </w:tblCellMar>
        </w:tblPrEx>
        <w:trPr>
          <w:jc w:val="center"/>
        </w:trPr>
        <w:tc>
          <w:tcPr>
            <w:tcW w:w="3060" w:type="dxa"/>
            <w:tcBorders>
              <w:top w:val="nil"/>
              <w:bottom w:val="nil"/>
            </w:tcBorders>
          </w:tcPr>
          <w:p w:rsidR="00443EC1" w:rsidRDefault="00443EC1">
            <w:pPr>
              <w:spacing w:before="0" w:after="0" w:line="260" w:lineRule="exact"/>
              <w:jc w:val="both"/>
              <w:rPr>
                <w:rFonts w:hint="cs"/>
                <w:szCs w:val="26"/>
              </w:rPr>
            </w:pPr>
            <w:r>
              <w:rPr>
                <w:rFonts w:hint="cs"/>
                <w:szCs w:val="26"/>
                <w:rtl/>
              </w:rPr>
              <w:t>المستوى الابتدائي</w:t>
            </w:r>
          </w:p>
        </w:tc>
        <w:tc>
          <w:tcPr>
            <w:tcW w:w="1986" w:type="dxa"/>
            <w:tcBorders>
              <w:top w:val="nil"/>
              <w:bottom w:val="nil"/>
            </w:tcBorders>
          </w:tcPr>
          <w:p w:rsidR="00443EC1" w:rsidRDefault="00443EC1">
            <w:pPr>
              <w:spacing w:before="0" w:after="0" w:line="260" w:lineRule="exact"/>
              <w:ind w:firstLine="612"/>
              <w:jc w:val="both"/>
              <w:rPr>
                <w:rFonts w:hint="cs"/>
                <w:szCs w:val="26"/>
              </w:rPr>
            </w:pPr>
            <w:r>
              <w:rPr>
                <w:rFonts w:hint="cs"/>
                <w:szCs w:val="26"/>
                <w:rtl/>
              </w:rPr>
              <w:t>496 1</w:t>
            </w:r>
          </w:p>
        </w:tc>
        <w:tc>
          <w:tcPr>
            <w:tcW w:w="1674" w:type="dxa"/>
            <w:tcBorders>
              <w:top w:val="nil"/>
              <w:bottom w:val="nil"/>
            </w:tcBorders>
          </w:tcPr>
          <w:p w:rsidR="00443EC1" w:rsidRDefault="00443EC1">
            <w:pPr>
              <w:spacing w:before="0" w:after="0" w:line="260" w:lineRule="exact"/>
              <w:ind w:firstLine="426"/>
              <w:jc w:val="both"/>
              <w:rPr>
                <w:rFonts w:hint="cs"/>
                <w:szCs w:val="26"/>
              </w:rPr>
            </w:pPr>
            <w:r>
              <w:rPr>
                <w:rFonts w:hint="cs"/>
                <w:szCs w:val="26"/>
                <w:rtl/>
              </w:rPr>
              <w:t>530 1</w:t>
            </w:r>
          </w:p>
        </w:tc>
        <w:tc>
          <w:tcPr>
            <w:tcW w:w="1674" w:type="dxa"/>
            <w:tcBorders>
              <w:top w:val="nil"/>
              <w:bottom w:val="nil"/>
            </w:tcBorders>
          </w:tcPr>
          <w:p w:rsidR="00443EC1" w:rsidRDefault="00443EC1">
            <w:pPr>
              <w:spacing w:before="0" w:after="0" w:line="260" w:lineRule="exact"/>
              <w:ind w:firstLine="372"/>
              <w:jc w:val="both"/>
              <w:rPr>
                <w:rFonts w:hint="cs"/>
                <w:szCs w:val="26"/>
              </w:rPr>
            </w:pPr>
            <w:r>
              <w:rPr>
                <w:rFonts w:hint="cs"/>
                <w:szCs w:val="26"/>
                <w:rtl/>
              </w:rPr>
              <w:t>527 1*</w:t>
            </w:r>
          </w:p>
        </w:tc>
      </w:tr>
      <w:tr w:rsidR="00443EC1" w:rsidTr="00443EC1">
        <w:tblPrEx>
          <w:tblCellMar>
            <w:top w:w="0" w:type="dxa"/>
            <w:bottom w:w="0" w:type="dxa"/>
          </w:tblCellMar>
        </w:tblPrEx>
        <w:trPr>
          <w:jc w:val="center"/>
        </w:trPr>
        <w:tc>
          <w:tcPr>
            <w:tcW w:w="3060" w:type="dxa"/>
            <w:tcBorders>
              <w:top w:val="nil"/>
              <w:bottom w:val="nil"/>
            </w:tcBorders>
          </w:tcPr>
          <w:p w:rsidR="00443EC1" w:rsidRDefault="00443EC1">
            <w:pPr>
              <w:spacing w:before="0" w:after="0" w:line="260" w:lineRule="exact"/>
              <w:jc w:val="both"/>
              <w:rPr>
                <w:rFonts w:hint="cs"/>
                <w:szCs w:val="26"/>
              </w:rPr>
            </w:pPr>
            <w:r>
              <w:rPr>
                <w:rFonts w:hint="cs"/>
                <w:szCs w:val="26"/>
                <w:rtl/>
              </w:rPr>
              <w:t>المستوى الثانوي</w:t>
            </w:r>
          </w:p>
        </w:tc>
        <w:tc>
          <w:tcPr>
            <w:tcW w:w="1986" w:type="dxa"/>
            <w:tcBorders>
              <w:top w:val="nil"/>
              <w:bottom w:val="nil"/>
            </w:tcBorders>
          </w:tcPr>
          <w:p w:rsidR="00443EC1" w:rsidRDefault="00443EC1">
            <w:pPr>
              <w:spacing w:before="0" w:after="0" w:line="260" w:lineRule="exact"/>
              <w:ind w:firstLine="612"/>
              <w:jc w:val="both"/>
              <w:rPr>
                <w:rFonts w:hint="cs"/>
                <w:szCs w:val="26"/>
              </w:rPr>
            </w:pPr>
            <w:r>
              <w:rPr>
                <w:rFonts w:hint="cs"/>
                <w:szCs w:val="26"/>
                <w:rtl/>
              </w:rPr>
              <w:t>465 1</w:t>
            </w:r>
          </w:p>
        </w:tc>
        <w:tc>
          <w:tcPr>
            <w:tcW w:w="1674" w:type="dxa"/>
            <w:tcBorders>
              <w:top w:val="nil"/>
              <w:bottom w:val="nil"/>
            </w:tcBorders>
          </w:tcPr>
          <w:p w:rsidR="00443EC1" w:rsidRDefault="00443EC1">
            <w:pPr>
              <w:spacing w:before="0" w:after="0" w:line="260" w:lineRule="exact"/>
              <w:ind w:firstLine="426"/>
              <w:jc w:val="both"/>
              <w:rPr>
                <w:rFonts w:hint="cs"/>
                <w:szCs w:val="26"/>
              </w:rPr>
            </w:pPr>
            <w:r>
              <w:rPr>
                <w:rFonts w:hint="cs"/>
                <w:szCs w:val="26"/>
                <w:rtl/>
              </w:rPr>
              <w:t>599 1</w:t>
            </w:r>
          </w:p>
        </w:tc>
        <w:tc>
          <w:tcPr>
            <w:tcW w:w="1674" w:type="dxa"/>
            <w:tcBorders>
              <w:top w:val="nil"/>
              <w:bottom w:val="nil"/>
            </w:tcBorders>
          </w:tcPr>
          <w:p w:rsidR="00443EC1" w:rsidRDefault="00443EC1">
            <w:pPr>
              <w:spacing w:before="0" w:after="0" w:line="260" w:lineRule="exact"/>
              <w:ind w:firstLine="372"/>
              <w:jc w:val="both"/>
              <w:rPr>
                <w:rFonts w:hint="cs"/>
                <w:szCs w:val="26"/>
              </w:rPr>
            </w:pPr>
            <w:r>
              <w:rPr>
                <w:rFonts w:hint="cs"/>
                <w:szCs w:val="26"/>
                <w:rtl/>
              </w:rPr>
              <w:t>716 1</w:t>
            </w:r>
          </w:p>
        </w:tc>
      </w:tr>
      <w:tr w:rsidR="00443EC1" w:rsidTr="00443EC1">
        <w:tblPrEx>
          <w:tblCellMar>
            <w:top w:w="0" w:type="dxa"/>
            <w:bottom w:w="0" w:type="dxa"/>
          </w:tblCellMar>
        </w:tblPrEx>
        <w:trPr>
          <w:jc w:val="center"/>
        </w:trPr>
        <w:tc>
          <w:tcPr>
            <w:tcW w:w="3060" w:type="dxa"/>
            <w:tcBorders>
              <w:top w:val="nil"/>
              <w:bottom w:val="nil"/>
            </w:tcBorders>
          </w:tcPr>
          <w:p w:rsidR="00443EC1" w:rsidRDefault="00443EC1">
            <w:pPr>
              <w:spacing w:before="0" w:after="0" w:line="260" w:lineRule="exact"/>
              <w:jc w:val="both"/>
              <w:rPr>
                <w:rFonts w:hint="cs"/>
                <w:szCs w:val="26"/>
              </w:rPr>
            </w:pPr>
            <w:r>
              <w:rPr>
                <w:rFonts w:hint="cs"/>
                <w:szCs w:val="26"/>
                <w:rtl/>
              </w:rPr>
              <w:t>التعليم ذو صفة خاصة</w:t>
            </w:r>
          </w:p>
        </w:tc>
        <w:tc>
          <w:tcPr>
            <w:tcW w:w="1986" w:type="dxa"/>
            <w:tcBorders>
              <w:top w:val="nil"/>
              <w:bottom w:val="nil"/>
            </w:tcBorders>
          </w:tcPr>
          <w:p w:rsidR="00443EC1" w:rsidRDefault="00443EC1">
            <w:pPr>
              <w:spacing w:before="0" w:after="0" w:line="260" w:lineRule="exact"/>
              <w:ind w:firstLine="612"/>
              <w:jc w:val="both"/>
              <w:rPr>
                <w:rFonts w:hint="cs"/>
                <w:szCs w:val="26"/>
              </w:rPr>
            </w:pPr>
            <w:r>
              <w:rPr>
                <w:rFonts w:hint="cs"/>
                <w:szCs w:val="26"/>
                <w:rtl/>
              </w:rPr>
              <w:t>83</w:t>
            </w:r>
          </w:p>
        </w:tc>
        <w:tc>
          <w:tcPr>
            <w:tcW w:w="1674" w:type="dxa"/>
            <w:tcBorders>
              <w:top w:val="nil"/>
              <w:bottom w:val="nil"/>
            </w:tcBorders>
          </w:tcPr>
          <w:p w:rsidR="00443EC1" w:rsidRDefault="00443EC1">
            <w:pPr>
              <w:spacing w:before="0" w:after="0" w:line="260" w:lineRule="exact"/>
              <w:ind w:firstLine="426"/>
              <w:jc w:val="both"/>
              <w:rPr>
                <w:rFonts w:hint="cs"/>
                <w:szCs w:val="26"/>
              </w:rPr>
            </w:pPr>
            <w:r>
              <w:rPr>
                <w:rFonts w:hint="cs"/>
                <w:szCs w:val="26"/>
                <w:rtl/>
              </w:rPr>
              <w:t>83</w:t>
            </w:r>
          </w:p>
        </w:tc>
        <w:tc>
          <w:tcPr>
            <w:tcW w:w="1674" w:type="dxa"/>
            <w:tcBorders>
              <w:top w:val="nil"/>
              <w:bottom w:val="nil"/>
            </w:tcBorders>
          </w:tcPr>
          <w:p w:rsidR="00443EC1" w:rsidRDefault="00443EC1">
            <w:pPr>
              <w:spacing w:before="0" w:after="0" w:line="260" w:lineRule="exact"/>
              <w:ind w:firstLine="372"/>
              <w:jc w:val="both"/>
              <w:rPr>
                <w:rFonts w:hint="cs"/>
                <w:szCs w:val="26"/>
              </w:rPr>
            </w:pPr>
            <w:r>
              <w:rPr>
                <w:rFonts w:hint="cs"/>
                <w:szCs w:val="26"/>
                <w:rtl/>
              </w:rPr>
              <w:t>89</w:t>
            </w:r>
          </w:p>
        </w:tc>
      </w:tr>
      <w:tr w:rsidR="00443EC1" w:rsidTr="00443EC1">
        <w:tblPrEx>
          <w:tblCellMar>
            <w:top w:w="0" w:type="dxa"/>
            <w:bottom w:w="0" w:type="dxa"/>
          </w:tblCellMar>
        </w:tblPrEx>
        <w:trPr>
          <w:jc w:val="center"/>
        </w:trPr>
        <w:tc>
          <w:tcPr>
            <w:tcW w:w="3060" w:type="dxa"/>
            <w:tcBorders>
              <w:top w:val="nil"/>
            </w:tcBorders>
          </w:tcPr>
          <w:p w:rsidR="00443EC1" w:rsidRDefault="00443EC1">
            <w:pPr>
              <w:spacing w:before="0" w:after="0" w:line="260" w:lineRule="exact"/>
              <w:jc w:val="both"/>
              <w:rPr>
                <w:rFonts w:hint="cs"/>
                <w:szCs w:val="26"/>
              </w:rPr>
            </w:pPr>
            <w:r>
              <w:rPr>
                <w:rFonts w:hint="cs"/>
                <w:szCs w:val="26"/>
                <w:rtl/>
              </w:rPr>
              <w:t>مستويات تعليم أخرى</w:t>
            </w:r>
          </w:p>
        </w:tc>
        <w:tc>
          <w:tcPr>
            <w:tcW w:w="1986" w:type="dxa"/>
            <w:tcBorders>
              <w:top w:val="nil"/>
            </w:tcBorders>
          </w:tcPr>
          <w:p w:rsidR="00443EC1" w:rsidRDefault="00443EC1">
            <w:pPr>
              <w:spacing w:before="0" w:after="0" w:line="260" w:lineRule="exact"/>
              <w:ind w:firstLine="612"/>
              <w:jc w:val="both"/>
              <w:rPr>
                <w:rFonts w:hint="cs"/>
                <w:szCs w:val="26"/>
              </w:rPr>
            </w:pPr>
            <w:r>
              <w:rPr>
                <w:rFonts w:hint="cs"/>
                <w:szCs w:val="26"/>
                <w:rtl/>
              </w:rPr>
              <w:t>271</w:t>
            </w:r>
          </w:p>
        </w:tc>
        <w:tc>
          <w:tcPr>
            <w:tcW w:w="1674" w:type="dxa"/>
            <w:tcBorders>
              <w:top w:val="nil"/>
            </w:tcBorders>
          </w:tcPr>
          <w:p w:rsidR="00443EC1" w:rsidRDefault="00443EC1">
            <w:pPr>
              <w:spacing w:before="0" w:after="0" w:line="260" w:lineRule="exact"/>
              <w:ind w:firstLine="426"/>
              <w:jc w:val="both"/>
              <w:rPr>
                <w:rFonts w:hint="cs"/>
                <w:szCs w:val="26"/>
              </w:rPr>
            </w:pPr>
            <w:r>
              <w:rPr>
                <w:rFonts w:hint="cs"/>
                <w:szCs w:val="26"/>
                <w:rtl/>
              </w:rPr>
              <w:t>277</w:t>
            </w:r>
          </w:p>
        </w:tc>
        <w:tc>
          <w:tcPr>
            <w:tcW w:w="1674" w:type="dxa"/>
            <w:tcBorders>
              <w:top w:val="nil"/>
            </w:tcBorders>
          </w:tcPr>
          <w:p w:rsidR="00443EC1" w:rsidRDefault="00443EC1">
            <w:pPr>
              <w:spacing w:before="0" w:after="0" w:line="260" w:lineRule="exact"/>
              <w:ind w:firstLine="372"/>
              <w:jc w:val="both"/>
              <w:rPr>
                <w:rFonts w:hint="cs"/>
                <w:szCs w:val="26"/>
              </w:rPr>
            </w:pPr>
            <w:r>
              <w:rPr>
                <w:rFonts w:hint="cs"/>
                <w:szCs w:val="26"/>
                <w:rtl/>
              </w:rPr>
              <w:t>246</w:t>
            </w:r>
          </w:p>
        </w:tc>
      </w:tr>
      <w:tr w:rsidR="00443EC1" w:rsidTr="00443EC1">
        <w:tblPrEx>
          <w:tblCellMar>
            <w:top w:w="0" w:type="dxa"/>
            <w:bottom w:w="0" w:type="dxa"/>
          </w:tblCellMar>
        </w:tblPrEx>
        <w:trPr>
          <w:jc w:val="center"/>
        </w:trPr>
        <w:tc>
          <w:tcPr>
            <w:tcW w:w="3060" w:type="dxa"/>
          </w:tcPr>
          <w:p w:rsidR="00443EC1" w:rsidRDefault="00443EC1">
            <w:pPr>
              <w:spacing w:before="0" w:after="0" w:line="260" w:lineRule="exact"/>
              <w:jc w:val="both"/>
              <w:rPr>
                <w:rFonts w:hint="cs"/>
                <w:szCs w:val="26"/>
              </w:rPr>
            </w:pPr>
            <w:r>
              <w:rPr>
                <w:szCs w:val="26"/>
                <w:rtl/>
              </w:rPr>
              <w:tab/>
            </w:r>
            <w:r>
              <w:rPr>
                <w:rFonts w:hint="cs"/>
                <w:szCs w:val="26"/>
                <w:rtl/>
              </w:rPr>
              <w:t>المجموع</w:t>
            </w:r>
          </w:p>
        </w:tc>
        <w:tc>
          <w:tcPr>
            <w:tcW w:w="1986" w:type="dxa"/>
          </w:tcPr>
          <w:p w:rsidR="00443EC1" w:rsidRDefault="00443EC1">
            <w:pPr>
              <w:spacing w:before="0" w:after="0" w:line="260" w:lineRule="exact"/>
              <w:ind w:firstLine="612"/>
              <w:jc w:val="both"/>
              <w:rPr>
                <w:rFonts w:hint="cs"/>
                <w:szCs w:val="26"/>
              </w:rPr>
            </w:pPr>
            <w:r>
              <w:rPr>
                <w:rFonts w:hint="cs"/>
                <w:szCs w:val="26"/>
                <w:rtl/>
              </w:rPr>
              <w:t>846 3</w:t>
            </w:r>
          </w:p>
        </w:tc>
        <w:tc>
          <w:tcPr>
            <w:tcW w:w="1674" w:type="dxa"/>
          </w:tcPr>
          <w:p w:rsidR="00443EC1" w:rsidRDefault="00443EC1">
            <w:pPr>
              <w:spacing w:before="0" w:after="0" w:line="260" w:lineRule="exact"/>
              <w:ind w:firstLine="426"/>
              <w:jc w:val="both"/>
              <w:rPr>
                <w:rFonts w:hint="cs"/>
                <w:szCs w:val="26"/>
              </w:rPr>
            </w:pPr>
            <w:r>
              <w:rPr>
                <w:rFonts w:hint="cs"/>
                <w:szCs w:val="26"/>
                <w:rtl/>
              </w:rPr>
              <w:t>983 3</w:t>
            </w:r>
          </w:p>
        </w:tc>
        <w:tc>
          <w:tcPr>
            <w:tcW w:w="1674" w:type="dxa"/>
          </w:tcPr>
          <w:p w:rsidR="00443EC1" w:rsidRDefault="00443EC1">
            <w:pPr>
              <w:spacing w:before="0" w:after="0" w:line="260" w:lineRule="exact"/>
              <w:ind w:firstLine="372"/>
              <w:jc w:val="both"/>
              <w:rPr>
                <w:rFonts w:hint="cs"/>
                <w:szCs w:val="26"/>
              </w:rPr>
            </w:pPr>
            <w:r>
              <w:rPr>
                <w:rFonts w:hint="cs"/>
                <w:szCs w:val="26"/>
                <w:rtl/>
              </w:rPr>
              <w:t>050 4</w:t>
            </w:r>
          </w:p>
        </w:tc>
      </w:tr>
    </w:tbl>
    <w:p w:rsidR="00000000" w:rsidRDefault="00443EC1">
      <w:pPr>
        <w:spacing w:before="0" w:after="0" w:line="380" w:lineRule="exact"/>
        <w:jc w:val="both"/>
        <w:rPr>
          <w:rtl/>
        </w:rPr>
      </w:pPr>
      <w:r>
        <w:rPr>
          <w:rFonts w:hint="cs"/>
          <w:rtl/>
        </w:rPr>
        <w:tab/>
        <w:t>*</w:t>
      </w:r>
      <w:r>
        <w:rPr>
          <w:rtl/>
        </w:rPr>
        <w:tab/>
        <w:t>عدد التلاميذ في دور الحضانة والمدارس الابتدائية في انخفاض.</w:t>
      </w:r>
    </w:p>
    <w:p w:rsidR="00000000" w:rsidRDefault="00443EC1">
      <w:pPr>
        <w:spacing w:before="0" w:after="0" w:line="380" w:lineRule="exact"/>
        <w:jc w:val="both"/>
        <w:rPr>
          <w:rFonts w:hint="cs"/>
          <w:rtl/>
        </w:rPr>
      </w:pPr>
      <w:r>
        <w:rPr>
          <w:rFonts w:hint="cs"/>
          <w:rtl/>
        </w:rPr>
        <w:tab/>
      </w:r>
      <w:r>
        <w:rPr>
          <w:rFonts w:hint="cs"/>
          <w:i/>
          <w:iCs/>
          <w:rtl/>
        </w:rPr>
        <w:t>المصدر</w:t>
      </w:r>
      <w:r>
        <w:rPr>
          <w:rFonts w:hint="cs"/>
          <w:rtl/>
        </w:rPr>
        <w:t>: وزارة ال</w:t>
      </w:r>
      <w:r>
        <w:rPr>
          <w:rFonts w:hint="cs"/>
          <w:rtl/>
        </w:rPr>
        <w:t>تعليم وشؤون الشباب، 2002.</w:t>
      </w:r>
    </w:p>
    <w:p w:rsidR="00000000" w:rsidRDefault="00443EC1">
      <w:pPr>
        <w:spacing w:line="380" w:lineRule="exact"/>
        <w:jc w:val="both"/>
        <w:rPr>
          <w:rFonts w:hint="cs"/>
          <w:rtl/>
        </w:rPr>
      </w:pPr>
      <w:r>
        <w:rPr>
          <w:rFonts w:hint="cs"/>
          <w:rtl/>
        </w:rPr>
        <w:t xml:space="preserve">1139-   ويبلغ متوسط </w:t>
      </w:r>
      <w:r>
        <w:rPr>
          <w:rtl/>
        </w:rPr>
        <w:t xml:space="preserve">الراتب الشهري </w:t>
      </w:r>
      <w:r>
        <w:rPr>
          <w:rFonts w:hint="cs"/>
          <w:rtl/>
        </w:rPr>
        <w:t>الذي يتقاضاه المدرسون في مؤسسات التعليم الخاصة والعامة حوالي 000 10 باتاكا . ويستفيد المدرسون من خدمات الرعاية الصحية مجانا.</w:t>
      </w:r>
    </w:p>
    <w:p w:rsidR="00000000" w:rsidRDefault="00443EC1">
      <w:pPr>
        <w:spacing w:line="380" w:lineRule="exact"/>
        <w:jc w:val="both"/>
        <w:rPr>
          <w:rFonts w:hint="cs"/>
          <w:b/>
          <w:bCs/>
          <w:rtl/>
        </w:rPr>
      </w:pPr>
      <w:r>
        <w:rPr>
          <w:rFonts w:hint="cs"/>
          <w:b/>
          <w:bCs/>
          <w:rtl/>
        </w:rPr>
        <w:t>قِيم التعليم</w:t>
      </w:r>
    </w:p>
    <w:p w:rsidR="00000000" w:rsidRDefault="00443EC1">
      <w:pPr>
        <w:spacing w:line="380" w:lineRule="exact"/>
        <w:jc w:val="both"/>
        <w:rPr>
          <w:rFonts w:hint="cs"/>
          <w:rtl/>
        </w:rPr>
      </w:pPr>
      <w:r>
        <w:rPr>
          <w:rFonts w:hint="cs"/>
          <w:rtl/>
        </w:rPr>
        <w:t xml:space="preserve">1140-   إن احترام حقوق الإنسان والحريات الأساسية محفوظ في </w:t>
      </w:r>
      <w:r>
        <w:rPr>
          <w:rFonts w:hint="cs"/>
          <w:rtl/>
        </w:rPr>
        <w:t>الإطار القانوني المتعلق بسياسة التعليم. وفي هذا السياق كذلك، تحتل حقوق الإنسان واحترام الهوية والقيم الثقافية والبيئة الطبيعية وأساليب العيش الصحية الصدارة في مادة "التنمية الشخصية والاجتماعية" التي يحتويها المقرر الدراسي.</w:t>
      </w:r>
    </w:p>
    <w:p w:rsidR="00000000" w:rsidRDefault="00443EC1">
      <w:pPr>
        <w:spacing w:line="380" w:lineRule="exact"/>
        <w:jc w:val="both"/>
        <w:rPr>
          <w:rFonts w:hint="cs"/>
          <w:rtl/>
        </w:rPr>
      </w:pPr>
      <w:r>
        <w:rPr>
          <w:rFonts w:hint="cs"/>
          <w:rtl/>
        </w:rPr>
        <w:t xml:space="preserve">1141-   وتحظى تلك المبادئ والقيم </w:t>
      </w:r>
      <w:r>
        <w:rPr>
          <w:rFonts w:hint="cs"/>
          <w:rtl/>
        </w:rPr>
        <w:t>بالاعتراف ضمن السياسة التعليمية المنتهجة في مقاطعة ماكاو الإدارية الخاصة وهي لذلك موضوع بلورة وترسيخ على كل مستويات التعليم (الإطار القانوني المتعلق بسياسة التعليم والمادة 2 من مرسوم القانون 11/91/م الصادر في 4 شباط/فبراير).</w:t>
      </w:r>
    </w:p>
    <w:p w:rsidR="00000000" w:rsidRDefault="00443EC1">
      <w:pPr>
        <w:spacing w:line="380" w:lineRule="exact"/>
        <w:jc w:val="both"/>
        <w:rPr>
          <w:rFonts w:hint="cs"/>
          <w:rtl/>
        </w:rPr>
      </w:pPr>
      <w:r>
        <w:rPr>
          <w:rFonts w:hint="cs"/>
          <w:rtl/>
        </w:rPr>
        <w:t xml:space="preserve">1142-   </w:t>
      </w:r>
      <w:r>
        <w:rPr>
          <w:spacing w:val="0"/>
          <w:rtl/>
        </w:rPr>
        <w:t>و</w:t>
      </w:r>
      <w:r>
        <w:rPr>
          <w:rFonts w:hint="cs"/>
          <w:spacing w:val="0"/>
          <w:rtl/>
        </w:rPr>
        <w:t xml:space="preserve">نتيجة لذلك تهدف </w:t>
      </w:r>
      <w:r>
        <w:rPr>
          <w:spacing w:val="0"/>
          <w:rtl/>
        </w:rPr>
        <w:t>الأنشط</w:t>
      </w:r>
      <w:r>
        <w:rPr>
          <w:spacing w:val="0"/>
          <w:rtl/>
        </w:rPr>
        <w:t xml:space="preserve">ة التي تكمل المقررات الدراسية إلى </w:t>
      </w:r>
      <w:r>
        <w:rPr>
          <w:rFonts w:hint="cs"/>
          <w:spacing w:val="0"/>
          <w:rtl/>
        </w:rPr>
        <w:t xml:space="preserve">إثراء </w:t>
      </w:r>
      <w:r>
        <w:rPr>
          <w:spacing w:val="0"/>
          <w:rtl/>
        </w:rPr>
        <w:t>التلاميذ ثقافيا و</w:t>
      </w:r>
      <w:r>
        <w:rPr>
          <w:rFonts w:hint="cs"/>
          <w:spacing w:val="0"/>
          <w:rtl/>
        </w:rPr>
        <w:t>وطنيا، فيما تحظى أنشطة التربية البدنية والرياضات والتربية الفنية وإدماج التلاميذ في المجتمع بالتشجيع على نحو منتظم</w:t>
      </w:r>
      <w:r>
        <w:rPr>
          <w:rFonts w:hint="cs"/>
          <w:rtl/>
        </w:rPr>
        <w:t>.</w:t>
      </w:r>
    </w:p>
    <w:p w:rsidR="00000000" w:rsidRDefault="00443EC1">
      <w:pPr>
        <w:spacing w:line="380" w:lineRule="exact"/>
        <w:jc w:val="both"/>
        <w:rPr>
          <w:rFonts w:hint="cs"/>
          <w:rtl/>
        </w:rPr>
      </w:pPr>
      <w:r>
        <w:rPr>
          <w:rFonts w:hint="cs"/>
          <w:rtl/>
        </w:rPr>
        <w:t>1143-   وتجدر</w:t>
      </w:r>
      <w:r>
        <w:rPr>
          <w:rtl/>
        </w:rPr>
        <w:t xml:space="preserve"> الإشارة إلى أن الفقرة 2 من المادة 49 من القانون 11/91 توصي بأن تسمح ا</w:t>
      </w:r>
      <w:r>
        <w:rPr>
          <w:rtl/>
        </w:rPr>
        <w:t xml:space="preserve">لمؤسسات التعليمية للمدرسين والآباء والتلاميذ والجمعيات بالمشاركة في عملية التعليم. </w:t>
      </w:r>
      <w:r>
        <w:rPr>
          <w:rFonts w:hint="cs"/>
          <w:rtl/>
        </w:rPr>
        <w:t xml:space="preserve">كما يعترف المرسوم بقانون </w:t>
      </w:r>
      <w:r>
        <w:rPr>
          <w:rtl/>
        </w:rPr>
        <w:br/>
      </w:r>
      <w:r>
        <w:rPr>
          <w:rFonts w:hint="cs"/>
          <w:rtl/>
        </w:rPr>
        <w:t>72/93/م الصادر في 27 كانون الأول/ديسمبر بدور الآباء والمربين في التعليم.</w:t>
      </w:r>
    </w:p>
    <w:p w:rsidR="00000000" w:rsidRDefault="00443EC1">
      <w:pPr>
        <w:spacing w:line="380" w:lineRule="exact"/>
        <w:jc w:val="center"/>
        <w:rPr>
          <w:rFonts w:hint="cs"/>
          <w:b/>
          <w:bCs/>
          <w:rtl/>
        </w:rPr>
      </w:pPr>
      <w:r>
        <w:rPr>
          <w:rFonts w:hint="cs"/>
          <w:b/>
          <w:bCs/>
          <w:rtl/>
        </w:rPr>
        <w:t>حاء - التدابير الرامية إلى إقامة اتصالات وعلاقات تعاون على الصعيد الدولي</w:t>
      </w:r>
    </w:p>
    <w:p w:rsidR="00000000" w:rsidRDefault="00443EC1">
      <w:pPr>
        <w:spacing w:line="380" w:lineRule="exact"/>
        <w:jc w:val="both"/>
        <w:rPr>
          <w:rFonts w:hint="cs"/>
          <w:rtl/>
        </w:rPr>
      </w:pPr>
      <w:r>
        <w:rPr>
          <w:rFonts w:hint="cs"/>
          <w:rtl/>
        </w:rPr>
        <w:t>1</w:t>
      </w:r>
      <w:r>
        <w:rPr>
          <w:rFonts w:hint="cs"/>
          <w:rtl/>
        </w:rPr>
        <w:t>144-   في ما يتعلق بالتعليم وشؤون الشباب، تشجع حكومة مقاطعة ماكاو الإدارية الخاصة وزاراتها وسائر المؤسسات التعليمية والجمعيات الخاصة على المشاركة في الأنشطة الدولية والأقاليمية.</w:t>
      </w:r>
    </w:p>
    <w:p w:rsidR="00000000" w:rsidRDefault="00443EC1">
      <w:pPr>
        <w:spacing w:line="380" w:lineRule="exact"/>
        <w:jc w:val="both"/>
        <w:rPr>
          <w:rFonts w:hint="cs"/>
          <w:rtl/>
        </w:rPr>
      </w:pPr>
      <w:r>
        <w:rPr>
          <w:rFonts w:hint="cs"/>
          <w:rtl/>
        </w:rPr>
        <w:t xml:space="preserve">1145-   فجامعة ماكاو، على سبيل المثال، عضو في العديد من جمعيات التعليم العالي </w:t>
      </w:r>
      <w:r>
        <w:rPr>
          <w:rFonts w:hint="cs"/>
          <w:rtl/>
        </w:rPr>
        <w:t>الدولية، بما فيها الجمعية الدولية للجامعات ورابطة جامعات آسيا والمحيط الهادئ. وتنظم جامعة ماكاو عددا من الحلقات الدراسية والمؤتمرات الدولية وتوجه دعوات لعلماء بارزين على الصعيد الدولي للمشاركة فيها. وتربط الجامعة في الوقت الراهن اتفاقات شراكة وتعاون مع أكث</w:t>
      </w:r>
      <w:r>
        <w:rPr>
          <w:rFonts w:hint="cs"/>
          <w:rtl/>
        </w:rPr>
        <w:t>ر من خمسين جامعة ومؤسسة أجنبية.</w:t>
      </w:r>
    </w:p>
    <w:p w:rsidR="00000000" w:rsidRDefault="00443EC1">
      <w:pPr>
        <w:spacing w:line="380" w:lineRule="exact"/>
        <w:jc w:val="both"/>
        <w:rPr>
          <w:rFonts w:hint="cs"/>
          <w:rtl/>
        </w:rPr>
      </w:pPr>
      <w:r>
        <w:rPr>
          <w:rFonts w:hint="cs"/>
          <w:rtl/>
        </w:rPr>
        <w:t>1146-   وثمة أيضا أنواع مختلفة من برامج تبادل الطلبة. فخلال العام الدراسي 2001-2002، استقبلت جامعة ماكاو 91 طالبا من 40 جامعة من 11 بلدا وأوفدت 87 طالبا محليا إلى الخارج في إطار تبادل الطلبة. كما تنظم الجامعة دورات صيفية سنو</w:t>
      </w:r>
      <w:r>
        <w:rPr>
          <w:rFonts w:hint="cs"/>
          <w:rtl/>
        </w:rPr>
        <w:t>ية باللغة البرتغالية لحوالي 150 طالبا من البلدان الآسيوية إلى جانب أنشطة كالأسبوع الدولي ويوم التبادل الثقافي الدولي.</w:t>
      </w:r>
    </w:p>
    <w:p w:rsidR="00000000" w:rsidRDefault="00443EC1">
      <w:pPr>
        <w:spacing w:line="380" w:lineRule="exact"/>
        <w:jc w:val="both"/>
        <w:rPr>
          <w:rFonts w:hint="cs"/>
          <w:rtl/>
        </w:rPr>
      </w:pPr>
    </w:p>
    <w:p w:rsidR="00000000" w:rsidRDefault="00443EC1">
      <w:pPr>
        <w:spacing w:line="380" w:lineRule="exact"/>
        <w:jc w:val="both"/>
        <w:rPr>
          <w:rFonts w:hint="cs"/>
          <w:rtl/>
        </w:rPr>
      </w:pPr>
    </w:p>
    <w:p w:rsidR="00000000" w:rsidRDefault="00443EC1">
      <w:pPr>
        <w:spacing w:line="380" w:lineRule="exact"/>
        <w:jc w:val="center"/>
        <w:rPr>
          <w:rFonts w:hint="cs"/>
          <w:b/>
          <w:bCs/>
          <w:rtl/>
        </w:rPr>
      </w:pPr>
      <w:r>
        <w:rPr>
          <w:rFonts w:hint="cs"/>
          <w:b/>
          <w:bCs/>
          <w:rtl/>
        </w:rPr>
        <w:t>المادة 15</w:t>
      </w:r>
    </w:p>
    <w:p w:rsidR="00000000" w:rsidRDefault="00443EC1">
      <w:pPr>
        <w:spacing w:line="380" w:lineRule="exact"/>
        <w:jc w:val="center"/>
        <w:rPr>
          <w:rFonts w:hint="cs"/>
          <w:b/>
          <w:bCs/>
          <w:rtl/>
        </w:rPr>
      </w:pPr>
      <w:r>
        <w:rPr>
          <w:rFonts w:hint="cs"/>
          <w:b/>
          <w:bCs/>
          <w:rtl/>
        </w:rPr>
        <w:t>حق المشاركة في الحياة الثقافية وفي التمتع بفوائد التقدم العلمي</w:t>
      </w:r>
    </w:p>
    <w:p w:rsidR="00000000" w:rsidRDefault="00443EC1">
      <w:pPr>
        <w:spacing w:line="380" w:lineRule="exact"/>
        <w:jc w:val="center"/>
        <w:rPr>
          <w:rFonts w:hint="cs"/>
          <w:b/>
          <w:bCs/>
          <w:rtl/>
        </w:rPr>
      </w:pPr>
      <w:r>
        <w:rPr>
          <w:rFonts w:hint="cs"/>
          <w:b/>
          <w:bCs/>
          <w:rtl/>
        </w:rPr>
        <w:t>ألف - حق المشاركة في الحياة الثقافية</w:t>
      </w:r>
    </w:p>
    <w:p w:rsidR="00000000" w:rsidRDefault="00443EC1">
      <w:pPr>
        <w:spacing w:line="380" w:lineRule="exact"/>
        <w:jc w:val="both"/>
        <w:rPr>
          <w:rFonts w:hint="cs"/>
          <w:rtl/>
        </w:rPr>
      </w:pPr>
      <w:r>
        <w:rPr>
          <w:rFonts w:hint="cs"/>
          <w:rtl/>
        </w:rPr>
        <w:t xml:space="preserve">1147-   طبقا للمادة 37 من </w:t>
      </w:r>
      <w:r>
        <w:rPr>
          <w:rFonts w:hint="cs"/>
          <w:rtl/>
        </w:rPr>
        <w:t>القانون الأساسي، "يتمتع المقيمون في ماكاو بحرية مباشرة البحث العلمي والإبداع الأدبي والفني وغير ذلك من الأنشطة الثقافية". وتجدر الإشارة إلى أن حرية التعبير وحرية الصحافة وحرية النشر حريات مكفولة بموجب المادة 27 من القانون الأساسي.</w:t>
      </w:r>
    </w:p>
    <w:p w:rsidR="00000000" w:rsidRDefault="00443EC1">
      <w:pPr>
        <w:spacing w:line="380" w:lineRule="exact"/>
        <w:jc w:val="both"/>
        <w:rPr>
          <w:rFonts w:hint="cs"/>
          <w:rtl/>
        </w:rPr>
      </w:pPr>
      <w:r>
        <w:rPr>
          <w:rFonts w:hint="cs"/>
          <w:rtl/>
        </w:rPr>
        <w:t>1148-   لمقاطعة ماكاو الإ</w:t>
      </w:r>
      <w:r>
        <w:rPr>
          <w:rFonts w:hint="cs"/>
          <w:rtl/>
        </w:rPr>
        <w:t>دارية الخاصة تراث ثقافي نفيس هو حصيلة 500 عام من التلاقح الثقافي بين الشرق والغرب. وقد ظلت هذه الهوية الثقافية الفريدة مصونة بعد التوحيد والجهود التي بذلت لترسيخها والعمل على تأكيدها وتدعيم قيمها الثقافية.</w:t>
      </w:r>
    </w:p>
    <w:p w:rsidR="00000000" w:rsidRDefault="00443EC1">
      <w:pPr>
        <w:spacing w:line="380" w:lineRule="exact"/>
        <w:jc w:val="both"/>
        <w:rPr>
          <w:rFonts w:hint="cs"/>
          <w:rtl/>
        </w:rPr>
      </w:pPr>
      <w:r>
        <w:rPr>
          <w:rFonts w:hint="cs"/>
          <w:rtl/>
        </w:rPr>
        <w:t xml:space="preserve">1149-   </w:t>
      </w:r>
      <w:r>
        <w:rPr>
          <w:rtl/>
        </w:rPr>
        <w:t>و</w:t>
      </w:r>
      <w:r>
        <w:rPr>
          <w:rFonts w:hint="cs"/>
          <w:rtl/>
        </w:rPr>
        <w:t xml:space="preserve">بالتالي فإن </w:t>
      </w:r>
      <w:r>
        <w:rPr>
          <w:rtl/>
        </w:rPr>
        <w:t>حكومة م</w:t>
      </w:r>
      <w:r>
        <w:rPr>
          <w:rFonts w:hint="cs"/>
          <w:rtl/>
        </w:rPr>
        <w:t>قاطعة</w:t>
      </w:r>
      <w:r>
        <w:rPr>
          <w:rtl/>
        </w:rPr>
        <w:t xml:space="preserve"> ماكاو الإدارية ا</w:t>
      </w:r>
      <w:r>
        <w:rPr>
          <w:rtl/>
        </w:rPr>
        <w:t xml:space="preserve">لخاصة </w:t>
      </w:r>
      <w:r>
        <w:rPr>
          <w:rFonts w:hint="cs"/>
          <w:rtl/>
        </w:rPr>
        <w:t>ملتزمة أشد ما يكون بتعزيز الحقوق الثقافية للمقيمين وبحمايتها وهي مسؤولة عن صوغ السياسات المتعلقة بالثقافة بما فيها الأدب والفن (الفقرة 1 من المادة 125 من القانون الأساسي).</w:t>
      </w:r>
    </w:p>
    <w:p w:rsidR="00000000" w:rsidRDefault="00443EC1">
      <w:pPr>
        <w:spacing w:line="380" w:lineRule="exact"/>
        <w:jc w:val="both"/>
        <w:rPr>
          <w:rFonts w:hint="cs"/>
          <w:rtl/>
        </w:rPr>
      </w:pPr>
      <w:r>
        <w:rPr>
          <w:rFonts w:hint="cs"/>
          <w:rtl/>
        </w:rPr>
        <w:t>1150-   والمعهد الثقافي هو الهيئة الحكومية المكلفة بمهمة الإسهام في الهوية وال</w:t>
      </w:r>
      <w:r>
        <w:rPr>
          <w:rFonts w:hint="cs"/>
          <w:rtl/>
        </w:rPr>
        <w:t xml:space="preserve">تنوع الثقافيين في المنطقة وتدعيمهما. وتشمل أنشطته مجالات التراث الثقافي والأنشطة الثقافية والتدريب والبحث (المرسوم بقانون </w:t>
      </w:r>
      <w:r>
        <w:rPr>
          <w:rtl/>
        </w:rPr>
        <w:br/>
      </w:r>
      <w:r>
        <w:rPr>
          <w:rFonts w:hint="cs"/>
          <w:rtl/>
        </w:rPr>
        <w:t>63/94/م الصادر في 19 كانون الأول/ديسمبر).</w:t>
      </w:r>
    </w:p>
    <w:p w:rsidR="00000000" w:rsidRDefault="00443EC1">
      <w:pPr>
        <w:spacing w:line="380" w:lineRule="exact"/>
        <w:jc w:val="both"/>
        <w:rPr>
          <w:rFonts w:hint="cs"/>
          <w:rtl/>
        </w:rPr>
      </w:pPr>
      <w:r>
        <w:rPr>
          <w:rFonts w:hint="cs"/>
          <w:rtl/>
        </w:rPr>
        <w:t>1151-   و</w:t>
      </w:r>
      <w:r>
        <w:rPr>
          <w:rtl/>
        </w:rPr>
        <w:t>ت</w:t>
      </w:r>
      <w:r>
        <w:rPr>
          <w:rFonts w:hint="cs"/>
          <w:rtl/>
        </w:rPr>
        <w:t>شمل المجالات المذكورة أعلاه مجموعة متنوعة من المواضيع نذكر منها صيانة التراث التا</w:t>
      </w:r>
      <w:r>
        <w:rPr>
          <w:rFonts w:hint="cs"/>
          <w:rtl/>
        </w:rPr>
        <w:t>ريخي والمعماري والثقافي وإعادة الحيوية إليه، إنجاز الأبحاث ونشر الأعمال، وتنظيم المكتبات والمحفوظات وصيانتها، وتشجيع الأنشطة الثقافية والفنية ودعمها، وتعليم الموسيقى والرقص والمسرح.</w:t>
      </w:r>
    </w:p>
    <w:p w:rsidR="00000000" w:rsidRDefault="00443EC1">
      <w:pPr>
        <w:spacing w:line="380" w:lineRule="exact"/>
        <w:jc w:val="both"/>
        <w:rPr>
          <w:rFonts w:hint="cs"/>
          <w:spacing w:val="0"/>
          <w:rtl/>
        </w:rPr>
      </w:pPr>
      <w:r>
        <w:rPr>
          <w:rFonts w:hint="cs"/>
          <w:rtl/>
        </w:rPr>
        <w:t xml:space="preserve">1152-   </w:t>
      </w:r>
      <w:r>
        <w:rPr>
          <w:spacing w:val="0"/>
          <w:rtl/>
        </w:rPr>
        <w:t>وثمة هيئات حكومية أخرى (كوزارة السياحة ومؤسسة الشؤون المدنية والبل</w:t>
      </w:r>
      <w:r>
        <w:rPr>
          <w:spacing w:val="0"/>
          <w:rtl/>
        </w:rPr>
        <w:t>دية</w:t>
      </w:r>
      <w:r>
        <w:rPr>
          <w:rFonts w:hint="cs"/>
          <w:spacing w:val="0"/>
          <w:rtl/>
        </w:rPr>
        <w:t>) وكيانات (كمؤسسة</w:t>
      </w:r>
      <w:r>
        <w:rPr>
          <w:rFonts w:hint="cs"/>
          <w:rtl/>
        </w:rPr>
        <w:t xml:space="preserve"> </w:t>
      </w:r>
      <w:r>
        <w:rPr>
          <w:rFonts w:hint="cs"/>
          <w:spacing w:val="0"/>
          <w:rtl/>
        </w:rPr>
        <w:t>ماكاو) وجمعيات خاصة تعمل على تعزيز الحقوق الثقافية ونشرها من خلال القيام بعدد من الأنشطة ذات الصلة.</w:t>
      </w:r>
    </w:p>
    <w:p w:rsidR="00000000" w:rsidRDefault="00443EC1">
      <w:pPr>
        <w:spacing w:line="380" w:lineRule="exact"/>
        <w:jc w:val="both"/>
        <w:rPr>
          <w:rFonts w:hint="cs"/>
          <w:rtl/>
        </w:rPr>
      </w:pPr>
      <w:r>
        <w:rPr>
          <w:rFonts w:hint="cs"/>
          <w:rtl/>
        </w:rPr>
        <w:t xml:space="preserve">1153-   وتقر حكومة مقاطعة ماكاو الإدارية الخاصة بالدور الهام للتعليم في الحفاظ على التراث الثقافي في الحاضر والمستقبل، لا سيما في صفوف </w:t>
      </w:r>
      <w:r>
        <w:rPr>
          <w:rFonts w:hint="cs"/>
          <w:rtl/>
        </w:rPr>
        <w:t>الشباب.</w:t>
      </w:r>
    </w:p>
    <w:p w:rsidR="00000000" w:rsidRDefault="00443EC1">
      <w:pPr>
        <w:spacing w:line="380" w:lineRule="exact"/>
        <w:jc w:val="both"/>
        <w:rPr>
          <w:rFonts w:hint="cs"/>
          <w:rtl/>
        </w:rPr>
      </w:pPr>
      <w:r>
        <w:rPr>
          <w:rFonts w:hint="cs"/>
          <w:rtl/>
        </w:rPr>
        <w:t>1154-   ويضع المرسوم بقانون 4/98/م الصادر في 16 كانون الثاني/يناير المبادئ والخطط والمبادئ التوجيهية لتقديم تربية فنية والتمتع بالإبداع الفني ضمن نظام التعليم في ماكاو. وتُدرج دراسات الثقافة والعلم والفن في مقررات التعليم الرسمية في مراحل ما قبل ال</w:t>
      </w:r>
      <w:r>
        <w:rPr>
          <w:rFonts w:hint="cs"/>
          <w:rtl/>
        </w:rPr>
        <w:t>مدرسة وفي مراحل التعليم الابتدائي والثانوي والفني والمهني (خاصة الفن البصري والتجاري)، كما أنها حاضرة في العديد من النشاطات خارج المقرر.</w:t>
      </w:r>
    </w:p>
    <w:p w:rsidR="00000000" w:rsidRDefault="00443EC1">
      <w:pPr>
        <w:spacing w:line="380" w:lineRule="exact"/>
        <w:jc w:val="both"/>
        <w:rPr>
          <w:rFonts w:hint="cs"/>
          <w:rtl/>
        </w:rPr>
      </w:pPr>
      <w:r>
        <w:rPr>
          <w:rFonts w:hint="cs"/>
          <w:rtl/>
        </w:rPr>
        <w:t xml:space="preserve">1155-   وتقوم وزارة التعليم وشؤون الشباب مع جمعيات الشباب بأنواع عدة من النشاطات مثل "مباراة الشباب في الغناء والتلحين </w:t>
      </w:r>
      <w:r>
        <w:rPr>
          <w:rFonts w:hint="cs"/>
          <w:rtl/>
        </w:rPr>
        <w:t>في ماكاو" و"الأمل في عالم بهي جديد: سلسلة الرسم في الهواء الطلق للشباب". وتقدم وزارة التعليم وشؤون الشباب إعانات لمختلف المشاريع الثقافية والفنية التي تنظمها الجمعيات التي تعطي دروسا، من جملة أمور أخرى، في العزف على الكمان وفي موسيقى الجوقة وفي العزف على آ</w:t>
      </w:r>
      <w:r>
        <w:rPr>
          <w:rFonts w:hint="cs"/>
          <w:rtl/>
        </w:rPr>
        <w:t>لة الغوزنغ التقليدية، وفي صناعة الخزف، والتصوير الشمسي، وفي الرسم الصيني، وفن الخط الصيني، وفي الرقصات الأوروبية، وفي فنون الحرب، وفي رقصة الأسد الصينية وفي تنضيد الزهور.</w:t>
      </w:r>
    </w:p>
    <w:p w:rsidR="00000000" w:rsidRDefault="00443EC1">
      <w:pPr>
        <w:spacing w:line="380" w:lineRule="exact"/>
        <w:jc w:val="both"/>
        <w:rPr>
          <w:rFonts w:hint="cs"/>
          <w:rtl/>
        </w:rPr>
      </w:pPr>
      <w:r>
        <w:rPr>
          <w:rFonts w:hint="cs"/>
          <w:rtl/>
        </w:rPr>
        <w:t>1156-   و</w:t>
      </w:r>
      <w:r>
        <w:rPr>
          <w:rtl/>
        </w:rPr>
        <w:t>با</w:t>
      </w:r>
      <w:r>
        <w:rPr>
          <w:rFonts w:hint="cs"/>
          <w:rtl/>
        </w:rPr>
        <w:t xml:space="preserve">لإضافة إلى ذلك، تدعم </w:t>
      </w:r>
      <w:r>
        <w:rPr>
          <w:rtl/>
        </w:rPr>
        <w:t>مؤسسة الشؤون المدنية والبلدية</w:t>
      </w:r>
      <w:r>
        <w:rPr>
          <w:rFonts w:hint="cs"/>
          <w:rtl/>
        </w:rPr>
        <w:t xml:space="preserve"> الأنشطة التعليمية والثق</w:t>
      </w:r>
      <w:r>
        <w:rPr>
          <w:rFonts w:hint="cs"/>
          <w:rtl/>
        </w:rPr>
        <w:t>افية والفنية من خلال عملها مع الجمعيات ومن خلال توجيه الدعوات للمهنيين النجباء لحضور حلقات العمل في المدارس. وتقدَّم إعانات الرعاية لمجموعات الهواة في مجالات المسرح والفنون البصرية وفرق الرقص على سبيل التشجيع لخوض مباريات منتظمة وتقديم عروض تفاعلية مثل مجم</w:t>
      </w:r>
      <w:r>
        <w:rPr>
          <w:rFonts w:hint="cs"/>
          <w:rtl/>
        </w:rPr>
        <w:t>وعة المسرح والرياضة وماكاو فريندج ("</w:t>
      </w:r>
      <w:r>
        <w:t>Macao Fringe</w:t>
      </w:r>
      <w:r>
        <w:rPr>
          <w:rFonts w:hint="cs"/>
          <w:rtl/>
        </w:rPr>
        <w:t>").</w:t>
      </w:r>
    </w:p>
    <w:p w:rsidR="00000000" w:rsidRDefault="00443EC1">
      <w:pPr>
        <w:spacing w:line="380" w:lineRule="exact"/>
        <w:jc w:val="both"/>
        <w:rPr>
          <w:rFonts w:hint="cs"/>
          <w:rtl/>
        </w:rPr>
      </w:pPr>
      <w:r>
        <w:rPr>
          <w:rFonts w:hint="cs"/>
          <w:rtl/>
        </w:rPr>
        <w:t>1157-   أما فيما يتصل بالتعليم الثقافي المهني، فيعتبر معهد ماكاو الأعلى للموسيقى معهدا مهنيا يخضع لتنسيق المعهد الثقافي ويقدم برامج تدريب منهجية في الموسيقى والرقص والتمثيل (القانون الإداري 184/89/م الصاد</w:t>
      </w:r>
      <w:r>
        <w:rPr>
          <w:rFonts w:hint="cs"/>
          <w:rtl/>
        </w:rPr>
        <w:t>ر في 31 تشرين الأول/أكتوبر). ويقدم المعهد الثقافي منحا للموهوبين الراغبين في تنمية معارفهم الثقافية ودراسة المجالات ذات الصلة في المقاطعة أو في الخارج.</w:t>
      </w:r>
    </w:p>
    <w:p w:rsidR="00000000" w:rsidRDefault="00443EC1">
      <w:pPr>
        <w:spacing w:line="380" w:lineRule="exact"/>
        <w:jc w:val="both"/>
        <w:rPr>
          <w:rFonts w:hint="cs"/>
          <w:spacing w:val="0"/>
          <w:rtl/>
        </w:rPr>
      </w:pPr>
      <w:r>
        <w:rPr>
          <w:rFonts w:hint="cs"/>
          <w:rtl/>
        </w:rPr>
        <w:t>1158-   و</w:t>
      </w:r>
      <w:r>
        <w:rPr>
          <w:rtl/>
        </w:rPr>
        <w:t xml:space="preserve">فضلا عن ذلك، يضم </w:t>
      </w:r>
      <w:r>
        <w:rPr>
          <w:rFonts w:hint="cs"/>
          <w:rtl/>
        </w:rPr>
        <w:t>ال</w:t>
      </w:r>
      <w:r>
        <w:rPr>
          <w:rtl/>
        </w:rPr>
        <w:t>معهد</w:t>
      </w:r>
      <w:r>
        <w:rPr>
          <w:rFonts w:hint="cs"/>
          <w:rtl/>
        </w:rPr>
        <w:t xml:space="preserve"> المتعدد الفنون مدرسة للفنون بينما يقدم معهد الدراسات الأوروبية في </w:t>
      </w:r>
      <w:r>
        <w:rPr>
          <w:rFonts w:hint="cs"/>
          <w:spacing w:val="0"/>
          <w:rtl/>
        </w:rPr>
        <w:t>ماكاو</w:t>
      </w:r>
      <w:r>
        <w:rPr>
          <w:rFonts w:hint="cs"/>
          <w:spacing w:val="0"/>
          <w:rtl/>
        </w:rPr>
        <w:t xml:space="preserve"> برنامجين خاصين للدراسات العليا في مجال السياحة الثقافية وإدارة الفنون. وقد شرع في برنامج الدراسات العليا في مجال السياحة الثقافية بالتزامن مع إنشاء معهد دراسات السياحة. وهو برنامج لا نظير له في آسيا لأنه يقدم لأول مرة برنامج دراسة يستجيب لخصائصها المحددة </w:t>
      </w:r>
      <w:r>
        <w:rPr>
          <w:rFonts w:hint="cs"/>
          <w:spacing w:val="0"/>
          <w:rtl/>
        </w:rPr>
        <w:t>ولمواردها الثقافية بنيّة تدعيم الروح المهنية في السياحة الثقافية.</w:t>
      </w:r>
    </w:p>
    <w:p w:rsidR="00000000" w:rsidRDefault="00443EC1">
      <w:pPr>
        <w:spacing w:line="380" w:lineRule="exact"/>
        <w:jc w:val="both"/>
        <w:rPr>
          <w:rFonts w:hint="cs"/>
          <w:rtl/>
        </w:rPr>
      </w:pPr>
      <w:r>
        <w:rPr>
          <w:rFonts w:hint="cs"/>
          <w:rtl/>
        </w:rPr>
        <w:t>1159-   و</w:t>
      </w:r>
      <w:r>
        <w:rPr>
          <w:rtl/>
        </w:rPr>
        <w:t xml:space="preserve">مركز ماكاو الثقافي لا يقدم تعليما مهنيا منتظما ولكنه يقدم حوالي 30 نشاطا تعليميا في كل سنة في فنون </w:t>
      </w:r>
      <w:r>
        <w:rPr>
          <w:rFonts w:hint="cs"/>
          <w:rtl/>
        </w:rPr>
        <w:t>الأداء وفي المجال السمعي البصري تتراوح ما بين المحاضرات القصيرة والحوارات مع الفنا</w:t>
      </w:r>
      <w:r>
        <w:rPr>
          <w:rFonts w:hint="cs"/>
          <w:rtl/>
        </w:rPr>
        <w:t>نين وحلقات العمل. ويسِّير تلك الأنشطة إما فنانون أو مربون. وهو يستهدف الأطفال والمراهقين وكبار السن.</w:t>
      </w:r>
    </w:p>
    <w:p w:rsidR="00000000" w:rsidRDefault="00443EC1">
      <w:pPr>
        <w:spacing w:line="380" w:lineRule="exact"/>
        <w:jc w:val="both"/>
        <w:rPr>
          <w:rFonts w:hint="cs"/>
          <w:rtl/>
        </w:rPr>
      </w:pPr>
      <w:r>
        <w:rPr>
          <w:rFonts w:hint="cs"/>
          <w:rtl/>
        </w:rPr>
        <w:t>1160-   ويقدم متحف ماكاو للفنون خدمات تعليم ويقوم بنشاطات تربية وترويج لتلبية احتياجات أفراد المجتمع الذين يعانون من قصور في السمع أو من عجز عن الكلام وكذل</w:t>
      </w:r>
      <w:r>
        <w:rPr>
          <w:rFonts w:hint="cs"/>
          <w:rtl/>
        </w:rPr>
        <w:t xml:space="preserve">ك احتياجات فئات اجتماعية أخرى. </w:t>
      </w:r>
    </w:p>
    <w:p w:rsidR="00000000" w:rsidRDefault="00443EC1">
      <w:pPr>
        <w:spacing w:line="380" w:lineRule="exact"/>
        <w:jc w:val="both"/>
        <w:rPr>
          <w:rFonts w:hint="cs"/>
          <w:rtl/>
        </w:rPr>
      </w:pPr>
      <w:r>
        <w:rPr>
          <w:rFonts w:hint="cs"/>
          <w:rtl/>
        </w:rPr>
        <w:t xml:space="preserve">1161-   </w:t>
      </w:r>
      <w:r>
        <w:rPr>
          <w:rtl/>
        </w:rPr>
        <w:t>و</w:t>
      </w:r>
      <w:r>
        <w:rPr>
          <w:rFonts w:hint="cs"/>
          <w:rtl/>
        </w:rPr>
        <w:t>اتساقا مع الأهداف المتوخاة من حث السكان على المشاركة التامة في الحياة الثقافية في مقاطعة ماكاو الإدارية الخاصة ومع إثارة الوعي بضرورة الحفاظ على التراث والقيم الثقافية، بما في ذلك احترام الحقوق الثقافية للأقليات، ين</w:t>
      </w:r>
      <w:r>
        <w:rPr>
          <w:rFonts w:hint="cs"/>
          <w:rtl/>
        </w:rPr>
        <w:t>ظم المعهد الثقافي مجموعة واسعة من الأنشطة تتضمن تقديم عروض وحفلات موسيقية ومعارض ودورات أفلام ومحاضرات وحلقات دراسية.</w:t>
      </w:r>
    </w:p>
    <w:p w:rsidR="00000000" w:rsidRDefault="00443EC1">
      <w:pPr>
        <w:spacing w:line="380" w:lineRule="exact"/>
        <w:jc w:val="both"/>
        <w:rPr>
          <w:rFonts w:hint="cs"/>
          <w:rtl/>
        </w:rPr>
      </w:pPr>
      <w:r>
        <w:rPr>
          <w:rFonts w:hint="cs"/>
          <w:rtl/>
        </w:rPr>
        <w:t>1162-   و</w:t>
      </w:r>
      <w:r>
        <w:rPr>
          <w:rtl/>
        </w:rPr>
        <w:t>خلال عام 2002، قام</w:t>
      </w:r>
      <w:r>
        <w:rPr>
          <w:rFonts w:hint="cs"/>
          <w:rtl/>
        </w:rPr>
        <w:t xml:space="preserve"> المعهد الثقافي بتنظيم عدة فعاليات بالتعاون مع هيئات أخرى كما يستنتج من الجدول الآتي.</w:t>
      </w:r>
    </w:p>
    <w:p w:rsidR="00000000" w:rsidRDefault="00443EC1">
      <w:pPr>
        <w:spacing w:line="380" w:lineRule="exact"/>
        <w:jc w:val="both"/>
        <w:rPr>
          <w:rFonts w:hint="cs"/>
          <w:b/>
          <w:bCs/>
          <w:rtl/>
        </w:rPr>
      </w:pPr>
      <w:r>
        <w:rPr>
          <w:rFonts w:hint="cs"/>
          <w:b/>
          <w:bCs/>
          <w:rtl/>
        </w:rPr>
        <w:t>العروض والمعارض العامة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55"/>
        <w:gridCol w:w="1265"/>
        <w:gridCol w:w="1180"/>
        <w:gridCol w:w="1080"/>
        <w:gridCol w:w="1080"/>
        <w:gridCol w:w="1260"/>
        <w:gridCol w:w="1260"/>
      </w:tblGrid>
      <w:tr w:rsidR="00443EC1" w:rsidTr="00443EC1">
        <w:tblPrEx>
          <w:tblCellMar>
            <w:top w:w="0" w:type="dxa"/>
            <w:bottom w:w="0" w:type="dxa"/>
          </w:tblCellMar>
        </w:tblPrEx>
        <w:trPr>
          <w:cantSplit/>
          <w:jc w:val="center"/>
        </w:trPr>
        <w:tc>
          <w:tcPr>
            <w:tcW w:w="2055" w:type="dxa"/>
            <w:tcBorders>
              <w:top w:val="single" w:sz="4" w:space="0" w:color="auto"/>
              <w:left w:val="single" w:sz="4" w:space="0" w:color="auto"/>
              <w:bottom w:val="nil"/>
              <w:right w:val="single" w:sz="4" w:space="0" w:color="auto"/>
            </w:tcBorders>
          </w:tcPr>
          <w:p w:rsidR="00443EC1" w:rsidRDefault="00443EC1">
            <w:pPr>
              <w:spacing w:before="0" w:after="0" w:line="320" w:lineRule="exact"/>
              <w:jc w:val="center"/>
              <w:rPr>
                <w:sz w:val="26"/>
                <w:szCs w:val="26"/>
              </w:rPr>
            </w:pPr>
          </w:p>
        </w:tc>
        <w:tc>
          <w:tcPr>
            <w:tcW w:w="3525" w:type="dxa"/>
            <w:gridSpan w:val="3"/>
            <w:tcBorders>
              <w:left w:val="single" w:sz="4" w:space="0" w:color="auto"/>
            </w:tcBorders>
          </w:tcPr>
          <w:p w:rsidR="00443EC1" w:rsidRDefault="00443EC1">
            <w:pPr>
              <w:spacing w:before="0" w:after="0" w:line="320" w:lineRule="exact"/>
              <w:jc w:val="center"/>
              <w:rPr>
                <w:sz w:val="26"/>
                <w:szCs w:val="26"/>
              </w:rPr>
            </w:pPr>
            <w:r>
              <w:rPr>
                <w:rFonts w:hint="cs"/>
                <w:sz w:val="26"/>
                <w:szCs w:val="26"/>
                <w:rtl/>
              </w:rPr>
              <w:t>عدد العروض</w:t>
            </w:r>
          </w:p>
        </w:tc>
        <w:tc>
          <w:tcPr>
            <w:tcW w:w="3600" w:type="dxa"/>
            <w:gridSpan w:val="3"/>
          </w:tcPr>
          <w:p w:rsidR="00443EC1" w:rsidRDefault="00443EC1">
            <w:pPr>
              <w:spacing w:before="0" w:after="0" w:line="320" w:lineRule="exact"/>
              <w:jc w:val="center"/>
              <w:rPr>
                <w:rFonts w:hint="cs"/>
                <w:sz w:val="26"/>
                <w:szCs w:val="26"/>
              </w:rPr>
            </w:pPr>
            <w:r>
              <w:rPr>
                <w:rFonts w:hint="cs"/>
                <w:sz w:val="26"/>
                <w:szCs w:val="26"/>
                <w:rtl/>
              </w:rPr>
              <w:t>عدد المقاعد</w:t>
            </w:r>
          </w:p>
        </w:tc>
      </w:tr>
      <w:tr w:rsidR="00443EC1" w:rsidTr="00443EC1">
        <w:tblPrEx>
          <w:tblCellMar>
            <w:top w:w="0" w:type="dxa"/>
            <w:bottom w:w="0" w:type="dxa"/>
          </w:tblCellMar>
        </w:tblPrEx>
        <w:trPr>
          <w:jc w:val="center"/>
        </w:trPr>
        <w:tc>
          <w:tcPr>
            <w:tcW w:w="2055" w:type="dxa"/>
            <w:tcBorders>
              <w:top w:val="nil"/>
              <w:left w:val="single" w:sz="4" w:space="0" w:color="auto"/>
              <w:bottom w:val="single" w:sz="4" w:space="0" w:color="auto"/>
              <w:right w:val="single" w:sz="4" w:space="0" w:color="auto"/>
            </w:tcBorders>
          </w:tcPr>
          <w:p w:rsidR="00443EC1" w:rsidRDefault="00443EC1">
            <w:pPr>
              <w:spacing w:before="0" w:after="0" w:line="320" w:lineRule="exact"/>
              <w:jc w:val="center"/>
              <w:rPr>
                <w:sz w:val="26"/>
                <w:szCs w:val="26"/>
              </w:rPr>
            </w:pPr>
            <w:r>
              <w:rPr>
                <w:rFonts w:hint="cs"/>
                <w:sz w:val="26"/>
                <w:szCs w:val="26"/>
                <w:rtl/>
              </w:rPr>
              <w:t>نوع الفعاليات</w:t>
            </w:r>
          </w:p>
        </w:tc>
        <w:tc>
          <w:tcPr>
            <w:tcW w:w="1265" w:type="dxa"/>
            <w:tcBorders>
              <w:left w:val="single" w:sz="4" w:space="0" w:color="auto"/>
              <w:bottom w:val="single" w:sz="4" w:space="0" w:color="auto"/>
            </w:tcBorders>
          </w:tcPr>
          <w:p w:rsidR="00443EC1" w:rsidRDefault="00443EC1">
            <w:pPr>
              <w:spacing w:before="0" w:after="0" w:line="320" w:lineRule="exact"/>
              <w:jc w:val="center"/>
              <w:rPr>
                <w:rFonts w:hint="cs"/>
                <w:sz w:val="26"/>
                <w:szCs w:val="26"/>
              </w:rPr>
            </w:pPr>
            <w:r>
              <w:rPr>
                <w:rFonts w:hint="cs"/>
                <w:sz w:val="26"/>
                <w:szCs w:val="26"/>
                <w:rtl/>
              </w:rPr>
              <w:t>1999</w:t>
            </w:r>
          </w:p>
        </w:tc>
        <w:tc>
          <w:tcPr>
            <w:tcW w:w="1180" w:type="dxa"/>
            <w:tcBorders>
              <w:bottom w:val="single" w:sz="4" w:space="0" w:color="auto"/>
            </w:tcBorders>
          </w:tcPr>
          <w:p w:rsidR="00443EC1" w:rsidRDefault="00443EC1">
            <w:pPr>
              <w:spacing w:before="0" w:after="0" w:line="320" w:lineRule="exact"/>
              <w:jc w:val="center"/>
              <w:rPr>
                <w:rFonts w:hint="cs"/>
                <w:sz w:val="26"/>
                <w:szCs w:val="26"/>
              </w:rPr>
            </w:pPr>
            <w:r>
              <w:rPr>
                <w:rFonts w:hint="cs"/>
                <w:sz w:val="26"/>
                <w:szCs w:val="26"/>
                <w:rtl/>
              </w:rPr>
              <w:t>2000</w:t>
            </w:r>
          </w:p>
        </w:tc>
        <w:tc>
          <w:tcPr>
            <w:tcW w:w="1080" w:type="dxa"/>
            <w:tcBorders>
              <w:bottom w:val="single" w:sz="4" w:space="0" w:color="auto"/>
            </w:tcBorders>
          </w:tcPr>
          <w:p w:rsidR="00443EC1" w:rsidRDefault="00443EC1">
            <w:pPr>
              <w:spacing w:before="0" w:after="0" w:line="320" w:lineRule="exact"/>
              <w:jc w:val="center"/>
              <w:rPr>
                <w:rFonts w:hint="cs"/>
                <w:sz w:val="26"/>
                <w:szCs w:val="26"/>
              </w:rPr>
            </w:pPr>
            <w:r>
              <w:rPr>
                <w:rFonts w:hint="cs"/>
                <w:sz w:val="26"/>
                <w:szCs w:val="26"/>
                <w:rtl/>
              </w:rPr>
              <w:t>2001</w:t>
            </w:r>
          </w:p>
        </w:tc>
        <w:tc>
          <w:tcPr>
            <w:tcW w:w="1080" w:type="dxa"/>
            <w:tcBorders>
              <w:bottom w:val="single" w:sz="4" w:space="0" w:color="auto"/>
            </w:tcBorders>
          </w:tcPr>
          <w:p w:rsidR="00443EC1" w:rsidRDefault="00443EC1">
            <w:pPr>
              <w:spacing w:before="0" w:after="0" w:line="320" w:lineRule="exact"/>
              <w:jc w:val="center"/>
              <w:rPr>
                <w:rFonts w:hint="cs"/>
                <w:sz w:val="26"/>
                <w:szCs w:val="26"/>
              </w:rPr>
            </w:pPr>
            <w:r>
              <w:rPr>
                <w:rFonts w:hint="cs"/>
                <w:sz w:val="26"/>
                <w:szCs w:val="26"/>
                <w:rtl/>
              </w:rPr>
              <w:t>1999</w:t>
            </w:r>
          </w:p>
        </w:tc>
        <w:tc>
          <w:tcPr>
            <w:tcW w:w="1260" w:type="dxa"/>
            <w:tcBorders>
              <w:bottom w:val="single" w:sz="4" w:space="0" w:color="auto"/>
            </w:tcBorders>
          </w:tcPr>
          <w:p w:rsidR="00443EC1" w:rsidRDefault="00443EC1">
            <w:pPr>
              <w:spacing w:before="0" w:after="0" w:line="320" w:lineRule="exact"/>
              <w:jc w:val="center"/>
              <w:rPr>
                <w:rFonts w:hint="cs"/>
                <w:sz w:val="26"/>
                <w:szCs w:val="26"/>
              </w:rPr>
            </w:pPr>
            <w:r>
              <w:rPr>
                <w:rFonts w:hint="cs"/>
                <w:sz w:val="26"/>
                <w:szCs w:val="26"/>
                <w:rtl/>
              </w:rPr>
              <w:t>2000</w:t>
            </w:r>
          </w:p>
        </w:tc>
        <w:tc>
          <w:tcPr>
            <w:tcW w:w="1260" w:type="dxa"/>
            <w:tcBorders>
              <w:bottom w:val="single" w:sz="4" w:space="0" w:color="auto"/>
            </w:tcBorders>
          </w:tcPr>
          <w:p w:rsidR="00443EC1" w:rsidRDefault="00443EC1">
            <w:pPr>
              <w:spacing w:before="0" w:after="0" w:line="320" w:lineRule="exact"/>
              <w:jc w:val="center"/>
              <w:rPr>
                <w:rFonts w:hint="cs"/>
                <w:sz w:val="26"/>
                <w:szCs w:val="26"/>
              </w:rPr>
            </w:pPr>
            <w:r>
              <w:rPr>
                <w:rFonts w:hint="cs"/>
                <w:sz w:val="26"/>
                <w:szCs w:val="26"/>
                <w:rtl/>
              </w:rPr>
              <w:t>2001</w:t>
            </w:r>
          </w:p>
        </w:tc>
      </w:tr>
      <w:tr w:rsidR="00443EC1" w:rsidTr="00443EC1">
        <w:tblPrEx>
          <w:tblCellMar>
            <w:top w:w="0" w:type="dxa"/>
            <w:bottom w:w="0" w:type="dxa"/>
          </w:tblCellMar>
        </w:tblPrEx>
        <w:trPr>
          <w:jc w:val="center"/>
        </w:trPr>
        <w:tc>
          <w:tcPr>
            <w:tcW w:w="2055" w:type="dxa"/>
            <w:tcBorders>
              <w:bottom w:val="nil"/>
            </w:tcBorders>
          </w:tcPr>
          <w:p w:rsidR="00443EC1" w:rsidRDefault="00443EC1">
            <w:pPr>
              <w:spacing w:before="0" w:after="0" w:line="320" w:lineRule="exact"/>
              <w:jc w:val="both"/>
              <w:rPr>
                <w:rFonts w:hint="cs"/>
                <w:sz w:val="26"/>
                <w:szCs w:val="26"/>
              </w:rPr>
            </w:pPr>
            <w:r>
              <w:rPr>
                <w:rFonts w:hint="cs"/>
                <w:sz w:val="26"/>
                <w:szCs w:val="26"/>
                <w:rtl/>
              </w:rPr>
              <w:t>الباليه</w:t>
            </w:r>
          </w:p>
        </w:tc>
        <w:tc>
          <w:tcPr>
            <w:tcW w:w="1265" w:type="dxa"/>
            <w:tcBorders>
              <w:bottom w:val="nil"/>
            </w:tcBorders>
          </w:tcPr>
          <w:p w:rsidR="00443EC1" w:rsidRDefault="00443EC1">
            <w:pPr>
              <w:spacing w:before="0" w:after="0" w:line="320" w:lineRule="exact"/>
              <w:jc w:val="both"/>
              <w:rPr>
                <w:rFonts w:hint="cs"/>
                <w:sz w:val="26"/>
                <w:szCs w:val="26"/>
              </w:rPr>
            </w:pPr>
            <w:r>
              <w:rPr>
                <w:rFonts w:hint="cs"/>
                <w:sz w:val="26"/>
                <w:szCs w:val="26"/>
                <w:rtl/>
              </w:rPr>
              <w:t>15</w:t>
            </w:r>
          </w:p>
        </w:tc>
        <w:tc>
          <w:tcPr>
            <w:tcW w:w="1180" w:type="dxa"/>
            <w:tcBorders>
              <w:bottom w:val="nil"/>
            </w:tcBorders>
          </w:tcPr>
          <w:p w:rsidR="00443EC1" w:rsidRDefault="00443EC1">
            <w:pPr>
              <w:spacing w:before="0" w:after="0" w:line="320" w:lineRule="exact"/>
              <w:jc w:val="both"/>
              <w:rPr>
                <w:rFonts w:hint="cs"/>
                <w:sz w:val="26"/>
                <w:szCs w:val="26"/>
              </w:rPr>
            </w:pPr>
            <w:r>
              <w:rPr>
                <w:rFonts w:hint="cs"/>
                <w:sz w:val="26"/>
                <w:szCs w:val="26"/>
                <w:rtl/>
              </w:rPr>
              <w:t>18</w:t>
            </w:r>
          </w:p>
        </w:tc>
        <w:tc>
          <w:tcPr>
            <w:tcW w:w="1080" w:type="dxa"/>
            <w:tcBorders>
              <w:bottom w:val="nil"/>
            </w:tcBorders>
          </w:tcPr>
          <w:p w:rsidR="00443EC1" w:rsidRDefault="00443EC1">
            <w:pPr>
              <w:spacing w:before="0" w:after="0" w:line="320" w:lineRule="exact"/>
              <w:jc w:val="both"/>
              <w:rPr>
                <w:rFonts w:hint="cs"/>
                <w:sz w:val="26"/>
                <w:szCs w:val="26"/>
              </w:rPr>
            </w:pPr>
            <w:r>
              <w:rPr>
                <w:rFonts w:hint="cs"/>
                <w:sz w:val="26"/>
                <w:szCs w:val="26"/>
                <w:rtl/>
              </w:rPr>
              <w:t>13</w:t>
            </w:r>
          </w:p>
        </w:tc>
        <w:tc>
          <w:tcPr>
            <w:tcW w:w="1080" w:type="dxa"/>
            <w:tcBorders>
              <w:bottom w:val="nil"/>
            </w:tcBorders>
          </w:tcPr>
          <w:p w:rsidR="00443EC1" w:rsidRDefault="00443EC1">
            <w:pPr>
              <w:spacing w:before="0" w:after="0" w:line="320" w:lineRule="exact"/>
              <w:jc w:val="both"/>
              <w:rPr>
                <w:rFonts w:hint="cs"/>
                <w:sz w:val="26"/>
                <w:szCs w:val="26"/>
              </w:rPr>
            </w:pPr>
            <w:r>
              <w:rPr>
                <w:rFonts w:hint="cs"/>
                <w:sz w:val="26"/>
                <w:szCs w:val="26"/>
                <w:rtl/>
              </w:rPr>
              <w:t>848 8</w:t>
            </w:r>
          </w:p>
        </w:tc>
        <w:tc>
          <w:tcPr>
            <w:tcW w:w="1260" w:type="dxa"/>
            <w:tcBorders>
              <w:bottom w:val="nil"/>
            </w:tcBorders>
          </w:tcPr>
          <w:p w:rsidR="00443EC1" w:rsidRDefault="00443EC1">
            <w:pPr>
              <w:spacing w:before="0" w:after="0" w:line="320" w:lineRule="exact"/>
              <w:jc w:val="both"/>
              <w:rPr>
                <w:rFonts w:hint="cs"/>
                <w:sz w:val="26"/>
                <w:szCs w:val="26"/>
              </w:rPr>
            </w:pPr>
            <w:r>
              <w:rPr>
                <w:rFonts w:hint="cs"/>
                <w:sz w:val="26"/>
                <w:szCs w:val="26"/>
                <w:rtl/>
              </w:rPr>
              <w:t>515 11</w:t>
            </w:r>
          </w:p>
        </w:tc>
        <w:tc>
          <w:tcPr>
            <w:tcW w:w="1260" w:type="dxa"/>
            <w:tcBorders>
              <w:bottom w:val="nil"/>
            </w:tcBorders>
          </w:tcPr>
          <w:p w:rsidR="00443EC1" w:rsidRDefault="00443EC1">
            <w:pPr>
              <w:spacing w:before="0" w:after="0" w:line="320" w:lineRule="exact"/>
              <w:jc w:val="both"/>
              <w:rPr>
                <w:rFonts w:hint="cs"/>
                <w:sz w:val="26"/>
                <w:szCs w:val="26"/>
              </w:rPr>
            </w:pPr>
            <w:r>
              <w:rPr>
                <w:rFonts w:hint="cs"/>
                <w:sz w:val="26"/>
                <w:szCs w:val="26"/>
                <w:rtl/>
              </w:rPr>
              <w:t>387 10</w:t>
            </w:r>
          </w:p>
        </w:tc>
      </w:tr>
      <w:tr w:rsidR="00443EC1" w:rsidTr="00443EC1">
        <w:tblPrEx>
          <w:tblCellMar>
            <w:top w:w="0" w:type="dxa"/>
            <w:bottom w:w="0" w:type="dxa"/>
          </w:tblCellMar>
        </w:tblPrEx>
        <w:trPr>
          <w:jc w:val="center"/>
        </w:trPr>
        <w:tc>
          <w:tcPr>
            <w:tcW w:w="2055"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 xml:space="preserve">الخدمات الموسيقية </w:t>
            </w:r>
          </w:p>
        </w:tc>
        <w:tc>
          <w:tcPr>
            <w:tcW w:w="1265"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167</w:t>
            </w:r>
          </w:p>
        </w:tc>
        <w:tc>
          <w:tcPr>
            <w:tcW w:w="1180"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210</w:t>
            </w:r>
          </w:p>
        </w:tc>
        <w:tc>
          <w:tcPr>
            <w:tcW w:w="1080"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216</w:t>
            </w:r>
          </w:p>
        </w:tc>
        <w:tc>
          <w:tcPr>
            <w:tcW w:w="1080"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120 121</w:t>
            </w:r>
          </w:p>
        </w:tc>
        <w:tc>
          <w:tcPr>
            <w:tcW w:w="1260"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015 105</w:t>
            </w:r>
          </w:p>
        </w:tc>
        <w:tc>
          <w:tcPr>
            <w:tcW w:w="1260"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495 88</w:t>
            </w:r>
          </w:p>
        </w:tc>
      </w:tr>
      <w:tr w:rsidR="00443EC1" w:rsidTr="00443EC1">
        <w:tblPrEx>
          <w:tblCellMar>
            <w:top w:w="0" w:type="dxa"/>
            <w:bottom w:w="0" w:type="dxa"/>
          </w:tblCellMar>
        </w:tblPrEx>
        <w:trPr>
          <w:jc w:val="center"/>
        </w:trPr>
        <w:tc>
          <w:tcPr>
            <w:tcW w:w="2055"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 xml:space="preserve">عروض الأوبرا والمنوعات </w:t>
            </w:r>
          </w:p>
        </w:tc>
        <w:tc>
          <w:tcPr>
            <w:tcW w:w="1265"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84</w:t>
            </w:r>
          </w:p>
        </w:tc>
        <w:tc>
          <w:tcPr>
            <w:tcW w:w="1180"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77</w:t>
            </w:r>
          </w:p>
        </w:tc>
        <w:tc>
          <w:tcPr>
            <w:tcW w:w="1080"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116</w:t>
            </w:r>
          </w:p>
        </w:tc>
        <w:tc>
          <w:tcPr>
            <w:tcW w:w="1080"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146 173</w:t>
            </w:r>
          </w:p>
        </w:tc>
        <w:tc>
          <w:tcPr>
            <w:tcW w:w="1260"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093 169</w:t>
            </w:r>
          </w:p>
        </w:tc>
        <w:tc>
          <w:tcPr>
            <w:tcW w:w="1260"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408 171</w:t>
            </w:r>
          </w:p>
        </w:tc>
      </w:tr>
      <w:tr w:rsidR="00443EC1" w:rsidTr="00443EC1">
        <w:tblPrEx>
          <w:tblCellMar>
            <w:top w:w="0" w:type="dxa"/>
            <w:bottom w:w="0" w:type="dxa"/>
          </w:tblCellMar>
        </w:tblPrEx>
        <w:trPr>
          <w:jc w:val="center"/>
        </w:trPr>
        <w:tc>
          <w:tcPr>
            <w:tcW w:w="2055"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عروض الأوبرا الصينية</w:t>
            </w:r>
          </w:p>
        </w:tc>
        <w:tc>
          <w:tcPr>
            <w:tcW w:w="1265"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59</w:t>
            </w:r>
          </w:p>
        </w:tc>
        <w:tc>
          <w:tcPr>
            <w:tcW w:w="1180"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51</w:t>
            </w:r>
          </w:p>
        </w:tc>
        <w:tc>
          <w:tcPr>
            <w:tcW w:w="1080"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72</w:t>
            </w:r>
          </w:p>
        </w:tc>
        <w:tc>
          <w:tcPr>
            <w:tcW w:w="1080"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401 22</w:t>
            </w:r>
          </w:p>
        </w:tc>
        <w:tc>
          <w:tcPr>
            <w:tcW w:w="1260"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505 19</w:t>
            </w:r>
          </w:p>
        </w:tc>
        <w:tc>
          <w:tcPr>
            <w:tcW w:w="1260"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960 28</w:t>
            </w:r>
          </w:p>
        </w:tc>
      </w:tr>
      <w:tr w:rsidR="00443EC1" w:rsidTr="00443EC1">
        <w:tblPrEx>
          <w:tblCellMar>
            <w:top w:w="0" w:type="dxa"/>
            <w:bottom w:w="0" w:type="dxa"/>
          </w:tblCellMar>
        </w:tblPrEx>
        <w:trPr>
          <w:jc w:val="center"/>
        </w:trPr>
        <w:tc>
          <w:tcPr>
            <w:tcW w:w="2055"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المسرح</w:t>
            </w:r>
          </w:p>
        </w:tc>
        <w:tc>
          <w:tcPr>
            <w:tcW w:w="1265"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81</w:t>
            </w:r>
          </w:p>
        </w:tc>
        <w:tc>
          <w:tcPr>
            <w:tcW w:w="1180"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54</w:t>
            </w:r>
          </w:p>
        </w:tc>
        <w:tc>
          <w:tcPr>
            <w:tcW w:w="1080"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40</w:t>
            </w:r>
          </w:p>
        </w:tc>
        <w:tc>
          <w:tcPr>
            <w:tcW w:w="1080"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336 19</w:t>
            </w:r>
          </w:p>
        </w:tc>
        <w:tc>
          <w:tcPr>
            <w:tcW w:w="1260"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001 23</w:t>
            </w:r>
          </w:p>
        </w:tc>
        <w:tc>
          <w:tcPr>
            <w:tcW w:w="1260"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772 31</w:t>
            </w:r>
          </w:p>
        </w:tc>
      </w:tr>
      <w:tr w:rsidR="00443EC1" w:rsidTr="00443EC1">
        <w:tblPrEx>
          <w:tblCellMar>
            <w:top w:w="0" w:type="dxa"/>
            <w:bottom w:w="0" w:type="dxa"/>
          </w:tblCellMar>
        </w:tblPrEx>
        <w:trPr>
          <w:jc w:val="center"/>
        </w:trPr>
        <w:tc>
          <w:tcPr>
            <w:tcW w:w="2055"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المباريات</w:t>
            </w:r>
          </w:p>
        </w:tc>
        <w:tc>
          <w:tcPr>
            <w:tcW w:w="1265"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42</w:t>
            </w:r>
          </w:p>
        </w:tc>
        <w:tc>
          <w:tcPr>
            <w:tcW w:w="1180"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32</w:t>
            </w:r>
          </w:p>
        </w:tc>
        <w:tc>
          <w:tcPr>
            <w:tcW w:w="1080"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36*</w:t>
            </w:r>
          </w:p>
        </w:tc>
        <w:tc>
          <w:tcPr>
            <w:tcW w:w="1080"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214 10</w:t>
            </w:r>
          </w:p>
        </w:tc>
        <w:tc>
          <w:tcPr>
            <w:tcW w:w="1260"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511 16</w:t>
            </w:r>
          </w:p>
        </w:tc>
        <w:tc>
          <w:tcPr>
            <w:tcW w:w="1260"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038 6*</w:t>
            </w:r>
          </w:p>
        </w:tc>
      </w:tr>
      <w:tr w:rsidR="00443EC1" w:rsidTr="00443EC1">
        <w:tblPrEx>
          <w:tblCellMar>
            <w:top w:w="0" w:type="dxa"/>
            <w:bottom w:w="0" w:type="dxa"/>
          </w:tblCellMar>
        </w:tblPrEx>
        <w:trPr>
          <w:jc w:val="center"/>
        </w:trPr>
        <w:tc>
          <w:tcPr>
            <w:tcW w:w="2055"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عروض الأفلام</w:t>
            </w:r>
          </w:p>
        </w:tc>
        <w:tc>
          <w:tcPr>
            <w:tcW w:w="1265"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525 9</w:t>
            </w:r>
          </w:p>
        </w:tc>
        <w:tc>
          <w:tcPr>
            <w:tcW w:w="1180"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920 9</w:t>
            </w:r>
          </w:p>
        </w:tc>
        <w:tc>
          <w:tcPr>
            <w:tcW w:w="1080"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233 10</w:t>
            </w:r>
          </w:p>
        </w:tc>
        <w:tc>
          <w:tcPr>
            <w:tcW w:w="1080"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410 155</w:t>
            </w:r>
          </w:p>
        </w:tc>
        <w:tc>
          <w:tcPr>
            <w:tcW w:w="1260"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191 207</w:t>
            </w:r>
          </w:p>
        </w:tc>
        <w:tc>
          <w:tcPr>
            <w:tcW w:w="1260"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744 215</w:t>
            </w:r>
          </w:p>
        </w:tc>
      </w:tr>
      <w:tr w:rsidR="00443EC1" w:rsidTr="00443EC1">
        <w:tblPrEx>
          <w:tblCellMar>
            <w:top w:w="0" w:type="dxa"/>
            <w:bottom w:w="0" w:type="dxa"/>
          </w:tblCellMar>
        </w:tblPrEx>
        <w:trPr>
          <w:jc w:val="center"/>
        </w:trPr>
        <w:tc>
          <w:tcPr>
            <w:tcW w:w="2055"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المعارض**</w:t>
            </w:r>
          </w:p>
        </w:tc>
        <w:tc>
          <w:tcPr>
            <w:tcW w:w="1265"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111</w:t>
            </w:r>
          </w:p>
        </w:tc>
        <w:tc>
          <w:tcPr>
            <w:tcW w:w="1180"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120</w:t>
            </w:r>
          </w:p>
        </w:tc>
        <w:tc>
          <w:tcPr>
            <w:tcW w:w="1080"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125</w:t>
            </w:r>
          </w:p>
        </w:tc>
        <w:tc>
          <w:tcPr>
            <w:tcW w:w="1080"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646 196</w:t>
            </w:r>
          </w:p>
        </w:tc>
        <w:tc>
          <w:tcPr>
            <w:tcW w:w="1260"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286 237</w:t>
            </w:r>
          </w:p>
        </w:tc>
        <w:tc>
          <w:tcPr>
            <w:tcW w:w="1260" w:type="dxa"/>
            <w:tcBorders>
              <w:top w:val="nil"/>
              <w:bottom w:val="nil"/>
            </w:tcBorders>
          </w:tcPr>
          <w:p w:rsidR="00443EC1" w:rsidRDefault="00443EC1">
            <w:pPr>
              <w:spacing w:before="0" w:after="0" w:line="320" w:lineRule="exact"/>
              <w:jc w:val="both"/>
              <w:rPr>
                <w:rFonts w:hint="cs"/>
                <w:sz w:val="26"/>
                <w:szCs w:val="26"/>
              </w:rPr>
            </w:pPr>
            <w:r>
              <w:rPr>
                <w:rFonts w:hint="cs"/>
                <w:sz w:val="26"/>
                <w:szCs w:val="26"/>
                <w:rtl/>
              </w:rPr>
              <w:t>758 415</w:t>
            </w:r>
          </w:p>
        </w:tc>
      </w:tr>
      <w:tr w:rsidR="00443EC1" w:rsidTr="00443EC1">
        <w:tblPrEx>
          <w:tblCellMar>
            <w:top w:w="0" w:type="dxa"/>
            <w:bottom w:w="0" w:type="dxa"/>
          </w:tblCellMar>
        </w:tblPrEx>
        <w:trPr>
          <w:jc w:val="center"/>
        </w:trPr>
        <w:tc>
          <w:tcPr>
            <w:tcW w:w="2055" w:type="dxa"/>
            <w:tcBorders>
              <w:top w:val="nil"/>
            </w:tcBorders>
          </w:tcPr>
          <w:p w:rsidR="00443EC1" w:rsidRDefault="00443EC1">
            <w:pPr>
              <w:spacing w:before="0" w:after="0" w:line="320" w:lineRule="exact"/>
              <w:jc w:val="both"/>
              <w:rPr>
                <w:rFonts w:hint="cs"/>
                <w:sz w:val="26"/>
                <w:szCs w:val="26"/>
              </w:rPr>
            </w:pPr>
            <w:r>
              <w:rPr>
                <w:rFonts w:hint="cs"/>
                <w:sz w:val="26"/>
                <w:szCs w:val="26"/>
                <w:rtl/>
              </w:rPr>
              <w:t>فعاليات أخرى</w:t>
            </w:r>
          </w:p>
        </w:tc>
        <w:tc>
          <w:tcPr>
            <w:tcW w:w="1265" w:type="dxa"/>
            <w:tcBorders>
              <w:top w:val="nil"/>
            </w:tcBorders>
          </w:tcPr>
          <w:p w:rsidR="00443EC1" w:rsidRDefault="00443EC1">
            <w:pPr>
              <w:spacing w:before="0" w:after="0" w:line="320" w:lineRule="exact"/>
              <w:jc w:val="both"/>
              <w:rPr>
                <w:rFonts w:hint="cs"/>
                <w:sz w:val="26"/>
                <w:szCs w:val="26"/>
              </w:rPr>
            </w:pPr>
            <w:r>
              <w:rPr>
                <w:rFonts w:hint="cs"/>
                <w:sz w:val="26"/>
                <w:szCs w:val="26"/>
                <w:rtl/>
              </w:rPr>
              <w:t>196</w:t>
            </w:r>
          </w:p>
        </w:tc>
        <w:tc>
          <w:tcPr>
            <w:tcW w:w="1180" w:type="dxa"/>
            <w:tcBorders>
              <w:top w:val="nil"/>
            </w:tcBorders>
          </w:tcPr>
          <w:p w:rsidR="00443EC1" w:rsidRDefault="00443EC1">
            <w:pPr>
              <w:spacing w:before="0" w:after="0" w:line="320" w:lineRule="exact"/>
              <w:jc w:val="both"/>
              <w:rPr>
                <w:rFonts w:hint="cs"/>
                <w:sz w:val="26"/>
                <w:szCs w:val="26"/>
              </w:rPr>
            </w:pPr>
            <w:r>
              <w:rPr>
                <w:rFonts w:hint="cs"/>
                <w:sz w:val="26"/>
                <w:szCs w:val="26"/>
                <w:rtl/>
              </w:rPr>
              <w:t>214</w:t>
            </w:r>
          </w:p>
        </w:tc>
        <w:tc>
          <w:tcPr>
            <w:tcW w:w="1080" w:type="dxa"/>
            <w:tcBorders>
              <w:top w:val="nil"/>
            </w:tcBorders>
          </w:tcPr>
          <w:p w:rsidR="00443EC1" w:rsidRDefault="00443EC1">
            <w:pPr>
              <w:spacing w:before="0" w:after="0" w:line="320" w:lineRule="exact"/>
              <w:jc w:val="both"/>
              <w:rPr>
                <w:rFonts w:hint="cs"/>
                <w:sz w:val="26"/>
                <w:szCs w:val="26"/>
              </w:rPr>
            </w:pPr>
            <w:r>
              <w:rPr>
                <w:rFonts w:hint="cs"/>
                <w:sz w:val="26"/>
                <w:szCs w:val="26"/>
                <w:rtl/>
              </w:rPr>
              <w:t>188</w:t>
            </w:r>
          </w:p>
        </w:tc>
        <w:tc>
          <w:tcPr>
            <w:tcW w:w="1080" w:type="dxa"/>
            <w:tcBorders>
              <w:top w:val="nil"/>
            </w:tcBorders>
          </w:tcPr>
          <w:p w:rsidR="00443EC1" w:rsidRDefault="00443EC1">
            <w:pPr>
              <w:spacing w:before="0" w:after="0" w:line="320" w:lineRule="exact"/>
              <w:jc w:val="both"/>
              <w:rPr>
                <w:rFonts w:hint="cs"/>
                <w:sz w:val="26"/>
                <w:szCs w:val="26"/>
              </w:rPr>
            </w:pPr>
            <w:r>
              <w:rPr>
                <w:rFonts w:hint="cs"/>
                <w:sz w:val="26"/>
                <w:szCs w:val="26"/>
                <w:rtl/>
              </w:rPr>
              <w:t>583 62</w:t>
            </w:r>
          </w:p>
        </w:tc>
        <w:tc>
          <w:tcPr>
            <w:tcW w:w="1260" w:type="dxa"/>
            <w:tcBorders>
              <w:top w:val="nil"/>
            </w:tcBorders>
          </w:tcPr>
          <w:p w:rsidR="00443EC1" w:rsidRDefault="00443EC1">
            <w:pPr>
              <w:spacing w:before="0" w:after="0" w:line="320" w:lineRule="exact"/>
              <w:jc w:val="both"/>
              <w:rPr>
                <w:rFonts w:hint="cs"/>
                <w:sz w:val="26"/>
                <w:szCs w:val="26"/>
              </w:rPr>
            </w:pPr>
            <w:r>
              <w:rPr>
                <w:rFonts w:hint="cs"/>
                <w:sz w:val="26"/>
                <w:szCs w:val="26"/>
                <w:rtl/>
              </w:rPr>
              <w:t>536 40</w:t>
            </w:r>
          </w:p>
        </w:tc>
        <w:tc>
          <w:tcPr>
            <w:tcW w:w="1260" w:type="dxa"/>
            <w:tcBorders>
              <w:top w:val="nil"/>
            </w:tcBorders>
          </w:tcPr>
          <w:p w:rsidR="00443EC1" w:rsidRDefault="00443EC1">
            <w:pPr>
              <w:spacing w:before="0" w:after="0" w:line="320" w:lineRule="exact"/>
              <w:jc w:val="both"/>
              <w:rPr>
                <w:rFonts w:hint="cs"/>
                <w:sz w:val="26"/>
                <w:szCs w:val="26"/>
              </w:rPr>
            </w:pPr>
            <w:r>
              <w:rPr>
                <w:rFonts w:hint="cs"/>
                <w:sz w:val="26"/>
                <w:szCs w:val="26"/>
                <w:rtl/>
              </w:rPr>
              <w:t>057 29</w:t>
            </w:r>
          </w:p>
        </w:tc>
      </w:tr>
      <w:tr w:rsidR="00443EC1" w:rsidTr="00443EC1">
        <w:tblPrEx>
          <w:tblCellMar>
            <w:top w:w="0" w:type="dxa"/>
            <w:bottom w:w="0" w:type="dxa"/>
          </w:tblCellMar>
        </w:tblPrEx>
        <w:trPr>
          <w:jc w:val="center"/>
        </w:trPr>
        <w:tc>
          <w:tcPr>
            <w:tcW w:w="2055" w:type="dxa"/>
          </w:tcPr>
          <w:p w:rsidR="00443EC1" w:rsidRDefault="00443EC1">
            <w:pPr>
              <w:spacing w:before="0" w:after="0" w:line="320" w:lineRule="exact"/>
              <w:jc w:val="both"/>
              <w:rPr>
                <w:rFonts w:hint="cs"/>
                <w:sz w:val="26"/>
                <w:szCs w:val="26"/>
                <w:rtl/>
              </w:rPr>
            </w:pPr>
            <w:r>
              <w:rPr>
                <w:sz w:val="26"/>
                <w:szCs w:val="26"/>
                <w:rtl/>
              </w:rPr>
              <w:t xml:space="preserve">      </w:t>
            </w:r>
            <w:r>
              <w:rPr>
                <w:rFonts w:hint="cs"/>
                <w:sz w:val="26"/>
                <w:szCs w:val="26"/>
                <w:rtl/>
              </w:rPr>
              <w:t>المجموع</w:t>
            </w:r>
          </w:p>
        </w:tc>
        <w:tc>
          <w:tcPr>
            <w:tcW w:w="1265" w:type="dxa"/>
          </w:tcPr>
          <w:p w:rsidR="00443EC1" w:rsidRDefault="00443EC1">
            <w:pPr>
              <w:spacing w:before="0" w:after="0" w:line="320" w:lineRule="exact"/>
              <w:jc w:val="both"/>
              <w:rPr>
                <w:rFonts w:hint="cs"/>
                <w:sz w:val="26"/>
                <w:szCs w:val="26"/>
                <w:rtl/>
              </w:rPr>
            </w:pPr>
            <w:r>
              <w:rPr>
                <w:rFonts w:hint="cs"/>
                <w:sz w:val="26"/>
                <w:szCs w:val="26"/>
                <w:rtl/>
              </w:rPr>
              <w:t>280 10</w:t>
            </w:r>
          </w:p>
        </w:tc>
        <w:tc>
          <w:tcPr>
            <w:tcW w:w="1180" w:type="dxa"/>
          </w:tcPr>
          <w:p w:rsidR="00443EC1" w:rsidRDefault="00443EC1">
            <w:pPr>
              <w:spacing w:before="0" w:after="0" w:line="320" w:lineRule="exact"/>
              <w:jc w:val="both"/>
              <w:rPr>
                <w:rFonts w:hint="cs"/>
                <w:sz w:val="26"/>
                <w:szCs w:val="26"/>
                <w:rtl/>
              </w:rPr>
            </w:pPr>
            <w:r>
              <w:rPr>
                <w:rFonts w:hint="cs"/>
                <w:sz w:val="26"/>
                <w:szCs w:val="26"/>
                <w:rtl/>
              </w:rPr>
              <w:t>696 10</w:t>
            </w:r>
          </w:p>
        </w:tc>
        <w:tc>
          <w:tcPr>
            <w:tcW w:w="1080" w:type="dxa"/>
          </w:tcPr>
          <w:p w:rsidR="00443EC1" w:rsidRDefault="00443EC1">
            <w:pPr>
              <w:spacing w:before="0" w:after="0" w:line="320" w:lineRule="exact"/>
              <w:jc w:val="both"/>
              <w:rPr>
                <w:rFonts w:hint="cs"/>
                <w:sz w:val="26"/>
                <w:szCs w:val="26"/>
                <w:rtl/>
              </w:rPr>
            </w:pPr>
            <w:r>
              <w:rPr>
                <w:rFonts w:hint="cs"/>
                <w:sz w:val="26"/>
                <w:szCs w:val="26"/>
                <w:rtl/>
              </w:rPr>
              <w:t>039 11</w:t>
            </w:r>
          </w:p>
        </w:tc>
        <w:tc>
          <w:tcPr>
            <w:tcW w:w="1080" w:type="dxa"/>
          </w:tcPr>
          <w:p w:rsidR="00443EC1" w:rsidRDefault="00443EC1">
            <w:pPr>
              <w:spacing w:before="0" w:after="0" w:line="320" w:lineRule="exact"/>
              <w:jc w:val="both"/>
              <w:rPr>
                <w:rFonts w:hint="cs"/>
                <w:sz w:val="26"/>
                <w:szCs w:val="26"/>
                <w:rtl/>
              </w:rPr>
            </w:pPr>
            <w:r>
              <w:rPr>
                <w:rFonts w:hint="cs"/>
                <w:sz w:val="26"/>
                <w:szCs w:val="26"/>
                <w:rtl/>
              </w:rPr>
              <w:t>704 769</w:t>
            </w:r>
          </w:p>
        </w:tc>
        <w:tc>
          <w:tcPr>
            <w:tcW w:w="1260" w:type="dxa"/>
          </w:tcPr>
          <w:p w:rsidR="00443EC1" w:rsidRDefault="00443EC1">
            <w:pPr>
              <w:spacing w:before="0" w:after="0" w:line="320" w:lineRule="exact"/>
              <w:jc w:val="both"/>
              <w:rPr>
                <w:rFonts w:hint="cs"/>
                <w:sz w:val="26"/>
                <w:szCs w:val="26"/>
                <w:rtl/>
              </w:rPr>
            </w:pPr>
            <w:r>
              <w:rPr>
                <w:rFonts w:hint="cs"/>
                <w:sz w:val="26"/>
                <w:szCs w:val="26"/>
                <w:rtl/>
              </w:rPr>
              <w:t>653 829</w:t>
            </w:r>
          </w:p>
        </w:tc>
        <w:tc>
          <w:tcPr>
            <w:tcW w:w="1260" w:type="dxa"/>
          </w:tcPr>
          <w:p w:rsidR="00443EC1" w:rsidRDefault="00443EC1">
            <w:pPr>
              <w:spacing w:before="0" w:after="0" w:line="320" w:lineRule="exact"/>
              <w:jc w:val="both"/>
              <w:rPr>
                <w:rFonts w:hint="cs"/>
                <w:sz w:val="26"/>
                <w:szCs w:val="26"/>
                <w:rtl/>
              </w:rPr>
            </w:pPr>
            <w:r>
              <w:rPr>
                <w:rFonts w:hint="cs"/>
                <w:sz w:val="26"/>
                <w:szCs w:val="26"/>
                <w:rtl/>
              </w:rPr>
              <w:t>619 997</w:t>
            </w:r>
          </w:p>
        </w:tc>
      </w:tr>
    </w:tbl>
    <w:p w:rsidR="00000000" w:rsidRDefault="00443EC1">
      <w:pPr>
        <w:spacing w:before="0" w:after="0" w:line="380" w:lineRule="exact"/>
        <w:jc w:val="both"/>
        <w:rPr>
          <w:rFonts w:hint="cs"/>
          <w:rtl/>
        </w:rPr>
      </w:pPr>
      <w:r>
        <w:rPr>
          <w:rFonts w:hint="cs"/>
          <w:rtl/>
        </w:rPr>
        <w:tab/>
        <w:t>*</w:t>
      </w:r>
      <w:r>
        <w:rPr>
          <w:rtl/>
        </w:rPr>
        <w:tab/>
        <w:t>ال</w:t>
      </w:r>
      <w:r>
        <w:rPr>
          <w:rFonts w:hint="cs"/>
          <w:rtl/>
        </w:rPr>
        <w:t>ب</w:t>
      </w:r>
      <w:r>
        <w:rPr>
          <w:rtl/>
        </w:rPr>
        <w:t xml:space="preserve">يانات المتعلقة </w:t>
      </w:r>
      <w:r>
        <w:rPr>
          <w:rFonts w:hint="cs"/>
          <w:rtl/>
        </w:rPr>
        <w:t xml:space="preserve">بإحدى </w:t>
      </w:r>
      <w:r>
        <w:rPr>
          <w:rtl/>
        </w:rPr>
        <w:t xml:space="preserve">وعشرين </w:t>
      </w:r>
      <w:r>
        <w:rPr>
          <w:rFonts w:hint="cs"/>
          <w:rtl/>
        </w:rPr>
        <w:t>مباراة غير متوفرة.</w:t>
      </w:r>
    </w:p>
    <w:p w:rsidR="00000000" w:rsidRDefault="00443EC1">
      <w:pPr>
        <w:spacing w:before="0" w:after="0" w:line="380" w:lineRule="exact"/>
        <w:jc w:val="both"/>
        <w:rPr>
          <w:rFonts w:hint="cs"/>
          <w:rtl/>
        </w:rPr>
      </w:pPr>
      <w:r>
        <w:rPr>
          <w:rFonts w:hint="cs"/>
          <w:rtl/>
        </w:rPr>
        <w:tab/>
        <w:t>**</w:t>
      </w:r>
      <w:r>
        <w:rPr>
          <w:rtl/>
        </w:rPr>
        <w:tab/>
        <w:t>لم تتوفر البيانات المتعلقة بعدد</w:t>
      </w:r>
      <w:r>
        <w:rPr>
          <w:rFonts w:hint="cs"/>
          <w:rtl/>
        </w:rPr>
        <w:t xml:space="preserve"> زوار 16 معرضا في عام 1999 و7 معارض في عام 2000 و15 معرضا في عام 2001.</w:t>
      </w:r>
    </w:p>
    <w:p w:rsidR="00000000" w:rsidRDefault="00443EC1">
      <w:pPr>
        <w:spacing w:before="0" w:after="0" w:line="380" w:lineRule="exact"/>
        <w:jc w:val="both"/>
        <w:rPr>
          <w:rFonts w:hint="cs"/>
          <w:rtl/>
        </w:rPr>
      </w:pPr>
      <w:r>
        <w:rPr>
          <w:rFonts w:hint="cs"/>
          <w:rtl/>
        </w:rPr>
        <w:tab/>
      </w:r>
      <w:r>
        <w:rPr>
          <w:rFonts w:hint="cs"/>
          <w:i/>
          <w:iCs/>
          <w:rtl/>
        </w:rPr>
        <w:t>المصدر</w:t>
      </w:r>
      <w:r>
        <w:rPr>
          <w:rFonts w:hint="cs"/>
          <w:rtl/>
        </w:rPr>
        <w:t>: الحولية الإحصائية لعام 2001، إدارة ال</w:t>
      </w:r>
      <w:r>
        <w:rPr>
          <w:rFonts w:hint="cs"/>
          <w:rtl/>
        </w:rPr>
        <w:t>إحصاء والتعداد.</w:t>
      </w:r>
    </w:p>
    <w:p w:rsidR="00000000" w:rsidRDefault="00443EC1">
      <w:pPr>
        <w:spacing w:line="380" w:lineRule="exact"/>
        <w:jc w:val="both"/>
        <w:rPr>
          <w:rFonts w:hint="cs"/>
          <w:rtl/>
        </w:rPr>
      </w:pPr>
      <w:r>
        <w:rPr>
          <w:rFonts w:hint="cs"/>
          <w:rtl/>
        </w:rPr>
        <w:t xml:space="preserve">1163-   بالإضافة إلى العدد الهائل من الأنشطة الثقافية الموجهة إلى عامة الناس، نُظمت كذلك حلقات عمل أكثر تخصصا شملت على سبيل المثال دروسا في تقنيات الرسم أو الخزف والرقص وفن الإيماء وتصوير شرائط الفيديو والحلقات الدراسية التي تناولت الثقافة </w:t>
      </w:r>
      <w:r>
        <w:rPr>
          <w:rFonts w:hint="cs"/>
          <w:rtl/>
        </w:rPr>
        <w:t xml:space="preserve">الشعبية والتاريخ والثقافة والرسم بالحبر الصيني وفن الخط والأدب ومعرض جماعي لفناني ماكاو لتشجيع الفن المحلي. </w:t>
      </w:r>
    </w:p>
    <w:p w:rsidR="00000000" w:rsidRDefault="00443EC1">
      <w:pPr>
        <w:spacing w:line="380" w:lineRule="exact"/>
        <w:jc w:val="both"/>
        <w:rPr>
          <w:rFonts w:hint="cs"/>
          <w:rtl/>
        </w:rPr>
      </w:pPr>
      <w:r>
        <w:rPr>
          <w:rFonts w:hint="cs"/>
          <w:rtl/>
        </w:rPr>
        <w:t xml:space="preserve">1164-   لدى </w:t>
      </w:r>
      <w:r>
        <w:rPr>
          <w:rtl/>
        </w:rPr>
        <w:t>مؤسسة الشؤون المدنية والبلدية</w:t>
      </w:r>
      <w:r>
        <w:rPr>
          <w:rFonts w:hint="cs"/>
          <w:rtl/>
        </w:rPr>
        <w:t xml:space="preserve"> قسم خاص بالأنشطة الثقافية والترفيه يركز على التراث الثقافي والحفاظ عليه وعلى علم تنظيم المعارض وإحياء الم</w:t>
      </w:r>
      <w:r>
        <w:rPr>
          <w:rFonts w:hint="cs"/>
          <w:rtl/>
        </w:rPr>
        <w:t>واقع التاريخية التي لها قيمة تاريخية حقيقية بالنسبة لماكاو وتنظيم المعارض والطبعات والنشرات وتشجيع الثقافة الشعبية وإقامة الاحتفالات الشعبية السنوية وكذلك تنظيم الأنشطة الرياضية والترفيهية وحلقات العمل والمعارض التجارية والعروض وإدارة البنى التحتية والحدائ</w:t>
      </w:r>
      <w:r>
        <w:rPr>
          <w:rFonts w:hint="cs"/>
          <w:rtl/>
        </w:rPr>
        <w:t>ق.</w:t>
      </w:r>
    </w:p>
    <w:p w:rsidR="00000000" w:rsidRDefault="00443EC1">
      <w:pPr>
        <w:spacing w:line="380" w:lineRule="exact"/>
        <w:jc w:val="both"/>
        <w:rPr>
          <w:rFonts w:hint="cs"/>
          <w:rtl/>
        </w:rPr>
      </w:pPr>
      <w:r>
        <w:rPr>
          <w:rFonts w:hint="cs"/>
          <w:rtl/>
        </w:rPr>
        <w:t>1165-   وحتى يتسع المجال لمختلف أشكال التعبير العرقية للسكان وتمثيلها، يُنظم في كل سنة عدد من الفعاليات والاحتفالات. فتقام الاحتفالات الصينية التقليدية حسب التقويم الصيني كالاحتفال بحلول العام الصيني الجديد، وفعالية تشونغ إيونغ، والأغاني الشعبية التي لا</w:t>
      </w:r>
      <w:r>
        <w:rPr>
          <w:rFonts w:hint="cs"/>
          <w:rtl/>
        </w:rPr>
        <w:t xml:space="preserve"> تعد ولا تحصى، والأوبرا الصينية، وألعاب الأسبوع الأخضر ومهرجان زهرة النيلوفر، ومهرجان الكعك القمري، وسباق مركب التنين، وفنون الحرب التقليدية الصينية، وحلقات عمل حول الطب التقليدي الصيني، والألعاب التقليدية، والعديد من الفعاليات الأدبية.</w:t>
      </w:r>
    </w:p>
    <w:p w:rsidR="00000000" w:rsidRDefault="00443EC1">
      <w:pPr>
        <w:spacing w:line="380" w:lineRule="exact"/>
        <w:jc w:val="both"/>
        <w:rPr>
          <w:rFonts w:hint="cs"/>
          <w:rtl/>
        </w:rPr>
      </w:pPr>
      <w:r>
        <w:rPr>
          <w:rFonts w:hint="cs"/>
          <w:rtl/>
        </w:rPr>
        <w:t xml:space="preserve">1166-   </w:t>
      </w:r>
      <w:r>
        <w:rPr>
          <w:rtl/>
        </w:rPr>
        <w:t>كما ت</w:t>
      </w:r>
      <w:r>
        <w:rPr>
          <w:rFonts w:hint="cs"/>
          <w:rtl/>
        </w:rPr>
        <w:t>نظ</w:t>
      </w:r>
      <w:r>
        <w:rPr>
          <w:rtl/>
        </w:rPr>
        <w:t xml:space="preserve">م </w:t>
      </w:r>
      <w:r>
        <w:rPr>
          <w:rFonts w:hint="cs"/>
          <w:rtl/>
        </w:rPr>
        <w:t>ال</w:t>
      </w:r>
      <w:r>
        <w:rPr>
          <w:rFonts w:hint="cs"/>
          <w:rtl/>
        </w:rPr>
        <w:t>مجتمعات المحلية فعاليات أخرى مثل أسبوع ماكاو الثقافي ومهرجان البلدان الناطقة بالبرتغالية، ومهرجان الذِّواقة، ومهرجان الغناء الشعبي، والمسرح، وتنظيم جولات سياحية تطوف جميع الأماكن التاريخية.</w:t>
      </w:r>
    </w:p>
    <w:p w:rsidR="00000000" w:rsidRDefault="00443EC1">
      <w:pPr>
        <w:spacing w:line="380" w:lineRule="exact"/>
        <w:jc w:val="both"/>
        <w:rPr>
          <w:rFonts w:hint="cs"/>
          <w:rtl/>
        </w:rPr>
      </w:pPr>
      <w:r>
        <w:rPr>
          <w:rFonts w:hint="cs"/>
          <w:rtl/>
        </w:rPr>
        <w:t>1167-   و</w:t>
      </w:r>
      <w:r>
        <w:rPr>
          <w:rtl/>
        </w:rPr>
        <w:t xml:space="preserve">تمت الاستفادة من الصناعة السياحية لتعزيز التراث الثقافي </w:t>
      </w:r>
      <w:r>
        <w:rPr>
          <w:rFonts w:hint="cs"/>
          <w:rtl/>
        </w:rPr>
        <w:t>ل</w:t>
      </w:r>
      <w:r>
        <w:rPr>
          <w:rFonts w:hint="cs"/>
          <w:rtl/>
        </w:rPr>
        <w:t xml:space="preserve">مقاطعة </w:t>
      </w:r>
      <w:r>
        <w:rPr>
          <w:rtl/>
        </w:rPr>
        <w:t xml:space="preserve">ماكاو الإدارية الخاصة </w:t>
      </w:r>
      <w:r>
        <w:rPr>
          <w:rFonts w:hint="cs"/>
          <w:rtl/>
        </w:rPr>
        <w:t>تحت عنوان "مدينة الثقافة". وتتلخص الفكرة في تدعيم الثقافة والهوية التاريخية التي تميز ماكاو عن باقي بلدان آسيا وفي الحفاظ على تراثها الثقافي وإحيائه مع القيام بأنشطة سياحية.</w:t>
      </w:r>
    </w:p>
    <w:p w:rsidR="00000000" w:rsidRDefault="00443EC1">
      <w:pPr>
        <w:spacing w:line="380" w:lineRule="exact"/>
        <w:jc w:val="both"/>
        <w:rPr>
          <w:rFonts w:hint="cs"/>
          <w:rtl/>
        </w:rPr>
      </w:pPr>
      <w:r>
        <w:rPr>
          <w:rFonts w:hint="cs"/>
          <w:rtl/>
        </w:rPr>
        <w:t>1168-   ويشجع المعهد الثقافي وينظم ويدعم مشاريع الأبح</w:t>
      </w:r>
      <w:r>
        <w:rPr>
          <w:rFonts w:hint="cs"/>
          <w:rtl/>
        </w:rPr>
        <w:t xml:space="preserve">اث وينجز دراسات عن ثقافة ماكاو ويقدم منحا للتدريب في مجال الفنون، ويُنظم مباريات لإعطاء منح للبحث في مجالات التاريخ والدراسات الأدبية والتراث الثقافي وعلم الإنسان (الأنثروبولوجيا) وعلم الاجتماع، كما ينظم ويدعم الحلقات الدراسية والمؤتمرات والمحاضرات. وينشر </w:t>
      </w:r>
      <w:r>
        <w:rPr>
          <w:rFonts w:hint="cs"/>
          <w:rtl/>
        </w:rPr>
        <w:t>المعهد كتبا ودراسات ويصدر مجلة باسم "مجلة الثقافة".</w:t>
      </w:r>
    </w:p>
    <w:p w:rsidR="00000000" w:rsidRDefault="00443EC1">
      <w:pPr>
        <w:spacing w:line="380" w:lineRule="exact"/>
        <w:jc w:val="both"/>
        <w:rPr>
          <w:rFonts w:hint="cs"/>
          <w:rtl/>
        </w:rPr>
      </w:pPr>
      <w:r>
        <w:rPr>
          <w:rFonts w:hint="cs"/>
          <w:rtl/>
        </w:rPr>
        <w:t>1169-   و</w:t>
      </w:r>
      <w:r>
        <w:rPr>
          <w:rtl/>
        </w:rPr>
        <w:t>من أجل تعزيز مشاركة الناس في النشاطات الثقافية، ت</w:t>
      </w:r>
      <w:r>
        <w:rPr>
          <w:rFonts w:hint="cs"/>
          <w:rtl/>
        </w:rPr>
        <w:t xml:space="preserve">أخذ </w:t>
      </w:r>
      <w:r>
        <w:rPr>
          <w:rtl/>
        </w:rPr>
        <w:t xml:space="preserve">الجرائد وبعض الصحف الدورية </w:t>
      </w:r>
      <w:r>
        <w:rPr>
          <w:rFonts w:hint="cs"/>
          <w:rtl/>
        </w:rPr>
        <w:t>ومحطات البث الإذاعي على عاتقها المشاريع الثقافية وتنشر الوعي بالقضايا الثقافية. وتنهض 11 جريدة يومية بالصينية والبر</w:t>
      </w:r>
      <w:r>
        <w:rPr>
          <w:rFonts w:hint="cs"/>
          <w:rtl/>
        </w:rPr>
        <w:t>تغالية وسبع أسبوعيات بالصينية والبرتغالية والإنكليزية ومحطتا بث إذاعي وقناة تلفزيونية مجانية في المجموع بمشاريع ثقافية متنوعة بما فيها تنظيم مناظرات أدبية وموسيقية ومسرحية.</w:t>
      </w:r>
    </w:p>
    <w:p w:rsidR="00000000" w:rsidRDefault="00443EC1">
      <w:pPr>
        <w:spacing w:line="380" w:lineRule="exact"/>
        <w:jc w:val="both"/>
        <w:rPr>
          <w:rFonts w:hint="cs"/>
          <w:rtl/>
        </w:rPr>
      </w:pPr>
      <w:r>
        <w:rPr>
          <w:rFonts w:hint="cs"/>
          <w:rtl/>
        </w:rPr>
        <w:t>1170-   ورغم مساحتها الصغيرة نسبيا، فإن منطقة ماكاو الإدارية الخاصة تملك صناعة إعلا</w:t>
      </w:r>
      <w:r>
        <w:rPr>
          <w:rFonts w:hint="cs"/>
          <w:rtl/>
        </w:rPr>
        <w:t>مية راقية وعلى درجة عالية من التطور.</w:t>
      </w:r>
    </w:p>
    <w:p w:rsidR="00000000" w:rsidRDefault="00443EC1">
      <w:pPr>
        <w:spacing w:line="380" w:lineRule="exact"/>
        <w:jc w:val="both"/>
        <w:rPr>
          <w:rFonts w:hint="cs"/>
          <w:rtl/>
        </w:rPr>
      </w:pPr>
      <w:r>
        <w:rPr>
          <w:rFonts w:hint="cs"/>
          <w:rtl/>
        </w:rPr>
        <w:t>1171-   ويقدم المكتب الإعلامي الحكومي المساعدة لمختلف الوزارات ولوسائط الإعلام من خلال نشر المعلومات وترتيب الحوارات.</w:t>
      </w:r>
    </w:p>
    <w:p w:rsidR="00000000" w:rsidRDefault="00443EC1">
      <w:pPr>
        <w:spacing w:line="380" w:lineRule="exact"/>
        <w:jc w:val="both"/>
        <w:rPr>
          <w:rFonts w:hint="cs"/>
          <w:rtl/>
        </w:rPr>
      </w:pPr>
      <w:r>
        <w:rPr>
          <w:rFonts w:hint="cs"/>
          <w:rtl/>
        </w:rPr>
        <w:t>1172-   و</w:t>
      </w:r>
      <w:r>
        <w:rPr>
          <w:rtl/>
        </w:rPr>
        <w:t xml:space="preserve">للحكومة موقع </w:t>
      </w:r>
      <w:r>
        <w:rPr>
          <w:rFonts w:hint="cs"/>
          <w:rtl/>
        </w:rPr>
        <w:t xml:space="preserve">رسمي </w:t>
      </w:r>
      <w:r>
        <w:rPr>
          <w:rtl/>
        </w:rPr>
        <w:t xml:space="preserve">على شبكة الإنترنت </w:t>
      </w:r>
      <w:r>
        <w:rPr>
          <w:rFonts w:hint="cs"/>
          <w:rtl/>
        </w:rPr>
        <w:t>ينشر المعلومات ومستجدات الأخبار المتعلقة بالمقاطعة وقد ت</w:t>
      </w:r>
      <w:r>
        <w:rPr>
          <w:rFonts w:hint="cs"/>
          <w:rtl/>
        </w:rPr>
        <w:t>م ربطه بعدد من مواقع الأقسام والهيئات العامة بكل من اللغتين الرسميتين وباللغة الإنكليزية</w:t>
      </w:r>
      <w:r>
        <w:rPr>
          <w:rtl/>
        </w:rPr>
        <w:br/>
      </w:r>
      <w:r>
        <w:rPr>
          <w:rFonts w:hint="cs"/>
          <w:rtl/>
        </w:rPr>
        <w:t>(</w:t>
      </w:r>
      <w:r>
        <w:rPr>
          <w:u w:val="single"/>
        </w:rPr>
        <w:t>http://www.macau.gov.mo</w:t>
      </w:r>
      <w:r>
        <w:rPr>
          <w:rFonts w:hint="cs"/>
          <w:rtl/>
        </w:rPr>
        <w:t>).</w:t>
      </w:r>
    </w:p>
    <w:p w:rsidR="00000000" w:rsidRDefault="00443EC1">
      <w:pPr>
        <w:spacing w:line="380" w:lineRule="exact"/>
        <w:jc w:val="both"/>
        <w:rPr>
          <w:rFonts w:hint="cs"/>
          <w:b/>
          <w:bCs/>
          <w:rtl/>
        </w:rPr>
      </w:pPr>
      <w:r>
        <w:rPr>
          <w:rFonts w:hint="cs"/>
          <w:b/>
          <w:bCs/>
          <w:rtl/>
        </w:rPr>
        <w:t>البنى التحتية للتمتع بالحقوق الثقافية</w:t>
      </w:r>
    </w:p>
    <w:p w:rsidR="00000000" w:rsidRDefault="00443EC1">
      <w:pPr>
        <w:spacing w:line="380" w:lineRule="exact"/>
        <w:jc w:val="both"/>
        <w:rPr>
          <w:rFonts w:hint="cs"/>
          <w:rtl/>
        </w:rPr>
      </w:pPr>
      <w:r>
        <w:rPr>
          <w:rFonts w:hint="cs"/>
          <w:rtl/>
        </w:rPr>
        <w:t>1173-   تجهزت مقاطعة ماكاو الإدارية الخاصة بالمزيد من المرافق الثقافية في السنوات الأخيرة وقامت في ذات</w:t>
      </w:r>
      <w:r>
        <w:rPr>
          <w:rFonts w:hint="cs"/>
          <w:rtl/>
        </w:rPr>
        <w:t xml:space="preserve"> الوقت بصيانة مرافق أخرى لتكفل توفير الظروف الملائمة للجمهور عموما، وللشباب والأطفال على وجه الخصوص، للتمتع الفعلي بحقوقهم الثقافية.</w:t>
      </w:r>
    </w:p>
    <w:p w:rsidR="00000000" w:rsidRDefault="00443EC1">
      <w:pPr>
        <w:spacing w:line="380" w:lineRule="exact"/>
        <w:jc w:val="both"/>
        <w:rPr>
          <w:rFonts w:hint="cs"/>
          <w:rtl/>
        </w:rPr>
      </w:pPr>
      <w:r>
        <w:rPr>
          <w:rFonts w:hint="cs"/>
          <w:rtl/>
        </w:rPr>
        <w:t xml:space="preserve">1174-   وقد </w:t>
      </w:r>
      <w:r>
        <w:rPr>
          <w:rtl/>
        </w:rPr>
        <w:t>تم تدشين أول مركز ثقافي في آذار/مارس 1999</w:t>
      </w:r>
      <w:r>
        <w:rPr>
          <w:rFonts w:hint="cs"/>
          <w:rtl/>
        </w:rPr>
        <w:t>،</w:t>
      </w:r>
      <w:r>
        <w:rPr>
          <w:rtl/>
        </w:rPr>
        <w:t xml:space="preserve"> و</w:t>
      </w:r>
      <w:r>
        <w:rPr>
          <w:rFonts w:hint="cs"/>
          <w:rtl/>
        </w:rPr>
        <w:t>تطلب</w:t>
      </w:r>
      <w:r>
        <w:rPr>
          <w:rtl/>
        </w:rPr>
        <w:t xml:space="preserve"> </w:t>
      </w:r>
      <w:r>
        <w:rPr>
          <w:rFonts w:hint="cs"/>
          <w:rtl/>
        </w:rPr>
        <w:t xml:space="preserve">هذا المركز </w:t>
      </w:r>
      <w:r>
        <w:rPr>
          <w:rtl/>
        </w:rPr>
        <w:t>استثمارا بلغت قيمته</w:t>
      </w:r>
      <w:r>
        <w:rPr>
          <w:rFonts w:hint="cs"/>
          <w:rtl/>
        </w:rPr>
        <w:t xml:space="preserve"> 960 مليون باتاكا وبلغت المساحة </w:t>
      </w:r>
      <w:r>
        <w:rPr>
          <w:rFonts w:hint="cs"/>
          <w:rtl/>
        </w:rPr>
        <w:t>المبنية 000 45 متر مربع على موقع تبلغ مساحته 000 15 متر مربع. ويضم المركز الثقافي مبنى فيه قاعات محاضرات، ومتحفاً، ومكتبة للفنون. وهذه الأخيرة عبارة عن مكتبة مرجعية متعددة الوسائط تحتوي على معلومات تتعلق بالفن والثقافة من الغرب ومن الشرق معا.</w:t>
      </w:r>
    </w:p>
    <w:p w:rsidR="00000000" w:rsidRDefault="00443EC1">
      <w:pPr>
        <w:spacing w:line="380" w:lineRule="exact"/>
        <w:jc w:val="both"/>
        <w:rPr>
          <w:rFonts w:hint="cs"/>
          <w:rtl/>
        </w:rPr>
      </w:pPr>
      <w:r>
        <w:rPr>
          <w:rFonts w:hint="cs"/>
          <w:rtl/>
        </w:rPr>
        <w:t xml:space="preserve">1175-   </w:t>
      </w:r>
      <w:r>
        <w:rPr>
          <w:rtl/>
        </w:rPr>
        <w:t xml:space="preserve">ويضم </w:t>
      </w:r>
      <w:r>
        <w:rPr>
          <w:rtl/>
        </w:rPr>
        <w:t xml:space="preserve">مبنى قاعات </w:t>
      </w:r>
      <w:r>
        <w:rPr>
          <w:rFonts w:hint="cs"/>
          <w:rtl/>
        </w:rPr>
        <w:t>المحاضرات قاعة كبيرة وأخرى صغيرة تتسع ل‍ 500 1 مقعد ومجهزة بالتجهيزات العصرية المعتادة. وتبلغ المساحة الإجمالية لمتحف الفنون 000 20 متر مربع، 000 5 متر مربع منها عبارة عن مساحات عرض مفتوحة أمام الجمهور تضم سبع قاعات عرض.</w:t>
      </w:r>
    </w:p>
    <w:p w:rsidR="00000000" w:rsidRDefault="00443EC1">
      <w:pPr>
        <w:spacing w:line="380" w:lineRule="exact"/>
        <w:jc w:val="both"/>
        <w:rPr>
          <w:rFonts w:hint="cs"/>
          <w:rtl/>
        </w:rPr>
      </w:pPr>
      <w:r>
        <w:rPr>
          <w:rFonts w:hint="cs"/>
          <w:rtl/>
        </w:rPr>
        <w:t xml:space="preserve">1176-   </w:t>
      </w:r>
      <w:r>
        <w:rPr>
          <w:rtl/>
        </w:rPr>
        <w:t>ص</w:t>
      </w:r>
      <w:r>
        <w:rPr>
          <w:rFonts w:hint="cs"/>
          <w:rtl/>
        </w:rPr>
        <w:t>ُ</w:t>
      </w:r>
      <w:r>
        <w:rPr>
          <w:rtl/>
        </w:rPr>
        <w:t>مم</w:t>
      </w:r>
      <w:r>
        <w:rPr>
          <w:rFonts w:hint="cs"/>
          <w:rtl/>
        </w:rPr>
        <w:t xml:space="preserve"> مركز ماكاو </w:t>
      </w:r>
      <w:r>
        <w:rPr>
          <w:rFonts w:hint="cs"/>
          <w:rtl/>
        </w:rPr>
        <w:t>الثقافي</w:t>
      </w:r>
      <w:r>
        <w:rPr>
          <w:rtl/>
        </w:rPr>
        <w:t xml:space="preserve"> </w:t>
      </w:r>
      <w:r>
        <w:rPr>
          <w:rFonts w:hint="cs"/>
          <w:rtl/>
        </w:rPr>
        <w:t>لاحتضان فرق الفنون البصرية والسمعية البصرية أثناء جولاتها وتتنوع برامجه بحيث تضم ألوانا كلاسيكية وأخرى معاصرة من الفنون وهو يقدم برنامجا ثقافيا متوازنا فيه من كل فن طرف.</w:t>
      </w:r>
    </w:p>
    <w:p w:rsidR="00000000" w:rsidRDefault="00443EC1">
      <w:pPr>
        <w:spacing w:line="380" w:lineRule="exact"/>
        <w:jc w:val="both"/>
        <w:rPr>
          <w:rFonts w:hint="cs"/>
          <w:rtl/>
        </w:rPr>
      </w:pPr>
      <w:r>
        <w:rPr>
          <w:rFonts w:hint="cs"/>
          <w:rtl/>
        </w:rPr>
        <w:t>1177-   وتتوفر للسكان بنى تحتية مؤسسية أخرى منها تسع مكتبات عامة وثلاث قاعات س</w:t>
      </w:r>
      <w:r>
        <w:rPr>
          <w:rFonts w:hint="cs"/>
          <w:rtl/>
        </w:rPr>
        <w:t xml:space="preserve">ينما تتسع </w:t>
      </w:r>
      <w:r>
        <w:rPr>
          <w:rtl/>
        </w:rPr>
        <w:br/>
      </w:r>
      <w:r>
        <w:rPr>
          <w:rFonts w:hint="cs"/>
          <w:rtl/>
        </w:rPr>
        <w:t>ل‍ 727 2 متفرجا ومعارض رسم ومعارض تجارية للفنون والحرف التقليدية إضافة إلى بنى متنقلة.</w:t>
      </w:r>
    </w:p>
    <w:p w:rsidR="00000000" w:rsidRDefault="00443EC1">
      <w:pPr>
        <w:spacing w:line="380" w:lineRule="exact"/>
        <w:jc w:val="both"/>
        <w:rPr>
          <w:rFonts w:hint="cs"/>
          <w:rtl/>
        </w:rPr>
      </w:pPr>
      <w:r>
        <w:rPr>
          <w:rFonts w:hint="cs"/>
          <w:rtl/>
        </w:rPr>
        <w:t>1178-   ولمنطقة ماكاو الإدارية الخاصة مرفق مهم آخر يسمى المحفوظات التاريخية وهو الهيئة المسؤولة عن الحفاظ على الوثائق العامة ذات القيمة التاريخية وعلى إدارة ن</w:t>
      </w:r>
      <w:r>
        <w:rPr>
          <w:rFonts w:hint="cs"/>
          <w:rtl/>
        </w:rPr>
        <w:t>ظام الوثائق العامة. وتخلق مرافق المحفوظات القائمة أحسن الظروف للتخزين السليم للوثائق المصغرة، ولا سيما الأعمال النادرة ويمكن مشاهدتها بواسطة نظام محوسب. وتعد جريدة المحفوظات التاريخية مصدرا نفيسا للمعلومات بالنسبة للباحثين.</w:t>
      </w:r>
    </w:p>
    <w:p w:rsidR="00000000" w:rsidRDefault="00443EC1">
      <w:pPr>
        <w:spacing w:line="380" w:lineRule="exact"/>
        <w:jc w:val="both"/>
        <w:rPr>
          <w:rFonts w:hint="cs"/>
          <w:rtl/>
        </w:rPr>
      </w:pPr>
      <w:r>
        <w:rPr>
          <w:rFonts w:hint="cs"/>
          <w:rtl/>
        </w:rPr>
        <w:t>1179-   ومن البنى التحتية الأخرى</w:t>
      </w:r>
      <w:r>
        <w:rPr>
          <w:rFonts w:hint="cs"/>
          <w:rtl/>
        </w:rPr>
        <w:t xml:space="preserve"> هناك متحف ومكتبة ومحفوظات ماكاو البحرية التي تعرض مجموعة كبيرة من المواد ذات الصلة بالتاريخ البحري.</w:t>
      </w:r>
    </w:p>
    <w:p w:rsidR="00000000" w:rsidRDefault="00443EC1">
      <w:pPr>
        <w:spacing w:line="380" w:lineRule="exact"/>
        <w:jc w:val="both"/>
        <w:rPr>
          <w:rFonts w:hint="cs"/>
          <w:rtl/>
        </w:rPr>
      </w:pPr>
      <w:r>
        <w:rPr>
          <w:rFonts w:hint="cs"/>
          <w:rtl/>
        </w:rPr>
        <w:t>1180-   يضم متحف ماكاو، بمساحته الإجمالية البالغة 800 2 متر مربع، قاعة عرض. وهو مثال في حسن المحافظة على التراث الثقافي حيث أنه يقع داخل قلعة مونتي العتيقة</w:t>
      </w:r>
      <w:r>
        <w:rPr>
          <w:rFonts w:hint="cs"/>
          <w:rtl/>
        </w:rPr>
        <w:t xml:space="preserve"> التي بناها اليسوعيون في عام 1626. وفيه تُعرض العديد من القطع الأثرية المتعلقة بخلفية ماكاو التاريخية وتقاليدها الثقافية.</w:t>
      </w:r>
    </w:p>
    <w:p w:rsidR="00000000" w:rsidRDefault="00443EC1">
      <w:pPr>
        <w:spacing w:line="380" w:lineRule="exact"/>
        <w:jc w:val="center"/>
        <w:rPr>
          <w:rFonts w:hint="cs"/>
          <w:b/>
          <w:bCs/>
          <w:rtl/>
        </w:rPr>
      </w:pPr>
      <w:r>
        <w:rPr>
          <w:rFonts w:hint="cs"/>
          <w:b/>
          <w:bCs/>
          <w:rtl/>
        </w:rPr>
        <w:t>باء - تمويل الأنشطة الثقافية</w:t>
      </w:r>
    </w:p>
    <w:p w:rsidR="00000000" w:rsidRDefault="00443EC1">
      <w:pPr>
        <w:spacing w:line="380" w:lineRule="exact"/>
        <w:jc w:val="both"/>
        <w:rPr>
          <w:rFonts w:hint="cs"/>
          <w:rtl/>
        </w:rPr>
      </w:pPr>
      <w:r>
        <w:rPr>
          <w:rFonts w:hint="cs"/>
          <w:rtl/>
        </w:rPr>
        <w:t>1181-   أنشئ صندوق عام مخصص لتقديم المساعدة المادية لتشجيع وتنمية الأنشطة الثقافية والمشاركة الشعبية في ا</w:t>
      </w:r>
      <w:r>
        <w:rPr>
          <w:rFonts w:hint="cs"/>
          <w:rtl/>
        </w:rPr>
        <w:t>لحياة الثقافية هو الصندوق الثقافي. ويدعم هذا الصندوق بالأخص مشاريع ثقافية وبرامج ناتجة عن مبادرات خاصة بعد أن عرفت ميزانيته زيادة كبيرة في السنوات الأخيرة. وبلغت ميزانية الصندوق 000 669 67 باتاكا في عام 2000، بينما بلغت 000 122 72 باتاكا في عام 2001 و000 9</w:t>
      </w:r>
      <w:r>
        <w:rPr>
          <w:rFonts w:hint="cs"/>
          <w:rtl/>
        </w:rPr>
        <w:t>20 83 باتاكا في عام 2002.</w:t>
      </w:r>
    </w:p>
    <w:p w:rsidR="00000000" w:rsidRDefault="00443EC1">
      <w:pPr>
        <w:spacing w:line="380" w:lineRule="exact"/>
        <w:jc w:val="both"/>
        <w:rPr>
          <w:rFonts w:hint="cs"/>
          <w:rtl/>
        </w:rPr>
      </w:pPr>
      <w:r>
        <w:rPr>
          <w:rFonts w:hint="cs"/>
          <w:rtl/>
        </w:rPr>
        <w:t xml:space="preserve">1182-   وبلغت ميزانية </w:t>
      </w:r>
      <w:r>
        <w:rPr>
          <w:rtl/>
        </w:rPr>
        <w:t>مؤسسة الشؤون المدنية والبلدية</w:t>
      </w:r>
      <w:r>
        <w:rPr>
          <w:rFonts w:hint="cs"/>
          <w:rtl/>
        </w:rPr>
        <w:t xml:space="preserve"> المخصصة للمجال الثقافي 000 500 11 باتاكا في عام 2001 بما في ذلك الدعم المخصص للمبادرات الخاصة. والواقع أن </w:t>
      </w:r>
      <w:r>
        <w:rPr>
          <w:rtl/>
        </w:rPr>
        <w:t>مؤسسة الشؤون المدنية والبلدية</w:t>
      </w:r>
      <w:r>
        <w:rPr>
          <w:rFonts w:hint="cs"/>
          <w:rtl/>
        </w:rPr>
        <w:t xml:space="preserve"> تدعم الجمعيات المحلية والفنانين أفراداً وم</w:t>
      </w:r>
      <w:r>
        <w:rPr>
          <w:rFonts w:hint="cs"/>
          <w:rtl/>
        </w:rPr>
        <w:t>جموعات والعديد من مجموعات التعبير الفني التقليدي والمعاصر. وتتنوع الأنشطة من مسرح إلى موسيقى الجاز ومن الأنشطة المهنية للشباب إلى التظاهرات الرياضية للجميع.</w:t>
      </w:r>
    </w:p>
    <w:p w:rsidR="00000000" w:rsidRDefault="00443EC1">
      <w:pPr>
        <w:spacing w:line="380" w:lineRule="exact"/>
        <w:jc w:val="both"/>
        <w:rPr>
          <w:rFonts w:hint="cs"/>
          <w:rtl/>
        </w:rPr>
      </w:pPr>
      <w:r>
        <w:rPr>
          <w:rFonts w:hint="cs"/>
          <w:rtl/>
        </w:rPr>
        <w:t>1183-   و</w:t>
      </w:r>
      <w:r>
        <w:rPr>
          <w:rtl/>
        </w:rPr>
        <w:t xml:space="preserve">بلغت </w:t>
      </w:r>
      <w:r>
        <w:rPr>
          <w:rFonts w:hint="cs"/>
          <w:rtl/>
        </w:rPr>
        <w:t>ال</w:t>
      </w:r>
      <w:r>
        <w:rPr>
          <w:rtl/>
        </w:rPr>
        <w:t>ميزان</w:t>
      </w:r>
      <w:r>
        <w:rPr>
          <w:rFonts w:hint="cs"/>
          <w:rtl/>
        </w:rPr>
        <w:t>ي</w:t>
      </w:r>
      <w:r>
        <w:rPr>
          <w:rtl/>
        </w:rPr>
        <w:t>ة</w:t>
      </w:r>
      <w:r>
        <w:rPr>
          <w:rFonts w:hint="cs"/>
          <w:rtl/>
        </w:rPr>
        <w:t xml:space="preserve"> العامة المرصودة لمركز ماكاو الثقافي 56 مليون باتاكا بالإضافة إلى 14 مليون ب</w:t>
      </w:r>
      <w:r>
        <w:rPr>
          <w:rFonts w:hint="cs"/>
          <w:rtl/>
        </w:rPr>
        <w:t>اتاكا للنشاطات الثقافية كفنون الأداء والبرامج السمعية البصرية.</w:t>
      </w:r>
    </w:p>
    <w:p w:rsidR="00000000" w:rsidRDefault="00443EC1">
      <w:pPr>
        <w:spacing w:line="380" w:lineRule="exact"/>
        <w:jc w:val="both"/>
        <w:rPr>
          <w:rFonts w:hint="cs"/>
          <w:rtl/>
        </w:rPr>
      </w:pPr>
      <w:r>
        <w:rPr>
          <w:rFonts w:hint="cs"/>
          <w:rtl/>
        </w:rPr>
        <w:t xml:space="preserve">1184-   </w:t>
      </w:r>
      <w:r>
        <w:rPr>
          <w:rtl/>
        </w:rPr>
        <w:t xml:space="preserve">بالإضافة إلى ذلك، </w:t>
      </w:r>
      <w:r>
        <w:rPr>
          <w:rFonts w:hint="cs"/>
          <w:rtl/>
        </w:rPr>
        <w:t>ي</w:t>
      </w:r>
      <w:r>
        <w:rPr>
          <w:rtl/>
        </w:rPr>
        <w:t>قدم</w:t>
      </w:r>
      <w:r>
        <w:rPr>
          <w:rFonts w:hint="cs"/>
          <w:rtl/>
        </w:rPr>
        <w:t xml:space="preserve"> المعهد الثقافي سنويا منحا ومساعدات مالية وغيرها لأفراد وهيئات تنجز دراسات وأبحاث وأنشطة إبداعية أخرى في المجال الثقافي.</w:t>
      </w:r>
    </w:p>
    <w:p w:rsidR="00000000" w:rsidRDefault="00443EC1">
      <w:pPr>
        <w:spacing w:line="380" w:lineRule="exact"/>
        <w:jc w:val="both"/>
        <w:rPr>
          <w:rFonts w:hint="cs"/>
          <w:rtl/>
        </w:rPr>
      </w:pPr>
      <w:r>
        <w:rPr>
          <w:rFonts w:hint="cs"/>
          <w:rtl/>
        </w:rPr>
        <w:t xml:space="preserve">1185-   وتخصص </w:t>
      </w:r>
      <w:r>
        <w:rPr>
          <w:rtl/>
        </w:rPr>
        <w:t xml:space="preserve">مؤسسات أخرى كوزارة السياحة </w:t>
      </w:r>
      <w:r>
        <w:rPr>
          <w:rFonts w:hint="cs"/>
          <w:rtl/>
        </w:rPr>
        <w:t>و</w:t>
      </w:r>
      <w:r>
        <w:rPr>
          <w:rFonts w:hint="cs"/>
          <w:rtl/>
        </w:rPr>
        <w:t>معهد تنمية الرياضات ومؤسسة ماكاو هي الأخرى أموالا لدعم المبادرات الخاصة في المجالات الثقافية والعلمية. وتؤدي مؤسسة ماكاو دورا هاما وخاصا كما يستنتج من الجدول التالي:</w:t>
      </w:r>
    </w:p>
    <w:p w:rsidR="00000000" w:rsidRDefault="00443EC1">
      <w:pPr>
        <w:spacing w:line="380" w:lineRule="exact"/>
        <w:jc w:val="both"/>
        <w:rPr>
          <w:rFonts w:hint="cs"/>
          <w:b/>
          <w:bCs/>
          <w:rtl/>
        </w:rPr>
      </w:pPr>
      <w:r>
        <w:rPr>
          <w:rFonts w:hint="cs"/>
          <w:b/>
          <w:bCs/>
          <w:rtl/>
        </w:rPr>
        <w:t>الإعانات المالية التي تقدمها مؤسسة ماكاو</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50"/>
        <w:gridCol w:w="2952"/>
        <w:gridCol w:w="2952"/>
      </w:tblGrid>
      <w:tr w:rsidR="00443EC1" w:rsidTr="00443EC1">
        <w:tblPrEx>
          <w:tblCellMar>
            <w:top w:w="0" w:type="dxa"/>
            <w:bottom w:w="0" w:type="dxa"/>
          </w:tblCellMar>
        </w:tblPrEx>
        <w:trPr>
          <w:jc w:val="center"/>
        </w:trPr>
        <w:tc>
          <w:tcPr>
            <w:tcW w:w="2850" w:type="dxa"/>
            <w:tcBorders>
              <w:bottom w:val="single" w:sz="4" w:space="0" w:color="auto"/>
            </w:tcBorders>
          </w:tcPr>
          <w:p w:rsidR="00443EC1" w:rsidRDefault="00443EC1">
            <w:pPr>
              <w:spacing w:before="0" w:after="0" w:line="320" w:lineRule="exact"/>
              <w:jc w:val="center"/>
              <w:rPr>
                <w:rFonts w:hint="cs"/>
                <w:szCs w:val="26"/>
              </w:rPr>
            </w:pPr>
            <w:r>
              <w:rPr>
                <w:szCs w:val="26"/>
                <w:rtl/>
              </w:rPr>
              <w:br/>
            </w:r>
            <w:r>
              <w:rPr>
                <w:rFonts w:hint="cs"/>
                <w:szCs w:val="26"/>
                <w:rtl/>
              </w:rPr>
              <w:t>مجالات التدخل</w:t>
            </w:r>
          </w:p>
        </w:tc>
        <w:tc>
          <w:tcPr>
            <w:tcW w:w="2952" w:type="dxa"/>
            <w:tcBorders>
              <w:bottom w:val="single" w:sz="4" w:space="0" w:color="auto"/>
            </w:tcBorders>
          </w:tcPr>
          <w:p w:rsidR="00443EC1" w:rsidRDefault="00443EC1">
            <w:pPr>
              <w:spacing w:before="0" w:after="0" w:line="320" w:lineRule="exact"/>
              <w:jc w:val="center"/>
              <w:rPr>
                <w:rFonts w:hint="cs"/>
                <w:szCs w:val="26"/>
                <w:rtl/>
              </w:rPr>
            </w:pPr>
            <w:r>
              <w:rPr>
                <w:rFonts w:hint="cs"/>
                <w:szCs w:val="26"/>
                <w:rtl/>
              </w:rPr>
              <w:t>عام 2001</w:t>
            </w:r>
          </w:p>
          <w:p w:rsidR="00443EC1" w:rsidRDefault="00443EC1">
            <w:pPr>
              <w:spacing w:before="0" w:after="0" w:line="320" w:lineRule="exact"/>
              <w:jc w:val="center"/>
              <w:rPr>
                <w:rFonts w:hint="cs"/>
                <w:szCs w:val="26"/>
              </w:rPr>
            </w:pPr>
            <w:r>
              <w:rPr>
                <w:rFonts w:hint="cs"/>
                <w:szCs w:val="26"/>
                <w:rtl/>
              </w:rPr>
              <w:t>(11/7/2007-31/12/2001)</w:t>
            </w:r>
          </w:p>
        </w:tc>
        <w:tc>
          <w:tcPr>
            <w:tcW w:w="2952" w:type="dxa"/>
            <w:tcBorders>
              <w:bottom w:val="single" w:sz="4" w:space="0" w:color="auto"/>
            </w:tcBorders>
          </w:tcPr>
          <w:p w:rsidR="00443EC1" w:rsidRDefault="00443EC1">
            <w:pPr>
              <w:spacing w:before="0" w:after="0" w:line="320" w:lineRule="exact"/>
              <w:jc w:val="center"/>
              <w:rPr>
                <w:rFonts w:hint="cs"/>
                <w:szCs w:val="26"/>
                <w:rtl/>
              </w:rPr>
            </w:pPr>
            <w:r>
              <w:rPr>
                <w:rFonts w:hint="cs"/>
                <w:szCs w:val="26"/>
                <w:rtl/>
              </w:rPr>
              <w:t>عام 2002</w:t>
            </w:r>
          </w:p>
          <w:p w:rsidR="00443EC1" w:rsidRDefault="00443EC1">
            <w:pPr>
              <w:spacing w:before="0" w:after="0" w:line="320" w:lineRule="exact"/>
              <w:jc w:val="center"/>
              <w:rPr>
                <w:rFonts w:hint="cs"/>
                <w:szCs w:val="26"/>
              </w:rPr>
            </w:pPr>
            <w:r>
              <w:rPr>
                <w:rFonts w:hint="cs"/>
                <w:szCs w:val="26"/>
                <w:rtl/>
              </w:rPr>
              <w:t>(1/1/2002-30/9/2002)</w:t>
            </w:r>
          </w:p>
        </w:tc>
      </w:tr>
      <w:tr w:rsidR="00443EC1" w:rsidTr="00443EC1">
        <w:tblPrEx>
          <w:tblCellMar>
            <w:top w:w="0" w:type="dxa"/>
            <w:bottom w:w="0" w:type="dxa"/>
          </w:tblCellMar>
        </w:tblPrEx>
        <w:trPr>
          <w:jc w:val="center"/>
        </w:trPr>
        <w:tc>
          <w:tcPr>
            <w:tcW w:w="2850" w:type="dxa"/>
            <w:tcBorders>
              <w:bottom w:val="nil"/>
            </w:tcBorders>
          </w:tcPr>
          <w:p w:rsidR="00443EC1" w:rsidRDefault="00443EC1">
            <w:pPr>
              <w:spacing w:before="0" w:after="0" w:line="320" w:lineRule="exact"/>
              <w:jc w:val="both"/>
              <w:rPr>
                <w:rFonts w:hint="cs"/>
                <w:szCs w:val="26"/>
              </w:rPr>
            </w:pPr>
            <w:r>
              <w:rPr>
                <w:rFonts w:hint="cs"/>
                <w:szCs w:val="26"/>
                <w:rtl/>
              </w:rPr>
              <w:t>المجال الثقافي</w:t>
            </w:r>
          </w:p>
        </w:tc>
        <w:tc>
          <w:tcPr>
            <w:tcW w:w="2952" w:type="dxa"/>
            <w:tcBorders>
              <w:bottom w:val="nil"/>
            </w:tcBorders>
          </w:tcPr>
          <w:p w:rsidR="00443EC1" w:rsidRDefault="00443EC1">
            <w:pPr>
              <w:spacing w:before="0" w:after="0" w:line="320" w:lineRule="exact"/>
              <w:ind w:firstLine="822"/>
              <w:jc w:val="both"/>
              <w:rPr>
                <w:rFonts w:hint="cs"/>
                <w:szCs w:val="26"/>
              </w:rPr>
            </w:pPr>
            <w:r>
              <w:rPr>
                <w:rFonts w:hint="cs"/>
                <w:szCs w:val="26"/>
                <w:rtl/>
              </w:rPr>
              <w:t>800 241 5</w:t>
            </w:r>
          </w:p>
        </w:tc>
        <w:tc>
          <w:tcPr>
            <w:tcW w:w="2952" w:type="dxa"/>
            <w:tcBorders>
              <w:bottom w:val="nil"/>
            </w:tcBorders>
          </w:tcPr>
          <w:p w:rsidR="00443EC1" w:rsidRDefault="00443EC1">
            <w:pPr>
              <w:spacing w:before="0" w:after="0" w:line="320" w:lineRule="exact"/>
              <w:ind w:firstLine="570"/>
              <w:jc w:val="both"/>
              <w:rPr>
                <w:rFonts w:hint="cs"/>
                <w:szCs w:val="26"/>
              </w:rPr>
            </w:pPr>
            <w:r>
              <w:rPr>
                <w:rFonts w:hint="cs"/>
                <w:szCs w:val="26"/>
                <w:rtl/>
              </w:rPr>
              <w:t>700 895 4</w:t>
            </w:r>
          </w:p>
        </w:tc>
      </w:tr>
      <w:tr w:rsidR="00443EC1" w:rsidTr="00443EC1">
        <w:tblPrEx>
          <w:tblCellMar>
            <w:top w:w="0" w:type="dxa"/>
            <w:bottom w:w="0" w:type="dxa"/>
          </w:tblCellMar>
        </w:tblPrEx>
        <w:trPr>
          <w:jc w:val="center"/>
        </w:trPr>
        <w:tc>
          <w:tcPr>
            <w:tcW w:w="2850" w:type="dxa"/>
            <w:tcBorders>
              <w:top w:val="nil"/>
              <w:bottom w:val="nil"/>
            </w:tcBorders>
          </w:tcPr>
          <w:p w:rsidR="00443EC1" w:rsidRDefault="00443EC1">
            <w:pPr>
              <w:spacing w:before="0" w:after="0" w:line="320" w:lineRule="exact"/>
              <w:jc w:val="both"/>
              <w:rPr>
                <w:rFonts w:hint="cs"/>
                <w:szCs w:val="26"/>
              </w:rPr>
            </w:pPr>
            <w:r>
              <w:rPr>
                <w:rFonts w:hint="cs"/>
                <w:szCs w:val="26"/>
                <w:rtl/>
              </w:rPr>
              <w:t>المجال الاجتماعي</w:t>
            </w:r>
          </w:p>
        </w:tc>
        <w:tc>
          <w:tcPr>
            <w:tcW w:w="2952" w:type="dxa"/>
            <w:tcBorders>
              <w:top w:val="nil"/>
              <w:bottom w:val="nil"/>
            </w:tcBorders>
          </w:tcPr>
          <w:p w:rsidR="00443EC1" w:rsidRDefault="00443EC1">
            <w:pPr>
              <w:spacing w:before="0" w:after="0" w:line="320" w:lineRule="exact"/>
              <w:ind w:firstLine="822"/>
              <w:jc w:val="both"/>
              <w:rPr>
                <w:rFonts w:hint="cs"/>
                <w:szCs w:val="26"/>
              </w:rPr>
            </w:pPr>
            <w:r>
              <w:rPr>
                <w:rFonts w:hint="cs"/>
                <w:szCs w:val="26"/>
                <w:rtl/>
              </w:rPr>
              <w:t>000 480 1</w:t>
            </w:r>
          </w:p>
        </w:tc>
        <w:tc>
          <w:tcPr>
            <w:tcW w:w="2952" w:type="dxa"/>
            <w:tcBorders>
              <w:top w:val="nil"/>
              <w:bottom w:val="nil"/>
            </w:tcBorders>
          </w:tcPr>
          <w:p w:rsidR="00443EC1" w:rsidRDefault="00443EC1">
            <w:pPr>
              <w:spacing w:before="0" w:after="0" w:line="320" w:lineRule="exact"/>
              <w:ind w:firstLine="570"/>
              <w:jc w:val="both"/>
              <w:rPr>
                <w:rFonts w:hint="cs"/>
                <w:szCs w:val="26"/>
              </w:rPr>
            </w:pPr>
            <w:r>
              <w:rPr>
                <w:rFonts w:hint="cs"/>
                <w:szCs w:val="26"/>
                <w:rtl/>
              </w:rPr>
              <w:t>025 266 3</w:t>
            </w:r>
          </w:p>
        </w:tc>
      </w:tr>
      <w:tr w:rsidR="00443EC1" w:rsidTr="00443EC1">
        <w:tblPrEx>
          <w:tblCellMar>
            <w:top w:w="0" w:type="dxa"/>
            <w:bottom w:w="0" w:type="dxa"/>
          </w:tblCellMar>
        </w:tblPrEx>
        <w:trPr>
          <w:jc w:val="center"/>
        </w:trPr>
        <w:tc>
          <w:tcPr>
            <w:tcW w:w="2850" w:type="dxa"/>
            <w:tcBorders>
              <w:top w:val="nil"/>
              <w:bottom w:val="nil"/>
            </w:tcBorders>
          </w:tcPr>
          <w:p w:rsidR="00443EC1" w:rsidRDefault="00443EC1">
            <w:pPr>
              <w:spacing w:before="0" w:after="0" w:line="320" w:lineRule="exact"/>
              <w:jc w:val="both"/>
              <w:rPr>
                <w:rFonts w:hint="cs"/>
                <w:szCs w:val="26"/>
              </w:rPr>
            </w:pPr>
            <w:r>
              <w:rPr>
                <w:rFonts w:hint="cs"/>
                <w:szCs w:val="26"/>
                <w:rtl/>
              </w:rPr>
              <w:t>المجال الاقتصادي</w:t>
            </w:r>
          </w:p>
        </w:tc>
        <w:tc>
          <w:tcPr>
            <w:tcW w:w="2952" w:type="dxa"/>
            <w:tcBorders>
              <w:top w:val="nil"/>
              <w:bottom w:val="nil"/>
            </w:tcBorders>
          </w:tcPr>
          <w:p w:rsidR="00443EC1" w:rsidRDefault="00443EC1">
            <w:pPr>
              <w:spacing w:before="0" w:after="0" w:line="320" w:lineRule="exact"/>
              <w:ind w:firstLine="822"/>
              <w:jc w:val="both"/>
              <w:rPr>
                <w:rFonts w:hint="cs"/>
                <w:szCs w:val="26"/>
              </w:rPr>
            </w:pPr>
            <w:r>
              <w:rPr>
                <w:rFonts w:hint="cs"/>
                <w:szCs w:val="26"/>
                <w:rtl/>
              </w:rPr>
              <w:t>000 60</w:t>
            </w:r>
          </w:p>
        </w:tc>
        <w:tc>
          <w:tcPr>
            <w:tcW w:w="2952" w:type="dxa"/>
            <w:tcBorders>
              <w:top w:val="nil"/>
              <w:bottom w:val="nil"/>
            </w:tcBorders>
          </w:tcPr>
          <w:p w:rsidR="00443EC1" w:rsidRDefault="00443EC1">
            <w:pPr>
              <w:spacing w:before="0" w:after="0" w:line="320" w:lineRule="exact"/>
              <w:ind w:firstLine="570"/>
              <w:jc w:val="both"/>
              <w:rPr>
                <w:rFonts w:hint="cs"/>
                <w:szCs w:val="26"/>
              </w:rPr>
            </w:pPr>
            <w:r>
              <w:rPr>
                <w:rFonts w:hint="cs"/>
                <w:szCs w:val="26"/>
                <w:rtl/>
              </w:rPr>
              <w:t>384 169 4</w:t>
            </w:r>
          </w:p>
        </w:tc>
      </w:tr>
      <w:tr w:rsidR="00443EC1" w:rsidTr="00443EC1">
        <w:tblPrEx>
          <w:tblCellMar>
            <w:top w:w="0" w:type="dxa"/>
            <w:bottom w:w="0" w:type="dxa"/>
          </w:tblCellMar>
        </w:tblPrEx>
        <w:trPr>
          <w:jc w:val="center"/>
        </w:trPr>
        <w:tc>
          <w:tcPr>
            <w:tcW w:w="2850" w:type="dxa"/>
            <w:tcBorders>
              <w:top w:val="nil"/>
              <w:bottom w:val="nil"/>
            </w:tcBorders>
          </w:tcPr>
          <w:p w:rsidR="00443EC1" w:rsidRDefault="00443EC1">
            <w:pPr>
              <w:spacing w:before="0" w:after="0" w:line="320" w:lineRule="exact"/>
              <w:jc w:val="both"/>
              <w:rPr>
                <w:rFonts w:hint="cs"/>
                <w:szCs w:val="26"/>
              </w:rPr>
            </w:pPr>
            <w:r>
              <w:rPr>
                <w:rFonts w:hint="cs"/>
                <w:szCs w:val="26"/>
                <w:rtl/>
              </w:rPr>
              <w:t>مجال التعليم</w:t>
            </w:r>
          </w:p>
        </w:tc>
        <w:tc>
          <w:tcPr>
            <w:tcW w:w="2952" w:type="dxa"/>
            <w:tcBorders>
              <w:top w:val="nil"/>
              <w:bottom w:val="nil"/>
            </w:tcBorders>
          </w:tcPr>
          <w:p w:rsidR="00443EC1" w:rsidRDefault="00443EC1">
            <w:pPr>
              <w:spacing w:before="0" w:after="0" w:line="320" w:lineRule="exact"/>
              <w:ind w:firstLine="822"/>
              <w:jc w:val="both"/>
              <w:rPr>
                <w:rFonts w:hint="cs"/>
                <w:szCs w:val="26"/>
              </w:rPr>
            </w:pPr>
            <w:r>
              <w:rPr>
                <w:rFonts w:hint="cs"/>
                <w:szCs w:val="26"/>
                <w:rtl/>
              </w:rPr>
              <w:t>400 216 18</w:t>
            </w:r>
          </w:p>
        </w:tc>
        <w:tc>
          <w:tcPr>
            <w:tcW w:w="2952" w:type="dxa"/>
            <w:tcBorders>
              <w:top w:val="nil"/>
              <w:bottom w:val="nil"/>
            </w:tcBorders>
          </w:tcPr>
          <w:p w:rsidR="00443EC1" w:rsidRDefault="00443EC1">
            <w:pPr>
              <w:spacing w:before="0" w:after="0" w:line="320" w:lineRule="exact"/>
              <w:ind w:firstLine="570"/>
              <w:jc w:val="both"/>
              <w:rPr>
                <w:rFonts w:hint="cs"/>
                <w:szCs w:val="26"/>
              </w:rPr>
            </w:pPr>
            <w:r>
              <w:rPr>
                <w:rFonts w:hint="cs"/>
                <w:szCs w:val="26"/>
                <w:rtl/>
              </w:rPr>
              <w:t>900 035 24</w:t>
            </w:r>
          </w:p>
        </w:tc>
      </w:tr>
      <w:tr w:rsidR="00443EC1" w:rsidTr="00443EC1">
        <w:tblPrEx>
          <w:tblCellMar>
            <w:top w:w="0" w:type="dxa"/>
            <w:bottom w:w="0" w:type="dxa"/>
          </w:tblCellMar>
        </w:tblPrEx>
        <w:trPr>
          <w:jc w:val="center"/>
        </w:trPr>
        <w:tc>
          <w:tcPr>
            <w:tcW w:w="2850" w:type="dxa"/>
            <w:tcBorders>
              <w:top w:val="nil"/>
              <w:bottom w:val="nil"/>
            </w:tcBorders>
          </w:tcPr>
          <w:p w:rsidR="00443EC1" w:rsidRDefault="00443EC1">
            <w:pPr>
              <w:spacing w:before="0" w:after="0" w:line="320" w:lineRule="exact"/>
              <w:jc w:val="both"/>
              <w:rPr>
                <w:rFonts w:hint="cs"/>
                <w:szCs w:val="26"/>
              </w:rPr>
            </w:pPr>
            <w:r>
              <w:rPr>
                <w:rFonts w:hint="cs"/>
                <w:szCs w:val="26"/>
                <w:rtl/>
              </w:rPr>
              <w:t>المجال العلمي</w:t>
            </w:r>
          </w:p>
        </w:tc>
        <w:tc>
          <w:tcPr>
            <w:tcW w:w="2952" w:type="dxa"/>
            <w:tcBorders>
              <w:top w:val="nil"/>
              <w:bottom w:val="nil"/>
            </w:tcBorders>
          </w:tcPr>
          <w:p w:rsidR="00443EC1" w:rsidRDefault="00443EC1">
            <w:pPr>
              <w:spacing w:before="0" w:after="0" w:line="320" w:lineRule="exact"/>
              <w:ind w:firstLine="822"/>
              <w:jc w:val="both"/>
              <w:rPr>
                <w:rFonts w:hint="cs"/>
                <w:szCs w:val="26"/>
              </w:rPr>
            </w:pPr>
            <w:r>
              <w:rPr>
                <w:rFonts w:hint="cs"/>
                <w:szCs w:val="26"/>
                <w:rtl/>
              </w:rPr>
              <w:t>700 388</w:t>
            </w:r>
          </w:p>
        </w:tc>
        <w:tc>
          <w:tcPr>
            <w:tcW w:w="2952" w:type="dxa"/>
            <w:tcBorders>
              <w:top w:val="nil"/>
              <w:bottom w:val="nil"/>
            </w:tcBorders>
          </w:tcPr>
          <w:p w:rsidR="00443EC1" w:rsidRDefault="00443EC1">
            <w:pPr>
              <w:spacing w:before="0" w:after="0" w:line="320" w:lineRule="exact"/>
              <w:ind w:firstLine="570"/>
              <w:jc w:val="both"/>
              <w:rPr>
                <w:rFonts w:hint="cs"/>
                <w:szCs w:val="26"/>
              </w:rPr>
            </w:pPr>
            <w:r>
              <w:rPr>
                <w:rFonts w:hint="cs"/>
                <w:szCs w:val="26"/>
                <w:rtl/>
              </w:rPr>
              <w:t>000 489 1</w:t>
            </w:r>
          </w:p>
        </w:tc>
      </w:tr>
      <w:tr w:rsidR="00443EC1" w:rsidTr="00443EC1">
        <w:tblPrEx>
          <w:tblCellMar>
            <w:top w:w="0" w:type="dxa"/>
            <w:bottom w:w="0" w:type="dxa"/>
          </w:tblCellMar>
        </w:tblPrEx>
        <w:trPr>
          <w:jc w:val="center"/>
        </w:trPr>
        <w:tc>
          <w:tcPr>
            <w:tcW w:w="2850" w:type="dxa"/>
            <w:tcBorders>
              <w:top w:val="nil"/>
              <w:bottom w:val="nil"/>
            </w:tcBorders>
          </w:tcPr>
          <w:p w:rsidR="00443EC1" w:rsidRDefault="00443EC1">
            <w:pPr>
              <w:spacing w:before="0" w:after="0" w:line="320" w:lineRule="exact"/>
              <w:jc w:val="both"/>
              <w:rPr>
                <w:rFonts w:hint="cs"/>
                <w:szCs w:val="26"/>
              </w:rPr>
            </w:pPr>
            <w:r>
              <w:rPr>
                <w:rFonts w:hint="cs"/>
                <w:szCs w:val="26"/>
                <w:rtl/>
              </w:rPr>
              <w:t>المجال الأكاديمي</w:t>
            </w:r>
          </w:p>
        </w:tc>
        <w:tc>
          <w:tcPr>
            <w:tcW w:w="2952" w:type="dxa"/>
            <w:tcBorders>
              <w:top w:val="nil"/>
              <w:bottom w:val="nil"/>
            </w:tcBorders>
          </w:tcPr>
          <w:p w:rsidR="00443EC1" w:rsidRDefault="00443EC1">
            <w:pPr>
              <w:spacing w:before="0" w:after="0" w:line="320" w:lineRule="exact"/>
              <w:ind w:firstLine="822"/>
              <w:jc w:val="both"/>
              <w:rPr>
                <w:rFonts w:hint="cs"/>
                <w:szCs w:val="26"/>
              </w:rPr>
            </w:pPr>
            <w:r>
              <w:rPr>
                <w:rFonts w:hint="cs"/>
                <w:szCs w:val="26"/>
                <w:rtl/>
              </w:rPr>
              <w:t>000 91</w:t>
            </w:r>
          </w:p>
        </w:tc>
        <w:tc>
          <w:tcPr>
            <w:tcW w:w="2952" w:type="dxa"/>
            <w:tcBorders>
              <w:top w:val="nil"/>
              <w:bottom w:val="nil"/>
            </w:tcBorders>
          </w:tcPr>
          <w:p w:rsidR="00443EC1" w:rsidRDefault="00443EC1">
            <w:pPr>
              <w:spacing w:before="0" w:after="0" w:line="320" w:lineRule="exact"/>
              <w:ind w:firstLine="570"/>
              <w:jc w:val="both"/>
              <w:rPr>
                <w:rFonts w:hint="cs"/>
                <w:szCs w:val="26"/>
              </w:rPr>
            </w:pPr>
            <w:r>
              <w:rPr>
                <w:rFonts w:hint="cs"/>
                <w:szCs w:val="26"/>
                <w:rtl/>
              </w:rPr>
              <w:t>945 645 3</w:t>
            </w:r>
          </w:p>
        </w:tc>
      </w:tr>
      <w:tr w:rsidR="00443EC1" w:rsidTr="00443EC1">
        <w:tblPrEx>
          <w:tblCellMar>
            <w:top w:w="0" w:type="dxa"/>
            <w:bottom w:w="0" w:type="dxa"/>
          </w:tblCellMar>
        </w:tblPrEx>
        <w:trPr>
          <w:jc w:val="center"/>
        </w:trPr>
        <w:tc>
          <w:tcPr>
            <w:tcW w:w="2850" w:type="dxa"/>
            <w:tcBorders>
              <w:top w:val="nil"/>
              <w:bottom w:val="nil"/>
            </w:tcBorders>
          </w:tcPr>
          <w:p w:rsidR="00443EC1" w:rsidRDefault="00443EC1">
            <w:pPr>
              <w:spacing w:before="0" w:after="0" w:line="320" w:lineRule="exact"/>
              <w:jc w:val="both"/>
              <w:rPr>
                <w:rFonts w:hint="cs"/>
                <w:szCs w:val="26"/>
              </w:rPr>
            </w:pPr>
            <w:r>
              <w:rPr>
                <w:rFonts w:hint="cs"/>
                <w:szCs w:val="26"/>
                <w:rtl/>
              </w:rPr>
              <w:t>المجال الخيري</w:t>
            </w:r>
          </w:p>
        </w:tc>
        <w:tc>
          <w:tcPr>
            <w:tcW w:w="2952" w:type="dxa"/>
            <w:tcBorders>
              <w:top w:val="nil"/>
              <w:bottom w:val="nil"/>
            </w:tcBorders>
          </w:tcPr>
          <w:p w:rsidR="00443EC1" w:rsidRDefault="00443EC1">
            <w:pPr>
              <w:spacing w:before="0" w:after="0" w:line="320" w:lineRule="exact"/>
              <w:ind w:firstLine="822"/>
              <w:jc w:val="both"/>
              <w:rPr>
                <w:rFonts w:hint="cs"/>
                <w:szCs w:val="26"/>
              </w:rPr>
            </w:pPr>
            <w:r>
              <w:rPr>
                <w:rFonts w:hint="cs"/>
                <w:szCs w:val="26"/>
                <w:rtl/>
              </w:rPr>
              <w:t>000 30</w:t>
            </w:r>
          </w:p>
        </w:tc>
        <w:tc>
          <w:tcPr>
            <w:tcW w:w="2952" w:type="dxa"/>
            <w:tcBorders>
              <w:top w:val="nil"/>
              <w:bottom w:val="nil"/>
            </w:tcBorders>
          </w:tcPr>
          <w:p w:rsidR="00443EC1" w:rsidRDefault="00443EC1">
            <w:pPr>
              <w:spacing w:before="0" w:after="0" w:line="320" w:lineRule="exact"/>
              <w:ind w:firstLine="570"/>
              <w:jc w:val="both"/>
              <w:rPr>
                <w:rFonts w:hint="cs"/>
                <w:szCs w:val="26"/>
              </w:rPr>
            </w:pPr>
            <w:r>
              <w:rPr>
                <w:rFonts w:hint="cs"/>
                <w:szCs w:val="26"/>
                <w:rtl/>
              </w:rPr>
              <w:t>000 495 1</w:t>
            </w:r>
          </w:p>
        </w:tc>
      </w:tr>
      <w:tr w:rsidR="00443EC1" w:rsidTr="00443EC1">
        <w:tblPrEx>
          <w:tblCellMar>
            <w:top w:w="0" w:type="dxa"/>
            <w:bottom w:w="0" w:type="dxa"/>
          </w:tblCellMar>
        </w:tblPrEx>
        <w:trPr>
          <w:jc w:val="center"/>
        </w:trPr>
        <w:tc>
          <w:tcPr>
            <w:tcW w:w="2850" w:type="dxa"/>
            <w:tcBorders>
              <w:top w:val="nil"/>
            </w:tcBorders>
          </w:tcPr>
          <w:p w:rsidR="00443EC1" w:rsidRDefault="00443EC1">
            <w:pPr>
              <w:spacing w:before="0" w:after="0" w:line="320" w:lineRule="exact"/>
              <w:jc w:val="both"/>
              <w:rPr>
                <w:rFonts w:hint="cs"/>
                <w:szCs w:val="26"/>
              </w:rPr>
            </w:pPr>
            <w:r>
              <w:rPr>
                <w:rFonts w:hint="cs"/>
                <w:szCs w:val="26"/>
                <w:rtl/>
              </w:rPr>
              <w:t>الترويج لماكاو</w:t>
            </w:r>
          </w:p>
        </w:tc>
        <w:tc>
          <w:tcPr>
            <w:tcW w:w="2952" w:type="dxa"/>
            <w:tcBorders>
              <w:top w:val="nil"/>
            </w:tcBorders>
          </w:tcPr>
          <w:p w:rsidR="00443EC1" w:rsidRDefault="00443EC1">
            <w:pPr>
              <w:spacing w:before="0" w:after="0" w:line="320" w:lineRule="exact"/>
              <w:ind w:firstLine="822"/>
              <w:jc w:val="both"/>
              <w:rPr>
                <w:rFonts w:hint="cs"/>
                <w:szCs w:val="26"/>
              </w:rPr>
            </w:pPr>
            <w:r>
              <w:rPr>
                <w:rFonts w:hint="cs"/>
                <w:szCs w:val="26"/>
                <w:rtl/>
              </w:rPr>
              <w:t>000 455 2</w:t>
            </w:r>
          </w:p>
        </w:tc>
        <w:tc>
          <w:tcPr>
            <w:tcW w:w="2952" w:type="dxa"/>
            <w:tcBorders>
              <w:top w:val="nil"/>
            </w:tcBorders>
          </w:tcPr>
          <w:p w:rsidR="00443EC1" w:rsidRDefault="00443EC1">
            <w:pPr>
              <w:spacing w:before="0" w:after="0" w:line="320" w:lineRule="exact"/>
              <w:ind w:firstLine="570"/>
              <w:jc w:val="both"/>
              <w:rPr>
                <w:rFonts w:hint="cs"/>
                <w:szCs w:val="26"/>
              </w:rPr>
            </w:pPr>
            <w:r>
              <w:rPr>
                <w:rFonts w:hint="cs"/>
                <w:szCs w:val="26"/>
                <w:rtl/>
              </w:rPr>
              <w:t>295 235 3</w:t>
            </w:r>
          </w:p>
        </w:tc>
      </w:tr>
      <w:tr w:rsidR="00443EC1" w:rsidTr="00443EC1">
        <w:tblPrEx>
          <w:tblCellMar>
            <w:top w:w="0" w:type="dxa"/>
            <w:bottom w:w="0" w:type="dxa"/>
          </w:tblCellMar>
        </w:tblPrEx>
        <w:trPr>
          <w:jc w:val="center"/>
        </w:trPr>
        <w:tc>
          <w:tcPr>
            <w:tcW w:w="2850" w:type="dxa"/>
          </w:tcPr>
          <w:p w:rsidR="00443EC1" w:rsidRDefault="00443EC1">
            <w:pPr>
              <w:spacing w:before="0" w:after="0" w:line="320" w:lineRule="exact"/>
              <w:jc w:val="both"/>
              <w:rPr>
                <w:rFonts w:hint="cs"/>
                <w:szCs w:val="26"/>
              </w:rPr>
            </w:pPr>
            <w:r>
              <w:rPr>
                <w:szCs w:val="26"/>
                <w:rtl/>
              </w:rPr>
              <w:t xml:space="preserve">       </w:t>
            </w:r>
            <w:r>
              <w:rPr>
                <w:rFonts w:hint="cs"/>
                <w:szCs w:val="26"/>
                <w:rtl/>
              </w:rPr>
              <w:t>المجموع</w:t>
            </w:r>
          </w:p>
        </w:tc>
        <w:tc>
          <w:tcPr>
            <w:tcW w:w="2952" w:type="dxa"/>
          </w:tcPr>
          <w:p w:rsidR="00443EC1" w:rsidRDefault="00443EC1">
            <w:pPr>
              <w:spacing w:before="0" w:after="0" w:line="320" w:lineRule="exact"/>
              <w:ind w:firstLine="822"/>
              <w:jc w:val="both"/>
              <w:rPr>
                <w:rFonts w:hint="cs"/>
                <w:szCs w:val="26"/>
              </w:rPr>
            </w:pPr>
            <w:r>
              <w:rPr>
                <w:rFonts w:hint="cs"/>
                <w:szCs w:val="26"/>
                <w:rtl/>
              </w:rPr>
              <w:t>900 962 27</w:t>
            </w:r>
          </w:p>
        </w:tc>
        <w:tc>
          <w:tcPr>
            <w:tcW w:w="2952" w:type="dxa"/>
          </w:tcPr>
          <w:p w:rsidR="00443EC1" w:rsidRDefault="00443EC1">
            <w:pPr>
              <w:spacing w:before="0" w:after="0" w:line="320" w:lineRule="exact"/>
              <w:ind w:firstLine="570"/>
              <w:jc w:val="both"/>
              <w:rPr>
                <w:rFonts w:hint="cs"/>
                <w:szCs w:val="26"/>
              </w:rPr>
            </w:pPr>
            <w:r>
              <w:rPr>
                <w:rFonts w:hint="cs"/>
                <w:szCs w:val="26"/>
                <w:rtl/>
              </w:rPr>
              <w:t>249 232 46</w:t>
            </w:r>
          </w:p>
        </w:tc>
      </w:tr>
    </w:tbl>
    <w:p w:rsidR="00000000" w:rsidRDefault="00443EC1">
      <w:pPr>
        <w:spacing w:line="380" w:lineRule="exact"/>
        <w:jc w:val="both"/>
        <w:rPr>
          <w:rFonts w:hint="cs"/>
          <w:rtl/>
        </w:rPr>
      </w:pPr>
      <w:r>
        <w:rPr>
          <w:rFonts w:hint="cs"/>
          <w:rtl/>
        </w:rPr>
        <w:tab/>
      </w:r>
      <w:r>
        <w:rPr>
          <w:rFonts w:hint="cs"/>
          <w:i/>
          <w:iCs/>
          <w:rtl/>
        </w:rPr>
        <w:t>المصدر</w:t>
      </w:r>
      <w:r>
        <w:rPr>
          <w:rFonts w:hint="cs"/>
          <w:rtl/>
        </w:rPr>
        <w:t>: مؤسسة ماكاو، 2002.</w:t>
      </w:r>
    </w:p>
    <w:p w:rsidR="00000000" w:rsidRDefault="00443EC1">
      <w:pPr>
        <w:spacing w:line="380" w:lineRule="exact"/>
        <w:jc w:val="center"/>
        <w:rPr>
          <w:rFonts w:hint="cs"/>
          <w:b/>
          <w:bCs/>
          <w:rtl/>
        </w:rPr>
      </w:pPr>
      <w:r>
        <w:rPr>
          <w:rFonts w:hint="cs"/>
          <w:b/>
          <w:bCs/>
          <w:rtl/>
        </w:rPr>
        <w:t>جيم - الحفاظ على المآثر الثقافية والعلمية والتعريف بها</w:t>
      </w:r>
    </w:p>
    <w:p w:rsidR="00000000" w:rsidRDefault="00443EC1">
      <w:pPr>
        <w:spacing w:line="380" w:lineRule="exact"/>
        <w:jc w:val="both"/>
        <w:rPr>
          <w:rFonts w:hint="cs"/>
          <w:rtl/>
        </w:rPr>
      </w:pPr>
      <w:r>
        <w:rPr>
          <w:rFonts w:hint="cs"/>
          <w:rtl/>
        </w:rPr>
        <w:t>1186-   ت</w:t>
      </w:r>
      <w:r>
        <w:rPr>
          <w:rtl/>
        </w:rPr>
        <w:t>ولي حكومة م</w:t>
      </w:r>
      <w:r>
        <w:rPr>
          <w:rFonts w:hint="cs"/>
          <w:rtl/>
        </w:rPr>
        <w:t>قاطعة</w:t>
      </w:r>
      <w:r>
        <w:rPr>
          <w:rtl/>
        </w:rPr>
        <w:t xml:space="preserve"> ماكاو الإدارية الخاصة أهمية كبيرة لحماية "</w:t>
      </w:r>
      <w:r>
        <w:rPr>
          <w:rFonts w:hint="cs"/>
          <w:rtl/>
        </w:rPr>
        <w:t>المناظر الجمي</w:t>
      </w:r>
      <w:r>
        <w:rPr>
          <w:rFonts w:hint="cs"/>
          <w:rtl/>
        </w:rPr>
        <w:t>لة والمواقع التاريخية وغيرها من المآثر التاريخية وحماية الحقوق والمصالح المشروعة التي تعود إلى مالكي القطع الأثرية" وفقا للفقرة 3 من المادة 125 من القانون الأساسي.</w:t>
      </w:r>
    </w:p>
    <w:p w:rsidR="00000000" w:rsidRDefault="00443EC1">
      <w:pPr>
        <w:spacing w:line="380" w:lineRule="exact"/>
        <w:jc w:val="both"/>
        <w:rPr>
          <w:rFonts w:hint="cs"/>
          <w:rtl/>
        </w:rPr>
      </w:pPr>
      <w:r>
        <w:rPr>
          <w:rFonts w:hint="cs"/>
          <w:rtl/>
        </w:rPr>
        <w:t xml:space="preserve">1187-   </w:t>
      </w:r>
      <w:r>
        <w:rPr>
          <w:rtl/>
        </w:rPr>
        <w:t>ويحمي القانون العادي كذ</w:t>
      </w:r>
      <w:r>
        <w:rPr>
          <w:rFonts w:hint="cs"/>
          <w:rtl/>
        </w:rPr>
        <w:t xml:space="preserve">لك التراث التاريخي والثقافي والمعماري لماكاو كما يدل على ذلك </w:t>
      </w:r>
      <w:r>
        <w:rPr>
          <w:rFonts w:hint="cs"/>
          <w:rtl/>
        </w:rPr>
        <w:t>المرسوم بقانون 56/84/م الصادر في 30 حزيران/يونيه.</w:t>
      </w:r>
    </w:p>
    <w:p w:rsidR="00000000" w:rsidRDefault="00443EC1">
      <w:pPr>
        <w:spacing w:line="380" w:lineRule="exact"/>
        <w:jc w:val="both"/>
        <w:rPr>
          <w:rFonts w:hint="cs"/>
          <w:rtl/>
        </w:rPr>
      </w:pPr>
      <w:r>
        <w:rPr>
          <w:rFonts w:hint="cs"/>
          <w:rtl/>
        </w:rPr>
        <w:t>1188-   و</w:t>
      </w:r>
      <w:r>
        <w:rPr>
          <w:rtl/>
        </w:rPr>
        <w:t xml:space="preserve">يعتبر ما مجموعه 128 أثرا ومبنى </w:t>
      </w:r>
      <w:r>
        <w:rPr>
          <w:rFonts w:hint="cs"/>
          <w:rtl/>
        </w:rPr>
        <w:t xml:space="preserve">وموقعا </w:t>
      </w:r>
      <w:r>
        <w:rPr>
          <w:rtl/>
        </w:rPr>
        <w:t>م</w:t>
      </w:r>
      <w:r>
        <w:rPr>
          <w:rFonts w:hint="cs"/>
          <w:rtl/>
        </w:rPr>
        <w:t>صنفا ملكية ثقافية تحظى بحماية خاصة بمقتضى المرسوم بقانون 83/92/م الصادر في 28 كانون الأول/ديسمبر.</w:t>
      </w:r>
    </w:p>
    <w:p w:rsidR="00000000" w:rsidRDefault="00443EC1">
      <w:pPr>
        <w:spacing w:line="380" w:lineRule="exact"/>
        <w:jc w:val="both"/>
        <w:rPr>
          <w:rFonts w:hint="cs"/>
          <w:rtl/>
        </w:rPr>
      </w:pPr>
      <w:r>
        <w:rPr>
          <w:rFonts w:hint="cs"/>
          <w:rtl/>
        </w:rPr>
        <w:t>1189-   ويكرس المعهد الثقافي جل أنشطته، من خلال قسم التراث ا</w:t>
      </w:r>
      <w:r>
        <w:rPr>
          <w:rFonts w:hint="cs"/>
          <w:rtl/>
        </w:rPr>
        <w:t>لثقافي، للمحافظة على التراث الثقافي لمختلف المجموعات العرقية ولتصنيف التراث الثقافي لماكاو وترميمه وتجديده وتحسينه، بما فيه البنايات والتحف.</w:t>
      </w:r>
    </w:p>
    <w:p w:rsidR="00000000" w:rsidRDefault="00443EC1">
      <w:pPr>
        <w:spacing w:line="380" w:lineRule="exact"/>
        <w:jc w:val="both"/>
        <w:rPr>
          <w:rFonts w:hint="cs"/>
          <w:rtl/>
        </w:rPr>
      </w:pPr>
      <w:r>
        <w:rPr>
          <w:rFonts w:hint="cs"/>
          <w:rtl/>
        </w:rPr>
        <w:t>1190-   و</w:t>
      </w:r>
      <w:r>
        <w:rPr>
          <w:rtl/>
        </w:rPr>
        <w:t xml:space="preserve">زاد التأكيد </w:t>
      </w:r>
      <w:r>
        <w:rPr>
          <w:rFonts w:hint="cs"/>
          <w:rtl/>
        </w:rPr>
        <w:t>طيلة</w:t>
      </w:r>
      <w:r>
        <w:rPr>
          <w:rtl/>
        </w:rPr>
        <w:t xml:space="preserve"> العقدين الماضيين على أهمية المحافظة على التراث</w:t>
      </w:r>
      <w:r>
        <w:rPr>
          <w:rFonts w:hint="cs"/>
          <w:rtl/>
        </w:rPr>
        <w:t>،</w:t>
      </w:r>
      <w:r>
        <w:rPr>
          <w:rtl/>
        </w:rPr>
        <w:t xml:space="preserve"> فوضعت حكومة </w:t>
      </w:r>
      <w:r>
        <w:rPr>
          <w:rFonts w:hint="cs"/>
          <w:rtl/>
        </w:rPr>
        <w:t>مقاطعة</w:t>
      </w:r>
      <w:r>
        <w:rPr>
          <w:rtl/>
        </w:rPr>
        <w:t xml:space="preserve"> ماكاو الإدارية الخاصة </w:t>
      </w:r>
      <w:r>
        <w:rPr>
          <w:rtl/>
        </w:rPr>
        <w:t xml:space="preserve">مبادئ توجيهية لتحقيق توازن مستدام ما بين الحفاظ على التراث الثقافي والتطور الاجتماعي والاقتصادي. </w:t>
      </w:r>
    </w:p>
    <w:p w:rsidR="00000000" w:rsidRDefault="00443EC1">
      <w:pPr>
        <w:spacing w:line="380" w:lineRule="exact"/>
        <w:jc w:val="both"/>
        <w:rPr>
          <w:rFonts w:hint="cs"/>
          <w:rtl/>
        </w:rPr>
      </w:pPr>
      <w:r>
        <w:rPr>
          <w:rFonts w:hint="cs"/>
          <w:rtl/>
        </w:rPr>
        <w:t>1191-   واتُخذت خطوات هامة، منها الرصد الكفء للمواقع أو للأماكن التي تمثل جزءا من مركَّب في المواقع المصنفة أو المناطق المحمية وتصنيفها وحمايتها وترميم الأطلا</w:t>
      </w:r>
      <w:r>
        <w:rPr>
          <w:rFonts w:hint="cs"/>
          <w:rtl/>
        </w:rPr>
        <w:t>ل الأثرية والفنية وصيانتها ونشرها وإنجاز الدراسات الأثرية والثقافية.</w:t>
      </w:r>
    </w:p>
    <w:p w:rsidR="00000000" w:rsidRDefault="00443EC1">
      <w:pPr>
        <w:spacing w:line="380" w:lineRule="exact"/>
        <w:jc w:val="both"/>
        <w:rPr>
          <w:rFonts w:hint="cs"/>
          <w:rtl/>
        </w:rPr>
      </w:pPr>
      <w:r>
        <w:rPr>
          <w:rFonts w:hint="cs"/>
          <w:rtl/>
        </w:rPr>
        <w:t>1192-   و</w:t>
      </w:r>
      <w:r>
        <w:rPr>
          <w:rtl/>
        </w:rPr>
        <w:t>في عام 2001، در</w:t>
      </w:r>
      <w:r>
        <w:rPr>
          <w:rFonts w:hint="cs"/>
          <w:rtl/>
        </w:rPr>
        <w:t>ّ</w:t>
      </w:r>
      <w:r>
        <w:rPr>
          <w:rtl/>
        </w:rPr>
        <w:t>ب</w:t>
      </w:r>
      <w:r>
        <w:rPr>
          <w:rFonts w:hint="cs"/>
          <w:rtl/>
        </w:rPr>
        <w:t xml:space="preserve"> المعهد الثقافي</w:t>
      </w:r>
      <w:r>
        <w:rPr>
          <w:rtl/>
        </w:rPr>
        <w:t xml:space="preserve"> </w:t>
      </w:r>
      <w:r>
        <w:rPr>
          <w:rFonts w:hint="cs"/>
          <w:rtl/>
        </w:rPr>
        <w:t>58 من الشباب ليكونوا "سفراء التراث الشباب" بهدف نشر الوعي بالتراث الثقافي وبقيم ماكاو في بلدان أخرى.</w:t>
      </w:r>
    </w:p>
    <w:p w:rsidR="00000000" w:rsidRDefault="00443EC1">
      <w:pPr>
        <w:spacing w:line="380" w:lineRule="exact"/>
        <w:jc w:val="center"/>
        <w:rPr>
          <w:rFonts w:hint="cs"/>
          <w:b/>
          <w:bCs/>
          <w:rtl/>
        </w:rPr>
      </w:pPr>
      <w:r>
        <w:rPr>
          <w:rFonts w:hint="cs"/>
          <w:b/>
          <w:bCs/>
          <w:rtl/>
        </w:rPr>
        <w:t>دال - الحق في التمتع بفوائد التقدم العلمي</w:t>
      </w:r>
    </w:p>
    <w:p w:rsidR="00000000" w:rsidRDefault="00443EC1">
      <w:pPr>
        <w:spacing w:line="380" w:lineRule="exact"/>
        <w:jc w:val="both"/>
        <w:rPr>
          <w:rFonts w:hint="cs"/>
          <w:rtl/>
        </w:rPr>
      </w:pPr>
      <w:r>
        <w:rPr>
          <w:rFonts w:hint="cs"/>
          <w:rtl/>
        </w:rPr>
        <w:t>11</w:t>
      </w:r>
      <w:r>
        <w:rPr>
          <w:rFonts w:hint="cs"/>
          <w:rtl/>
        </w:rPr>
        <w:t>93-   إن الحق في القيام بالأبحاث العلمية والتكنولوجية محفوظ بمقتضى المادة 37 من القانون الأساسي. ومما يزيد هذا الحق رسوخا الإطار القانوني للسياسة في مضمار العلم والتكنولوجيا، الذي وُضع بمقتضى المادة 2 من القانون 9/2000 الصادر في 17 تموز/يوليه.</w:t>
      </w:r>
    </w:p>
    <w:p w:rsidR="00000000" w:rsidRDefault="00443EC1">
      <w:pPr>
        <w:spacing w:line="380" w:lineRule="exact"/>
        <w:jc w:val="both"/>
        <w:rPr>
          <w:rFonts w:hint="cs"/>
          <w:rtl/>
        </w:rPr>
      </w:pPr>
      <w:r>
        <w:rPr>
          <w:rFonts w:hint="cs"/>
          <w:rtl/>
        </w:rPr>
        <w:t>1194-   وفضل</w:t>
      </w:r>
      <w:r>
        <w:rPr>
          <w:rFonts w:hint="cs"/>
          <w:rtl/>
        </w:rPr>
        <w:t>ا عن ذلك، تخول المادة 124 من القانون الأساسي للمنطقة الحق في صياغة سياساتها في مجال العلم والتكنولوجيا وكذلك في حماية إنجازاتها بحكم القانون في مجال البحث العلمي والتكنولوجي وبراءات الاختراع والاكتشافات والاختراعات.</w:t>
      </w:r>
    </w:p>
    <w:p w:rsidR="00000000" w:rsidRDefault="00443EC1">
      <w:pPr>
        <w:spacing w:line="380" w:lineRule="exact"/>
        <w:jc w:val="both"/>
        <w:rPr>
          <w:rFonts w:hint="cs"/>
          <w:rtl/>
        </w:rPr>
      </w:pPr>
      <w:r>
        <w:rPr>
          <w:rFonts w:hint="cs"/>
          <w:rtl/>
        </w:rPr>
        <w:t>1195-   و</w:t>
      </w:r>
      <w:r>
        <w:rPr>
          <w:rtl/>
        </w:rPr>
        <w:t xml:space="preserve">تحدد حكومة </w:t>
      </w:r>
      <w:r>
        <w:rPr>
          <w:rFonts w:hint="cs"/>
          <w:rtl/>
        </w:rPr>
        <w:t>مقاطعة</w:t>
      </w:r>
      <w:r>
        <w:rPr>
          <w:rtl/>
        </w:rPr>
        <w:t xml:space="preserve"> ماكاو الإداري</w:t>
      </w:r>
      <w:r>
        <w:rPr>
          <w:rtl/>
        </w:rPr>
        <w:t xml:space="preserve">ة الخاصة المواصفات والمقاييس العلمية والتكنولوجية السارية في المنطقة. </w:t>
      </w:r>
      <w:r>
        <w:rPr>
          <w:rFonts w:hint="cs"/>
          <w:rtl/>
        </w:rPr>
        <w:t>وقد استهدفت سياستها على الخصوص زيادة وإنماء المعرفة العلمية والتكنولوجية والموارد المحلية، والرفع من الإنتاجية والقدرة على المنافسة، وتعزيز التنمية الاجتماعية والاقتصادية، وتكنولوجيا الم</w:t>
      </w:r>
      <w:r>
        <w:rPr>
          <w:rFonts w:hint="cs"/>
          <w:rtl/>
        </w:rPr>
        <w:t xml:space="preserve">علومات، والتعود على الشبكات المعلوماتية، وحماية البيانات، وحماية البيئة، والبحث العلمي والتكنولوجي (المادة 3 من </w:t>
      </w:r>
      <w:r>
        <w:rPr>
          <w:rtl/>
        </w:rPr>
        <w:br/>
      </w:r>
      <w:r>
        <w:rPr>
          <w:rFonts w:hint="cs"/>
          <w:rtl/>
        </w:rPr>
        <w:t>القانون 9/2000).</w:t>
      </w:r>
    </w:p>
    <w:p w:rsidR="00000000" w:rsidRDefault="00443EC1">
      <w:pPr>
        <w:spacing w:line="380" w:lineRule="exact"/>
        <w:jc w:val="both"/>
        <w:rPr>
          <w:rFonts w:hint="cs"/>
          <w:rtl/>
        </w:rPr>
      </w:pPr>
      <w:r>
        <w:rPr>
          <w:rFonts w:hint="cs"/>
          <w:rtl/>
        </w:rPr>
        <w:t xml:space="preserve">1196-   </w:t>
      </w:r>
      <w:r>
        <w:rPr>
          <w:rtl/>
        </w:rPr>
        <w:t>وقد تم إدراك تلك الغايات</w:t>
      </w:r>
      <w:r>
        <w:rPr>
          <w:rFonts w:hint="cs"/>
          <w:rtl/>
        </w:rPr>
        <w:t xml:space="preserve"> عبر </w:t>
      </w:r>
      <w:r>
        <w:rPr>
          <w:rtl/>
        </w:rPr>
        <w:t xml:space="preserve">إقرار عدة تدابير </w:t>
      </w:r>
      <w:r>
        <w:rPr>
          <w:rFonts w:hint="cs"/>
          <w:rtl/>
        </w:rPr>
        <w:t>كمنح حوافز خاصة لإنشاء مؤسسات تكرس جهدها للبحث العلمي والتكنولوجي والتنم</w:t>
      </w:r>
      <w:r>
        <w:rPr>
          <w:rFonts w:hint="cs"/>
          <w:rtl/>
        </w:rPr>
        <w:t>ية وتدريب العاملين المؤهلين وتقديم تدريب مختص داخل الهيئات الخاصة وتعليم العلم والتكنولوجيا ضمن المقررات الدراسية وكذلك إنشاء صندوق للتنمية العلمية والتكنولوجية (القانون 9/2000).</w:t>
      </w:r>
    </w:p>
    <w:p w:rsidR="00000000" w:rsidRDefault="00443EC1">
      <w:pPr>
        <w:spacing w:line="380" w:lineRule="exact"/>
        <w:jc w:val="both"/>
        <w:rPr>
          <w:rtl/>
        </w:rPr>
      </w:pPr>
      <w:r>
        <w:rPr>
          <w:rFonts w:hint="cs"/>
          <w:rtl/>
        </w:rPr>
        <w:t>1197-   و</w:t>
      </w:r>
      <w:r>
        <w:rPr>
          <w:rtl/>
        </w:rPr>
        <w:t>ما فتئت حكومة منطقة ماكاو الإدارية الخاصة تشجع على إنماء ال</w:t>
      </w:r>
      <w:r>
        <w:rPr>
          <w:rFonts w:hint="cs"/>
          <w:rtl/>
        </w:rPr>
        <w:t>مشاريع ال</w:t>
      </w:r>
      <w:r>
        <w:rPr>
          <w:rFonts w:hint="cs"/>
          <w:rtl/>
        </w:rPr>
        <w:t xml:space="preserve">تجارية التي </w:t>
      </w:r>
      <w:r>
        <w:rPr>
          <w:rtl/>
        </w:rPr>
        <w:t>تستخدم التكنولوجيا العالية الدقة ذات القيمة المضافة المرتفعة من خلال تحديد المجالات ذات ال</w:t>
      </w:r>
      <w:r>
        <w:rPr>
          <w:rFonts w:hint="cs"/>
          <w:rtl/>
        </w:rPr>
        <w:t>أ</w:t>
      </w:r>
      <w:r>
        <w:rPr>
          <w:rtl/>
        </w:rPr>
        <w:t>ولوية وتيسير نقل التكنولوجيا وتنميتها وتقديم الموارد البشرية المتخصصة وبرامج التمويل.</w:t>
      </w:r>
    </w:p>
    <w:p w:rsidR="00000000" w:rsidRDefault="00443EC1">
      <w:pPr>
        <w:spacing w:line="380" w:lineRule="exact"/>
        <w:jc w:val="both"/>
        <w:rPr>
          <w:rFonts w:hint="cs"/>
          <w:rtl/>
        </w:rPr>
      </w:pPr>
      <w:r>
        <w:rPr>
          <w:rFonts w:hint="cs"/>
          <w:rtl/>
        </w:rPr>
        <w:t>1198-   وفي آذار/مارس من عام 2000، أنشئت جامعة جديدة هي جامعة ماكاو</w:t>
      </w:r>
      <w:r>
        <w:rPr>
          <w:rFonts w:hint="cs"/>
          <w:rtl/>
        </w:rPr>
        <w:t xml:space="preserve"> للعلم والتكنولوجيا. وتعمل هذه المؤسسة الخاصة بشكل خاص على تدريب الموارد البشرية المحلية وعلى تحقيق التنمية العلمية والتكنولوجية وإنجاز الأبحاث (الأمر التنفيذي 20/2000 الصادر في 27 آذار/مارس).</w:t>
      </w:r>
    </w:p>
    <w:p w:rsidR="00000000" w:rsidRDefault="00443EC1">
      <w:pPr>
        <w:spacing w:line="380" w:lineRule="exact"/>
        <w:jc w:val="both"/>
        <w:rPr>
          <w:rFonts w:hint="cs"/>
          <w:rtl/>
        </w:rPr>
      </w:pPr>
      <w:r>
        <w:rPr>
          <w:rFonts w:hint="cs"/>
          <w:rtl/>
        </w:rPr>
        <w:t>1199-   و</w:t>
      </w:r>
      <w:r>
        <w:rPr>
          <w:rtl/>
        </w:rPr>
        <w:t>بموجب القانون الإداري 16/2001 الصادر في 27 آب/أغسطس، أ</w:t>
      </w:r>
      <w:r>
        <w:rPr>
          <w:rtl/>
        </w:rPr>
        <w:t xml:space="preserve">نشئ مجلس العلم والتكنولوجيا في عام 2001 </w:t>
      </w:r>
      <w:r>
        <w:rPr>
          <w:rFonts w:hint="cs"/>
          <w:rtl/>
        </w:rPr>
        <w:t>بقصد</w:t>
      </w:r>
      <w:r>
        <w:rPr>
          <w:rtl/>
        </w:rPr>
        <w:t xml:space="preserve"> إسداء المشو</w:t>
      </w:r>
      <w:r>
        <w:rPr>
          <w:rFonts w:hint="cs"/>
          <w:rtl/>
        </w:rPr>
        <w:t>ر</w:t>
      </w:r>
      <w:r>
        <w:rPr>
          <w:rtl/>
        </w:rPr>
        <w:t>ة</w:t>
      </w:r>
      <w:r>
        <w:rPr>
          <w:rFonts w:hint="cs"/>
          <w:rtl/>
        </w:rPr>
        <w:t xml:space="preserve"> إلى حكومة مقاطعة ماكاو الإدارية الخاصة في صياغة وتنفيذ السياسات التي من شأنها أن تساعد في التحديث العلمي والتكنولوجي وفي تنمية المنطقة.</w:t>
      </w:r>
    </w:p>
    <w:p w:rsidR="00000000" w:rsidRDefault="00443EC1">
      <w:pPr>
        <w:spacing w:line="380" w:lineRule="exact"/>
        <w:jc w:val="both"/>
        <w:rPr>
          <w:rFonts w:hint="cs"/>
          <w:rtl/>
        </w:rPr>
      </w:pPr>
      <w:r>
        <w:rPr>
          <w:rFonts w:hint="cs"/>
          <w:rtl/>
        </w:rPr>
        <w:t>1200-   ويشجع مركز ماكاو للإنتاجية ونقل التكنولوجيا الشركات ع</w:t>
      </w:r>
      <w:r>
        <w:rPr>
          <w:rFonts w:hint="cs"/>
          <w:rtl/>
        </w:rPr>
        <w:t>لى اتباع نهج فعال وتصورات ومواصفات جديدة للتكنولوجيا العصرية ومجتمع المعلومات وكذلك الموارد من أجل الرفع من القيمة المضافة لما تقدمه من منتجات وخدمات مما يؤدي إلى الرفع من الإنتاجية وزيادة القدرة التنافسية.</w:t>
      </w:r>
    </w:p>
    <w:p w:rsidR="00000000" w:rsidRDefault="00443EC1">
      <w:pPr>
        <w:spacing w:line="380" w:lineRule="exact"/>
        <w:jc w:val="both"/>
        <w:rPr>
          <w:rFonts w:hint="cs"/>
          <w:rtl/>
        </w:rPr>
      </w:pPr>
      <w:r>
        <w:rPr>
          <w:rFonts w:hint="cs"/>
          <w:rtl/>
        </w:rPr>
        <w:t>1201-   ويشكل</w:t>
      </w:r>
      <w:r>
        <w:rPr>
          <w:rtl/>
        </w:rPr>
        <w:t xml:space="preserve"> العلم والتكنولوجيا </w:t>
      </w:r>
      <w:r>
        <w:rPr>
          <w:rFonts w:hint="cs"/>
          <w:rtl/>
        </w:rPr>
        <w:t>جزءا من مادة الع</w:t>
      </w:r>
      <w:r>
        <w:rPr>
          <w:rFonts w:hint="cs"/>
          <w:rtl/>
        </w:rPr>
        <w:t>لوم التي تدرس ضمن مقررات التعليم الأساسي.</w:t>
      </w:r>
    </w:p>
    <w:p w:rsidR="00000000" w:rsidRDefault="00443EC1">
      <w:pPr>
        <w:spacing w:line="380" w:lineRule="exact"/>
        <w:jc w:val="both"/>
        <w:rPr>
          <w:rFonts w:hint="cs"/>
          <w:rtl/>
        </w:rPr>
      </w:pPr>
      <w:r>
        <w:rPr>
          <w:rFonts w:hint="cs"/>
          <w:rtl/>
        </w:rPr>
        <w:t xml:space="preserve">1202-   </w:t>
      </w:r>
      <w:r>
        <w:rPr>
          <w:rtl/>
        </w:rPr>
        <w:t>ووزارة التعليم وشؤون الشباب مكلفة بتشجيع العلم والتقدم التكنولوجي في المدارس وب</w:t>
      </w:r>
      <w:r>
        <w:rPr>
          <w:rFonts w:hint="cs"/>
          <w:rtl/>
        </w:rPr>
        <w:t>ِحثّ التلاميذ والمدرسين على المشاركة في الأنشطة الخارجة عن المقرر مثل "أسبوع تكنولوجيا المعلومات" والمعرض التكنولوجي السنوي.</w:t>
      </w:r>
    </w:p>
    <w:p w:rsidR="00000000" w:rsidRDefault="00443EC1">
      <w:pPr>
        <w:spacing w:line="380" w:lineRule="exact"/>
        <w:jc w:val="both"/>
        <w:rPr>
          <w:rFonts w:hint="cs"/>
          <w:rtl/>
        </w:rPr>
      </w:pPr>
      <w:r>
        <w:rPr>
          <w:rFonts w:hint="cs"/>
          <w:rtl/>
        </w:rPr>
        <w:t>12</w:t>
      </w:r>
      <w:r>
        <w:rPr>
          <w:rFonts w:hint="cs"/>
          <w:rtl/>
        </w:rPr>
        <w:t xml:space="preserve">03-   </w:t>
      </w:r>
      <w:r>
        <w:rPr>
          <w:rtl/>
        </w:rPr>
        <w:t>بالإضافة</w:t>
      </w:r>
      <w:r>
        <w:rPr>
          <w:rFonts w:hint="cs"/>
          <w:rtl/>
        </w:rPr>
        <w:t xml:space="preserve"> إلى ذلك</w:t>
      </w:r>
      <w:r>
        <w:rPr>
          <w:rtl/>
        </w:rPr>
        <w:t xml:space="preserve">، خصصت حكومة </w:t>
      </w:r>
      <w:r>
        <w:rPr>
          <w:rFonts w:hint="cs"/>
          <w:rtl/>
        </w:rPr>
        <w:t xml:space="preserve">مقاطعة </w:t>
      </w:r>
      <w:r>
        <w:rPr>
          <w:rtl/>
        </w:rPr>
        <w:t>ماك</w:t>
      </w:r>
      <w:r>
        <w:rPr>
          <w:rFonts w:hint="cs"/>
          <w:rtl/>
        </w:rPr>
        <w:t>ا</w:t>
      </w:r>
      <w:r>
        <w:rPr>
          <w:rtl/>
        </w:rPr>
        <w:t>و الإدارية الخاصة بدءا من عام 200</w:t>
      </w:r>
      <w:r>
        <w:rPr>
          <w:rFonts w:hint="cs"/>
          <w:rtl/>
        </w:rPr>
        <w:t>1</w:t>
      </w:r>
      <w:r>
        <w:rPr>
          <w:rtl/>
        </w:rPr>
        <w:t xml:space="preserve"> أموالا </w:t>
      </w:r>
      <w:r>
        <w:rPr>
          <w:rFonts w:hint="cs"/>
          <w:rtl/>
        </w:rPr>
        <w:t>بلغت قيمتها 192 723 26 باتاكا للمدارس لتحسين التعليم والتعلم في مجال تكنولوجيا المعلومات والاتصال.</w:t>
      </w:r>
    </w:p>
    <w:p w:rsidR="00000000" w:rsidRDefault="00443EC1">
      <w:pPr>
        <w:spacing w:line="380" w:lineRule="exact"/>
        <w:jc w:val="both"/>
        <w:rPr>
          <w:rFonts w:hint="cs"/>
          <w:rtl/>
        </w:rPr>
      </w:pPr>
      <w:r>
        <w:rPr>
          <w:rFonts w:hint="cs"/>
          <w:rtl/>
        </w:rPr>
        <w:t xml:space="preserve">1204-   </w:t>
      </w:r>
      <w:r>
        <w:rPr>
          <w:rtl/>
        </w:rPr>
        <w:t xml:space="preserve">كما تشجع وزارة التعليم وشؤون الشباب الأنشطة العلمية والأدبية </w:t>
      </w:r>
      <w:r>
        <w:rPr>
          <w:rtl/>
        </w:rPr>
        <w:t xml:space="preserve">والفنية وحماية الحقوق الناشئة عن الملكية الفكرية من خلال تنظيم </w:t>
      </w:r>
      <w:r>
        <w:rPr>
          <w:rFonts w:hint="cs"/>
          <w:rtl/>
        </w:rPr>
        <w:t>أ</w:t>
      </w:r>
      <w:r>
        <w:rPr>
          <w:rtl/>
        </w:rPr>
        <w:t>نشطة للشباب من قبيل "</w:t>
      </w:r>
      <w:r>
        <w:rPr>
          <w:rFonts w:hint="cs"/>
          <w:rtl/>
        </w:rPr>
        <w:t>مباراة التربية الوطنية للشباب" والمشاركة في برامج واتصالات التبادل العلمي الوطنية والدولية.</w:t>
      </w:r>
    </w:p>
    <w:p w:rsidR="00000000" w:rsidRDefault="00443EC1">
      <w:pPr>
        <w:spacing w:line="380" w:lineRule="exact"/>
        <w:jc w:val="both"/>
        <w:rPr>
          <w:rFonts w:hint="cs"/>
          <w:rtl/>
        </w:rPr>
      </w:pPr>
      <w:r>
        <w:rPr>
          <w:rFonts w:hint="cs"/>
          <w:rtl/>
        </w:rPr>
        <w:t>1205-   وات</w:t>
      </w:r>
      <w:r>
        <w:rPr>
          <w:rtl/>
        </w:rPr>
        <w:t xml:space="preserve">خذت وزارة التعليم وشؤون الشباب عدة تدابير لتشجيع </w:t>
      </w:r>
      <w:r>
        <w:rPr>
          <w:rFonts w:hint="cs"/>
          <w:rtl/>
        </w:rPr>
        <w:t xml:space="preserve">نشر </w:t>
      </w:r>
      <w:r>
        <w:rPr>
          <w:rtl/>
        </w:rPr>
        <w:t>المعلومات عن ال</w:t>
      </w:r>
      <w:r>
        <w:rPr>
          <w:rtl/>
        </w:rPr>
        <w:t>تقدم العلمي وفقا لسياسة حكومة</w:t>
      </w:r>
      <w:r>
        <w:rPr>
          <w:rFonts w:hint="cs"/>
          <w:rtl/>
        </w:rPr>
        <w:t xml:space="preserve"> منطقة </w:t>
      </w:r>
      <w:r>
        <w:rPr>
          <w:rtl/>
        </w:rPr>
        <w:t>ماك</w:t>
      </w:r>
      <w:r>
        <w:rPr>
          <w:rFonts w:hint="cs"/>
          <w:rtl/>
        </w:rPr>
        <w:t>ا</w:t>
      </w:r>
      <w:r>
        <w:rPr>
          <w:rtl/>
        </w:rPr>
        <w:t>و الإد</w:t>
      </w:r>
      <w:r>
        <w:rPr>
          <w:rFonts w:hint="cs"/>
          <w:rtl/>
        </w:rPr>
        <w:t>ارية الخاصة لمساعدة الشباب بجِد على توسيع مداركهم وزيادة معرفتهم العلمية العامة، لا سيما من خلال رعاية جمعيات الشباب لتنصيب أجهزة الحاسوب. ومن خلال ذلك العمل، تضمن وزارة التعليم وشؤون الشباب وصول الشباب إلى أجه</w:t>
      </w:r>
      <w:r>
        <w:rPr>
          <w:rFonts w:hint="cs"/>
          <w:rtl/>
        </w:rPr>
        <w:t>زة الحاسوب والربط بالإنترنت في مراكز تكنولوجيا المعلومات.</w:t>
      </w:r>
    </w:p>
    <w:p w:rsidR="00000000" w:rsidRDefault="00443EC1">
      <w:pPr>
        <w:spacing w:line="380" w:lineRule="exact"/>
        <w:jc w:val="both"/>
        <w:rPr>
          <w:rFonts w:hint="cs"/>
          <w:rtl/>
        </w:rPr>
      </w:pPr>
      <w:r>
        <w:rPr>
          <w:rFonts w:hint="cs"/>
          <w:rtl/>
        </w:rPr>
        <w:t>1206-   وعلاوة على ذلك، نُظم في ماكاو المؤتمر الوطني الرابع لتعليم الحوسبة وفيزياء الشبكة من 6 إلى 11 تشرين الثاني/نوفمبر 2002، بالإضافة إلى حلقات العمل والمعارض مثل "الأبعاد المتعددة لسلسلة حلقة ال</w:t>
      </w:r>
      <w:r>
        <w:rPr>
          <w:rFonts w:hint="cs"/>
          <w:rtl/>
        </w:rPr>
        <w:t>عمل على الإنترنت".</w:t>
      </w:r>
    </w:p>
    <w:p w:rsidR="00000000" w:rsidRDefault="00443EC1">
      <w:pPr>
        <w:spacing w:line="380" w:lineRule="exact"/>
        <w:jc w:val="both"/>
        <w:rPr>
          <w:rFonts w:hint="cs"/>
          <w:rtl/>
        </w:rPr>
      </w:pPr>
      <w:r>
        <w:rPr>
          <w:rFonts w:hint="cs"/>
          <w:rtl/>
        </w:rPr>
        <w:t>1207-   و</w:t>
      </w:r>
      <w:r>
        <w:rPr>
          <w:rtl/>
        </w:rPr>
        <w:t>باختصار، تقدم جامعة ماكاو</w:t>
      </w:r>
      <w:r>
        <w:rPr>
          <w:rFonts w:hint="cs"/>
          <w:rtl/>
        </w:rPr>
        <w:t>،</w:t>
      </w:r>
      <w:r>
        <w:rPr>
          <w:rtl/>
        </w:rPr>
        <w:t xml:space="preserve"> على مستوى تعليمي أعلى، </w:t>
      </w:r>
      <w:r>
        <w:rPr>
          <w:rFonts w:hint="cs"/>
          <w:rtl/>
        </w:rPr>
        <w:t>دورة دراسية في العلم والتكنولوجيا بينما تقدم جامعة ماكاو للعلم والتكنولوجيا دورة دراسية في تكنولوجيا المعلومات ودورة دراسية في الطب الصيني. وتقدم كلتاهما برامج للدراسات العليا. و</w:t>
      </w:r>
      <w:r>
        <w:rPr>
          <w:rFonts w:hint="cs"/>
          <w:rtl/>
        </w:rPr>
        <w:t>يشتمل المعهد المتعدد التخصصات على مدرسة لعلوم الصحة من بين مدارس أخرى. وهناك أيضا مدرسة كيانغ وو للتمريض.</w:t>
      </w:r>
    </w:p>
    <w:p w:rsidR="00000000" w:rsidRDefault="00443EC1">
      <w:pPr>
        <w:spacing w:line="380" w:lineRule="exact"/>
        <w:jc w:val="both"/>
        <w:rPr>
          <w:rFonts w:hint="cs"/>
          <w:rtl/>
        </w:rPr>
      </w:pPr>
      <w:r>
        <w:rPr>
          <w:rFonts w:hint="cs"/>
          <w:rtl/>
        </w:rPr>
        <w:t>1208-   وتشكل المقالات والمؤلفات في مجال الأبحاث كذلك عناصر هامة من عناصر ترويج المعرفة العلمية والتكنولوجية ونشرها. ويشجع عدد من الهيئات الحكومية وال</w:t>
      </w:r>
      <w:r>
        <w:rPr>
          <w:rFonts w:hint="cs"/>
          <w:rtl/>
        </w:rPr>
        <w:t>مؤسسات الخاصة في المنطقة التحري العلمي والتكنولوجي.</w:t>
      </w:r>
    </w:p>
    <w:p w:rsidR="00000000" w:rsidRDefault="00443EC1">
      <w:pPr>
        <w:spacing w:line="380" w:lineRule="exact"/>
        <w:jc w:val="both"/>
        <w:rPr>
          <w:rFonts w:hint="cs"/>
          <w:rtl/>
        </w:rPr>
      </w:pPr>
      <w:r>
        <w:rPr>
          <w:rFonts w:hint="cs"/>
          <w:rtl/>
        </w:rPr>
        <w:t xml:space="preserve">1209-   </w:t>
      </w:r>
      <w:r>
        <w:rPr>
          <w:rtl/>
        </w:rPr>
        <w:t xml:space="preserve">ففي العام الدراسي، </w:t>
      </w:r>
      <w:r>
        <w:rPr>
          <w:rFonts w:hint="cs"/>
          <w:rtl/>
        </w:rPr>
        <w:t xml:space="preserve">2001-2002، مثلا، قامت جامعة ماكاو برعاية مشاريع بحث بلغ مجموع عددها 74 بحثا نُشر منها 60 بحثا في مجلات دولية متخصصة، وقدم فيها 140 عرضا في مؤتمرات دولية. وفي النصف الأول من عام </w:t>
      </w:r>
      <w:r>
        <w:rPr>
          <w:rFonts w:hint="cs"/>
          <w:rtl/>
        </w:rPr>
        <w:t>2002، رعت الجامعة 32 مشروعا بحثيا و39 مشاركة في مؤتمرات دولية. وللجامعة مشاريع مشتركة مع جامعة واشنطن ومع مؤسسات في أوروبا وفي الصين القارية بعد أن أكملت أربعة مشاريع تحمل اسم "أوريكا".</w:t>
      </w:r>
    </w:p>
    <w:p w:rsidR="00000000" w:rsidRDefault="00443EC1">
      <w:pPr>
        <w:spacing w:line="380" w:lineRule="exact"/>
        <w:jc w:val="center"/>
        <w:rPr>
          <w:rFonts w:hint="cs"/>
          <w:b/>
          <w:bCs/>
          <w:rtl/>
        </w:rPr>
      </w:pPr>
      <w:r>
        <w:rPr>
          <w:rFonts w:hint="cs"/>
          <w:b/>
          <w:bCs/>
          <w:rtl/>
        </w:rPr>
        <w:t>هاء - الملكية الفكرية</w:t>
      </w:r>
    </w:p>
    <w:p w:rsidR="00000000" w:rsidRDefault="00443EC1">
      <w:pPr>
        <w:spacing w:line="380" w:lineRule="exact"/>
        <w:jc w:val="both"/>
        <w:rPr>
          <w:rFonts w:hint="cs"/>
          <w:rtl/>
        </w:rPr>
      </w:pPr>
      <w:r>
        <w:rPr>
          <w:rFonts w:hint="cs"/>
          <w:rtl/>
        </w:rPr>
        <w:t>1210-   إن الحق في حماية المصالح المعنوية والماد</w:t>
      </w:r>
      <w:r>
        <w:rPr>
          <w:rFonts w:hint="cs"/>
          <w:rtl/>
        </w:rPr>
        <w:t>ية الناشئة عن عمل علمي أو أدبي أو فني محفوظ بمقتضى الفقرة 2 من المادة 125 من القانون الأساسي.</w:t>
      </w:r>
    </w:p>
    <w:p w:rsidR="00000000" w:rsidRDefault="00443EC1">
      <w:pPr>
        <w:spacing w:line="380" w:lineRule="exact"/>
        <w:jc w:val="both"/>
        <w:rPr>
          <w:rFonts w:hint="cs"/>
          <w:rtl/>
        </w:rPr>
      </w:pPr>
      <w:r>
        <w:rPr>
          <w:rFonts w:hint="cs"/>
          <w:rtl/>
        </w:rPr>
        <w:t>1211-   و</w:t>
      </w:r>
      <w:r>
        <w:rPr>
          <w:rtl/>
        </w:rPr>
        <w:t>يح</w:t>
      </w:r>
      <w:r>
        <w:rPr>
          <w:rFonts w:hint="cs"/>
          <w:rtl/>
        </w:rPr>
        <w:t>مي</w:t>
      </w:r>
      <w:r>
        <w:rPr>
          <w:rtl/>
        </w:rPr>
        <w:t xml:space="preserve"> النظام القانوني في ماكاو الملكية الفكرية حماية تامة. </w:t>
      </w:r>
      <w:r>
        <w:rPr>
          <w:rFonts w:hint="cs"/>
          <w:rtl/>
        </w:rPr>
        <w:t>والواقع أن القانون ذا الصلة قد وُضع وفقا للمعايير الدولية العصرية إذ أن ماكاو عضو أصلي تام العض</w:t>
      </w:r>
      <w:r>
        <w:rPr>
          <w:rFonts w:hint="cs"/>
          <w:rtl/>
        </w:rPr>
        <w:t>وية في منظمة التجارة العالمية وهي تلتزم التزاما كاملا بالاتفاق المتعلق بجوانب الملكية الفكرية المتصلة بالتجارة.</w:t>
      </w:r>
    </w:p>
    <w:p w:rsidR="00000000" w:rsidRDefault="00443EC1">
      <w:pPr>
        <w:spacing w:line="380" w:lineRule="exact"/>
        <w:jc w:val="both"/>
        <w:rPr>
          <w:rFonts w:hint="cs"/>
          <w:rtl/>
        </w:rPr>
      </w:pPr>
      <w:r>
        <w:rPr>
          <w:rFonts w:hint="cs"/>
          <w:rtl/>
        </w:rPr>
        <w:t>1212-   و</w:t>
      </w:r>
      <w:r>
        <w:rPr>
          <w:rtl/>
        </w:rPr>
        <w:t xml:space="preserve">تحكم الإطار القانوني للملكية الفكرية عدة قوانين. </w:t>
      </w:r>
      <w:r>
        <w:rPr>
          <w:rFonts w:hint="cs"/>
          <w:rtl/>
        </w:rPr>
        <w:t>فقد تنبأ القانون بمرسوم 43/99/م الصادر في 16 آب/أغسطس بحماية حقوق المؤلف بينما يقِيم ا</w:t>
      </w:r>
      <w:r>
        <w:rPr>
          <w:rFonts w:hint="cs"/>
          <w:rtl/>
        </w:rPr>
        <w:t>لقانون بمرسوم 97/99/م الصادر في 13 كانون الأول/ديسمبر نظاما للملكية الصناعية، وتحكم المواد من 156 إلى 173 من القانون التجاري الجاري العمل به في مقاطعة ماكاو الإدارية الخاصة قواعد المنافسة وحقوق المستهلك.</w:t>
      </w:r>
    </w:p>
    <w:p w:rsidR="00000000" w:rsidRDefault="00443EC1">
      <w:pPr>
        <w:spacing w:line="380" w:lineRule="exact"/>
        <w:jc w:val="both"/>
        <w:rPr>
          <w:rFonts w:hint="cs"/>
          <w:rtl/>
        </w:rPr>
      </w:pPr>
      <w:r>
        <w:rPr>
          <w:rFonts w:hint="cs"/>
          <w:rtl/>
        </w:rPr>
        <w:t xml:space="preserve">1213-   </w:t>
      </w:r>
      <w:r>
        <w:rPr>
          <w:rtl/>
        </w:rPr>
        <w:t>كما ت</w:t>
      </w:r>
      <w:r>
        <w:rPr>
          <w:rFonts w:hint="cs"/>
          <w:rtl/>
        </w:rPr>
        <w:t>ُفرض</w:t>
      </w:r>
      <w:r>
        <w:rPr>
          <w:rtl/>
        </w:rPr>
        <w:t xml:space="preserve"> الحماية الفعلية للملكية الفكرية </w:t>
      </w:r>
      <w:r>
        <w:rPr>
          <w:rFonts w:hint="cs"/>
          <w:rtl/>
        </w:rPr>
        <w:t>بو</w:t>
      </w:r>
      <w:r>
        <w:rPr>
          <w:rFonts w:hint="cs"/>
          <w:rtl/>
        </w:rPr>
        <w:t>اسطة العقوبات الإدارية والجنائية المنصوص عليها مثلا في المواد من 215 إلى 218 من المرسوم بقانون 43/99/م (المتعلق بحقوق المؤلف) وفي المواد من 299 إلى 304 من المرسوم بقانون 97/99/م (المتعلق بالملكية الصناعية).</w:t>
      </w:r>
    </w:p>
    <w:p w:rsidR="00000000" w:rsidRDefault="00443EC1">
      <w:pPr>
        <w:spacing w:line="380" w:lineRule="exact"/>
        <w:jc w:val="both"/>
        <w:rPr>
          <w:rFonts w:hint="cs"/>
          <w:rtl/>
        </w:rPr>
      </w:pPr>
      <w:r>
        <w:rPr>
          <w:rFonts w:hint="cs"/>
          <w:rtl/>
        </w:rPr>
        <w:t>1214-   وقد شهدت مكافحة انتهاكات حقوق الملكية ولا</w:t>
      </w:r>
      <w:r>
        <w:rPr>
          <w:rFonts w:hint="cs"/>
          <w:rtl/>
        </w:rPr>
        <w:t xml:space="preserve"> سيما القرصنة والتزييف تعزيزا في السنوات الأخيرة. وأوكلت هذه المهمة مؤخرا إلى مصلحة الجمارك في حكومة مقاطعة ماكاو الإدارية الخاصة التي أبلت بلاء حسنا في هذا المضمار.</w:t>
      </w:r>
    </w:p>
    <w:p w:rsidR="00000000" w:rsidRDefault="00443EC1">
      <w:pPr>
        <w:spacing w:line="380" w:lineRule="exact"/>
        <w:jc w:val="both"/>
        <w:rPr>
          <w:rFonts w:hint="cs"/>
          <w:rtl/>
        </w:rPr>
      </w:pPr>
    </w:p>
    <w:p w:rsidR="00000000" w:rsidRDefault="00443EC1">
      <w:pPr>
        <w:spacing w:line="380" w:lineRule="exact"/>
        <w:jc w:val="both"/>
        <w:rPr>
          <w:rFonts w:hint="cs"/>
          <w:rtl/>
        </w:rPr>
      </w:pPr>
    </w:p>
    <w:p w:rsidR="00000000" w:rsidRDefault="00443EC1">
      <w:pPr>
        <w:spacing w:line="380" w:lineRule="exact"/>
        <w:jc w:val="center"/>
        <w:rPr>
          <w:rFonts w:hint="cs"/>
          <w:b/>
          <w:bCs/>
          <w:rtl/>
        </w:rPr>
      </w:pPr>
      <w:r>
        <w:rPr>
          <w:rFonts w:hint="cs"/>
          <w:b/>
          <w:bCs/>
          <w:rtl/>
        </w:rPr>
        <w:t xml:space="preserve">واو - التدابير المتخذة لتطوير الاتصالات وعلاقات التعاون الدولية </w:t>
      </w:r>
    </w:p>
    <w:p w:rsidR="00000000" w:rsidRDefault="00443EC1">
      <w:pPr>
        <w:spacing w:line="380" w:lineRule="exact"/>
        <w:jc w:val="both"/>
        <w:rPr>
          <w:rFonts w:hint="cs"/>
          <w:rtl/>
        </w:rPr>
      </w:pPr>
      <w:r>
        <w:rPr>
          <w:rFonts w:hint="cs"/>
          <w:rtl/>
        </w:rPr>
        <w:t>1215-   في شهر شباط/فبر</w:t>
      </w:r>
      <w:r>
        <w:rPr>
          <w:rFonts w:hint="cs"/>
          <w:rtl/>
        </w:rPr>
        <w:t>اير 2002، قُدم اقتراح رسمي إلى قائمة اليونسكو للتراث العالمي يتعلق بطريق حضرية تربط ما بين المرفأ الداخلي الصيني القديم ومركز المدينة المسيحية العتيقة (12 أثرا تاريخيا) في ماكاو. وتحتل المواقع الأثرية في ماكاو في الوقت الراهن صدارة القائمة الاحتياطية بالمو</w:t>
      </w:r>
      <w:r>
        <w:rPr>
          <w:rFonts w:hint="cs"/>
          <w:rtl/>
        </w:rPr>
        <w:t>اقع الصينية التي تنتظر التقييم من قبل اليونسكو.</w:t>
      </w:r>
    </w:p>
    <w:p w:rsidR="00000000" w:rsidRDefault="00443EC1">
      <w:pPr>
        <w:spacing w:line="380" w:lineRule="exact"/>
        <w:jc w:val="both"/>
        <w:rPr>
          <w:rFonts w:hint="cs"/>
          <w:rtl/>
        </w:rPr>
      </w:pPr>
      <w:r>
        <w:rPr>
          <w:rFonts w:hint="cs"/>
          <w:rtl/>
        </w:rPr>
        <w:t>1216-   و</w:t>
      </w:r>
      <w:r>
        <w:rPr>
          <w:rtl/>
        </w:rPr>
        <w:t xml:space="preserve">تشارك </w:t>
      </w:r>
      <w:r>
        <w:rPr>
          <w:rFonts w:hint="cs"/>
          <w:rtl/>
        </w:rPr>
        <w:t xml:space="preserve">مقاطعة </w:t>
      </w:r>
      <w:r>
        <w:rPr>
          <w:rtl/>
        </w:rPr>
        <w:t xml:space="preserve">ماكاو الإدارية الخاصة في العديد من المنظمات الدولية مثل المنظمة الدولية للسياحة </w:t>
      </w:r>
      <w:r>
        <w:rPr>
          <w:rFonts w:hint="cs"/>
          <w:rtl/>
        </w:rPr>
        <w:t>والجمعية الدولية لتنظيم المؤتمرات والاجتماعات ومجموعة العمل للتعاون الاقتصادي لآسيا والمحيط الهادئ والاتحا</w:t>
      </w:r>
      <w:r>
        <w:rPr>
          <w:rFonts w:hint="cs"/>
          <w:rtl/>
        </w:rPr>
        <w:t>د الدولي لرابطات ومؤسسات المكتبات ومجلس المتاحف الدولي.</w:t>
      </w:r>
    </w:p>
    <w:p w:rsidR="00000000" w:rsidRDefault="00443EC1">
      <w:pPr>
        <w:spacing w:line="380" w:lineRule="exact"/>
        <w:jc w:val="both"/>
        <w:rPr>
          <w:rFonts w:hint="cs"/>
          <w:rtl/>
        </w:rPr>
      </w:pPr>
      <w:r>
        <w:rPr>
          <w:rFonts w:hint="cs"/>
          <w:rtl/>
        </w:rPr>
        <w:t xml:space="preserve">1217-   وتتلقى الأطراف المعنية من علماء وكتّاب وفنانين وغيرهم من الأطراف الضالعة في البحث العلمي أو في أي نشاط إبداعي دعوات متكررة من سلطات مقاطعة ماكاو الإدارية الخاصة للمشاركة في المؤتمرات والحلقات </w:t>
      </w:r>
      <w:r>
        <w:rPr>
          <w:rFonts w:hint="cs"/>
          <w:rtl/>
        </w:rPr>
        <w:t>الدراسية والندوات واللقاءات والمنتديات العلمية والثقافية.</w:t>
      </w:r>
    </w:p>
    <w:p w:rsidR="00000000" w:rsidRDefault="00443EC1">
      <w:pPr>
        <w:spacing w:line="380" w:lineRule="exact"/>
        <w:jc w:val="both"/>
        <w:rPr>
          <w:rFonts w:hint="cs"/>
          <w:rtl/>
        </w:rPr>
      </w:pPr>
      <w:r>
        <w:rPr>
          <w:rFonts w:hint="cs"/>
          <w:rtl/>
        </w:rPr>
        <w:t>1218-   و</w:t>
      </w:r>
      <w:r>
        <w:rPr>
          <w:rtl/>
        </w:rPr>
        <w:t xml:space="preserve">يحظى دور الجمعيات في مجال التعليم والعلم والتكنولوجيا والثقافة ووسائط الإعلام بالاعتراف بموجب القانون الأساسي. </w:t>
      </w:r>
      <w:r>
        <w:rPr>
          <w:rFonts w:hint="cs"/>
          <w:rtl/>
        </w:rPr>
        <w:t xml:space="preserve">وبإمكان الجمعيات إقامة وتطوير علاقات مع نظيراتها في البلدان والمناطق الأجنبية </w:t>
      </w:r>
      <w:r>
        <w:rPr>
          <w:rFonts w:hint="cs"/>
          <w:rtl/>
        </w:rPr>
        <w:t>ومع المنظمات الدولية ذات الصلة تنبني على مبادئ عدم الخضوع وعدم التدخل والاحترام المتبادل (المادتان 133</w:t>
      </w:r>
      <w:r>
        <w:rPr>
          <w:rtl/>
        </w:rPr>
        <w:br/>
      </w:r>
      <w:r>
        <w:rPr>
          <w:rFonts w:hint="cs"/>
          <w:rtl/>
        </w:rPr>
        <w:t>و134 من القانون الأساسي).</w:t>
      </w:r>
    </w:p>
    <w:p w:rsidR="00000000" w:rsidRDefault="00443EC1">
      <w:pPr>
        <w:spacing w:line="380" w:lineRule="exact"/>
        <w:jc w:val="center"/>
        <w:rPr>
          <w:rFonts w:hint="cs"/>
          <w:b/>
          <w:bCs/>
          <w:rtl/>
        </w:rPr>
      </w:pPr>
      <w:r>
        <w:rPr>
          <w:rFonts w:hint="cs"/>
          <w:b/>
          <w:bCs/>
          <w:rtl/>
        </w:rPr>
        <w:t>الحواشي</w:t>
      </w:r>
    </w:p>
    <w:p w:rsidR="00000000" w:rsidRDefault="00443EC1">
      <w:pPr>
        <w:spacing w:line="380" w:lineRule="exact"/>
        <w:jc w:val="both"/>
        <w:rPr>
          <w:rFonts w:hint="cs"/>
          <w:rtl/>
          <w:lang w:eastAsia="en-US"/>
        </w:rPr>
      </w:pPr>
      <w:r>
        <w:rPr>
          <w:rFonts w:hint="cs"/>
          <w:rtl/>
        </w:rPr>
        <w:tab/>
        <w:t>(1)</w:t>
      </w:r>
      <w:r>
        <w:rPr>
          <w:rFonts w:hint="cs"/>
          <w:rtl/>
        </w:rPr>
        <w:tab/>
      </w:r>
      <w:r>
        <w:rPr>
          <w:rFonts w:hint="cs"/>
          <w:rtl/>
          <w:lang w:eastAsia="en-US"/>
        </w:rPr>
        <w:t>تشير خطة "هندسة البذور" إلى برنامج رئيسي للهندسة الزراعية مطبق منذ الخطة الخماسية التاسعة. وتتخلص أهدافها في وضع ن</w:t>
      </w:r>
      <w:r>
        <w:rPr>
          <w:rFonts w:hint="cs"/>
          <w:rtl/>
          <w:lang w:eastAsia="en-US"/>
        </w:rPr>
        <w:t>ظام عصري لإنتاج البذور يدار علمياً سينجم عنه إنتاج متخصص للبذور وإدارة تجارية موحدة واعتبار البذور المستعملة في العمليات الزراعية الكبرى سلعة أساسية.</w:t>
      </w:r>
    </w:p>
    <w:p w:rsidR="00000000" w:rsidRDefault="00443EC1">
      <w:pPr>
        <w:spacing w:line="380" w:lineRule="exact"/>
        <w:jc w:val="both"/>
        <w:rPr>
          <w:rFonts w:hint="cs"/>
          <w:rtl/>
          <w:lang w:eastAsia="en-US"/>
        </w:rPr>
      </w:pPr>
      <w:r>
        <w:rPr>
          <w:rFonts w:hint="cs"/>
          <w:rtl/>
          <w:lang w:eastAsia="en-US"/>
        </w:rPr>
        <w:tab/>
        <w:t>(2)</w:t>
      </w:r>
      <w:r>
        <w:rPr>
          <w:rFonts w:hint="cs"/>
          <w:rtl/>
          <w:lang w:eastAsia="en-US"/>
        </w:rPr>
        <w:tab/>
        <w:t>هذه الطرق السريعة الإثنتا عشرة هي: تونغجلانغ - سانيا، بكين - دجوخاي، تشونغسينغ - جانجلانغ، بكين - فود</w:t>
      </w:r>
      <w:r>
        <w:rPr>
          <w:rFonts w:hint="cs"/>
          <w:rtl/>
          <w:lang w:eastAsia="en-US"/>
        </w:rPr>
        <w:t>جو، إرليان خاوت - خوكو، ليانيوغانغ - خووإيرغووس، شانغهاي - تشينغدو، شانغهاي - روللي، خينغيانغ - كونمينغ، سينغداو - ينتشوان، داندونغ - لاسا، سويفينخ - ماندجولي.</w:t>
      </w:r>
    </w:p>
    <w:p w:rsidR="00000000" w:rsidRDefault="00443EC1">
      <w:pPr>
        <w:spacing w:line="380" w:lineRule="exact"/>
        <w:jc w:val="both"/>
        <w:rPr>
          <w:rFonts w:hint="cs"/>
          <w:rtl/>
          <w:lang w:eastAsia="en-US"/>
        </w:rPr>
      </w:pPr>
      <w:r>
        <w:rPr>
          <w:rFonts w:hint="cs"/>
          <w:rtl/>
          <w:lang w:eastAsia="en-US"/>
        </w:rPr>
        <w:tab/>
        <w:t>(3)</w:t>
      </w:r>
      <w:r>
        <w:rPr>
          <w:rFonts w:hint="cs"/>
          <w:rtl/>
          <w:lang w:eastAsia="en-US"/>
        </w:rPr>
        <w:tab/>
      </w:r>
      <w:r>
        <w:rPr>
          <w:rFonts w:hint="cs"/>
          <w:spacing w:val="0"/>
          <w:rtl/>
          <w:lang w:eastAsia="en-US"/>
        </w:rPr>
        <w:t>هذه هي أولى الطرق السريعة التي ستستكمل من بين ما يرد في الخطة الأصلية "</w:t>
      </w:r>
      <w:r>
        <w:rPr>
          <w:spacing w:val="0"/>
          <w:szCs w:val="22"/>
          <w:lang w:eastAsia="en-US"/>
        </w:rPr>
        <w:t>5</w:t>
      </w:r>
      <w:r>
        <w:rPr>
          <w:szCs w:val="22"/>
          <w:lang w:eastAsia="en-US"/>
        </w:rPr>
        <w:t xml:space="preserve"> Down 3 Across</w:t>
      </w:r>
      <w:r>
        <w:rPr>
          <w:rFonts w:hint="cs"/>
          <w:rtl/>
          <w:lang w:eastAsia="en-US"/>
        </w:rPr>
        <w:t>". وا</w:t>
      </w:r>
      <w:r>
        <w:rPr>
          <w:rFonts w:hint="cs"/>
          <w:rtl/>
          <w:lang w:eastAsia="en-US"/>
        </w:rPr>
        <w:t>لطرق العاملة حالياً في الاتجاه شمال - جنوب هي: تونغجلانغ - سانيا، بكين - دجوخاي، تشونغسينغ - جانجلانغ؛ والطرق العاملة في الاتجاه شرق - غرب هي: شانغهاي - تشينغدو، ليانيوغانغ - خووإيرغووس.</w:t>
      </w:r>
    </w:p>
    <w:p w:rsidR="00000000" w:rsidRDefault="00443EC1">
      <w:pPr>
        <w:spacing w:line="380" w:lineRule="exact"/>
        <w:jc w:val="both"/>
        <w:rPr>
          <w:rStyle w:val="FootnoteReference"/>
          <w:rFonts w:hint="cs"/>
          <w:bCs w:val="0"/>
          <w:vertAlign w:val="baseline"/>
          <w:rtl/>
        </w:rPr>
      </w:pPr>
      <w:r>
        <w:rPr>
          <w:rFonts w:hint="cs"/>
          <w:rtl/>
          <w:lang w:eastAsia="en-US"/>
        </w:rPr>
        <w:tab/>
        <w:t>(4)</w:t>
      </w:r>
      <w:r>
        <w:rPr>
          <w:rFonts w:hint="cs"/>
          <w:rtl/>
          <w:lang w:eastAsia="en-US"/>
        </w:rPr>
        <w:tab/>
        <w:t>"البرنامج 211" برنامج وضعته الحكومة لبناء 100 مدرسة للتعليم العا</w:t>
      </w:r>
      <w:r>
        <w:rPr>
          <w:rFonts w:hint="cs"/>
          <w:rtl/>
          <w:lang w:eastAsia="en-US"/>
        </w:rPr>
        <w:t>لي استعداداً لمتطلبات القرن الحادي والعشرين.</w:t>
      </w:r>
    </w:p>
    <w:p w:rsidR="00000000" w:rsidRDefault="00443EC1">
      <w:pPr>
        <w:spacing w:line="380" w:lineRule="exact"/>
        <w:jc w:val="both"/>
        <w:rPr>
          <w:rStyle w:val="FootnoteReference"/>
          <w:rFonts w:hint="cs"/>
          <w:bCs w:val="0"/>
          <w:vertAlign w:val="baseline"/>
          <w:rtl/>
        </w:rPr>
      </w:pPr>
      <w:r>
        <w:rPr>
          <w:rFonts w:hint="cs"/>
          <w:rtl/>
        </w:rPr>
        <w:tab/>
        <w:t>(5)</w:t>
      </w:r>
      <w:r>
        <w:rPr>
          <w:rFonts w:hint="cs"/>
          <w:rtl/>
        </w:rPr>
        <w:tab/>
        <w:t>"البلدات المنظمة" هي المدن التي أحدثت بموجب ولاية إدارية وطنية.</w:t>
      </w:r>
    </w:p>
    <w:p w:rsidR="00000000" w:rsidRDefault="00443EC1">
      <w:pPr>
        <w:spacing w:line="380" w:lineRule="exact"/>
        <w:jc w:val="both"/>
        <w:rPr>
          <w:rFonts w:hint="cs"/>
          <w:rtl/>
        </w:rPr>
      </w:pPr>
      <w:r>
        <w:rPr>
          <w:rFonts w:hint="cs"/>
          <w:rtl/>
        </w:rPr>
        <w:tab/>
        <w:t>(6)</w:t>
      </w:r>
      <w:r>
        <w:rPr>
          <w:rFonts w:hint="cs"/>
          <w:rtl/>
        </w:rPr>
        <w:tab/>
        <w:t>"البلدات الواقعة على مشارف المدن" هي "بلدات منظَّمة" على أراضٍ إقليمية مملوكة للدولة.</w:t>
      </w:r>
    </w:p>
    <w:p w:rsidR="00000000" w:rsidRDefault="00443EC1">
      <w:pPr>
        <w:spacing w:line="380" w:lineRule="exact"/>
        <w:jc w:val="both"/>
        <w:rPr>
          <w:rFonts w:hint="cs"/>
          <w:rtl/>
        </w:rPr>
      </w:pPr>
      <w:r>
        <w:rPr>
          <w:rFonts w:hint="cs"/>
          <w:rtl/>
        </w:rPr>
        <w:tab/>
        <w:t>(7)</w:t>
      </w:r>
      <w:r>
        <w:rPr>
          <w:rFonts w:hint="cs"/>
          <w:rtl/>
        </w:rPr>
        <w:tab/>
        <w:t>يقصد بالإشارات إلى "التقرير الأولي" التي ترد ه</w:t>
      </w:r>
      <w:r>
        <w:rPr>
          <w:rFonts w:hint="cs"/>
          <w:rtl/>
        </w:rPr>
        <w:t>نا وفي هذا التقرير برمته تقرير منطقة هونغ كونغ الإدارية الخاصة الذي قدمته الحكومة المركزية لجمهورية الصين الشعبية في حزيران/يونيه 1999 ونظرت فيه اللجنة في نيسان/أبريل 2001.</w:t>
      </w:r>
    </w:p>
    <w:p w:rsidR="00000000" w:rsidRDefault="00443EC1">
      <w:pPr>
        <w:spacing w:line="380" w:lineRule="exact"/>
        <w:jc w:val="both"/>
        <w:rPr>
          <w:rFonts w:hint="cs"/>
          <w:rtl/>
        </w:rPr>
      </w:pPr>
      <w:r>
        <w:rPr>
          <w:rFonts w:hint="cs"/>
          <w:rtl/>
        </w:rPr>
        <w:tab/>
        <w:t>(8)</w:t>
      </w:r>
      <w:r>
        <w:rPr>
          <w:rFonts w:hint="cs"/>
          <w:rtl/>
        </w:rPr>
        <w:tab/>
        <w:t>مثال ذلك قانون الجنايات (التعذيب) (الفصل 427 من قوانين منطقة هونغ كونغ الإداري</w:t>
      </w:r>
      <w:r>
        <w:rPr>
          <w:rFonts w:hint="cs"/>
          <w:rtl/>
        </w:rPr>
        <w:t>ة الخاصة) الذي سن لتنفيذ أحكام اتفاقية مناهضة التعذيب وغيره من ضروب المعاملة أو العقوبة القاسية أو اللاإنسانية أو المهينة في هونغ كونغ.</w:t>
      </w:r>
    </w:p>
    <w:p w:rsidR="00000000" w:rsidRDefault="00443EC1">
      <w:pPr>
        <w:spacing w:line="380" w:lineRule="exact"/>
        <w:jc w:val="both"/>
        <w:rPr>
          <w:rFonts w:hint="cs"/>
          <w:rtl/>
        </w:rPr>
      </w:pPr>
      <w:r>
        <w:rPr>
          <w:rFonts w:hint="cs"/>
          <w:rtl/>
        </w:rPr>
        <w:tab/>
        <w:t>(9)</w:t>
      </w:r>
      <w:r>
        <w:rPr>
          <w:rFonts w:hint="cs"/>
          <w:rtl/>
        </w:rPr>
        <w:tab/>
        <w:t xml:space="preserve">البنود الثلاثة هي: </w:t>
      </w:r>
    </w:p>
    <w:p w:rsidR="00000000" w:rsidRDefault="00443EC1">
      <w:pPr>
        <w:spacing w:line="380" w:lineRule="exact"/>
        <w:jc w:val="both"/>
        <w:rPr>
          <w:rFonts w:hint="cs"/>
          <w:rtl/>
        </w:rPr>
      </w:pPr>
      <w:r>
        <w:rPr>
          <w:rFonts w:hint="cs"/>
          <w:rtl/>
        </w:rPr>
        <w:tab/>
        <w:t>(أ)</w:t>
      </w:r>
      <w:r>
        <w:rPr>
          <w:rFonts w:hint="cs"/>
          <w:rtl/>
        </w:rPr>
        <w:tab/>
        <w:t xml:space="preserve">البند 2(3): "يولى الاعتبار، عند تفسير وتطبيق هذا القانون، إلى كون الغرض منه يكمن في إدراج </w:t>
      </w:r>
      <w:r>
        <w:rPr>
          <w:rFonts w:hint="cs"/>
          <w:rtl/>
        </w:rPr>
        <w:t>أحكام العهد الدولي الخاص بالحقوق المدنية والسياسية كما تطبق على هونغ كونغ وما يتبع لها ويتصل بها من مسائل، في قانونها المحلي".</w:t>
      </w:r>
    </w:p>
    <w:p w:rsidR="00000000" w:rsidRDefault="00443EC1">
      <w:pPr>
        <w:spacing w:line="380" w:lineRule="exact"/>
        <w:jc w:val="both"/>
        <w:rPr>
          <w:rFonts w:hint="cs"/>
          <w:rtl/>
        </w:rPr>
      </w:pPr>
      <w:r>
        <w:rPr>
          <w:rFonts w:hint="cs"/>
          <w:rtl/>
        </w:rPr>
        <w:tab/>
        <w:t>(ب)</w:t>
      </w:r>
      <w:r>
        <w:rPr>
          <w:rFonts w:hint="cs"/>
          <w:rtl/>
        </w:rPr>
        <w:tab/>
        <w:t>البند 3: "الأثر على التشريعات الموجودة سابقاً -</w:t>
      </w:r>
    </w:p>
    <w:p w:rsidR="00000000" w:rsidRDefault="00443EC1">
      <w:pPr>
        <w:spacing w:line="380" w:lineRule="exact"/>
        <w:jc w:val="both"/>
        <w:rPr>
          <w:rFonts w:hint="cs"/>
          <w:rtl/>
        </w:rPr>
      </w:pPr>
      <w:r>
        <w:rPr>
          <w:rFonts w:hint="cs"/>
          <w:rtl/>
        </w:rPr>
        <w:tab/>
        <w:t>(1)</w:t>
      </w:r>
      <w:r>
        <w:rPr>
          <w:rFonts w:hint="cs"/>
          <w:rtl/>
        </w:rPr>
        <w:tab/>
        <w:t>ُتمنح جميع التشريعات الموجودة سابقاً التي تقبل تفسيراً يتمشى مع هذا الق</w:t>
      </w:r>
      <w:r>
        <w:rPr>
          <w:rFonts w:hint="cs"/>
          <w:rtl/>
        </w:rPr>
        <w:t xml:space="preserve">انون مثل هذا التفسير. </w:t>
      </w:r>
    </w:p>
    <w:p w:rsidR="00000000" w:rsidRDefault="00443EC1">
      <w:pPr>
        <w:spacing w:line="380" w:lineRule="exact"/>
        <w:ind w:left="1434" w:hanging="720"/>
        <w:jc w:val="both"/>
        <w:rPr>
          <w:rFonts w:hint="cs"/>
          <w:rtl/>
        </w:rPr>
      </w:pPr>
      <w:r>
        <w:rPr>
          <w:rFonts w:hint="cs"/>
          <w:rtl/>
        </w:rPr>
        <w:t>(2)</w:t>
      </w:r>
      <w:r>
        <w:rPr>
          <w:rFonts w:hint="cs"/>
          <w:rtl/>
        </w:rPr>
        <w:tab/>
        <w:t>تُلغى جميع التشريعات الموجودة سابقاً التي لا تقبل تفسيراً يتمشى مع هذا القانون، وذلك بقدر تعارضها معه".</w:t>
      </w:r>
    </w:p>
    <w:p w:rsidR="00000000" w:rsidRDefault="00443EC1">
      <w:pPr>
        <w:spacing w:line="380" w:lineRule="exact"/>
        <w:jc w:val="both"/>
        <w:rPr>
          <w:rFonts w:hint="cs"/>
          <w:rtl/>
        </w:rPr>
      </w:pPr>
      <w:r>
        <w:rPr>
          <w:rFonts w:hint="cs"/>
          <w:rtl/>
        </w:rPr>
        <w:tab/>
        <w:t>(ج)</w:t>
      </w:r>
      <w:r>
        <w:rPr>
          <w:rFonts w:hint="cs"/>
          <w:rtl/>
        </w:rPr>
        <w:tab/>
        <w:t>البند 4: "تفسير التشريعات اللاحقة - تفسر جميع التشريعات التي تسن في أو بعد تاريخ البدء، بالقدر الذي تقبل فيه هذا التفسير</w:t>
      </w:r>
      <w:r>
        <w:rPr>
          <w:rFonts w:hint="cs"/>
          <w:rtl/>
        </w:rPr>
        <w:t>، على نحو لا يتعارض مع أحكام العهد الدولي الخاص بالحقوق المدنية والسياسية كما تطبق على هونغ كونغ".</w:t>
      </w:r>
    </w:p>
    <w:p w:rsidR="00000000" w:rsidRDefault="00443EC1">
      <w:pPr>
        <w:spacing w:line="380" w:lineRule="exact"/>
        <w:jc w:val="both"/>
        <w:rPr>
          <w:rFonts w:hint="cs"/>
          <w:rtl/>
        </w:rPr>
      </w:pPr>
      <w:r>
        <w:rPr>
          <w:rFonts w:hint="cs"/>
          <w:rtl/>
        </w:rPr>
        <w:tab/>
        <w:t>(10)</w:t>
      </w:r>
      <w:r>
        <w:rPr>
          <w:rFonts w:hint="cs"/>
          <w:rtl/>
        </w:rPr>
        <w:tab/>
        <w:t>كان يعرف في السابق بقانون مفوض الشكاوى الإدارية.</w:t>
      </w:r>
    </w:p>
    <w:p w:rsidR="00000000" w:rsidRDefault="00443EC1">
      <w:pPr>
        <w:spacing w:line="380" w:lineRule="exact"/>
        <w:jc w:val="left"/>
        <w:rPr>
          <w:rFonts w:hint="cs"/>
          <w:rtl/>
          <w:lang w:eastAsia="en-US"/>
        </w:rPr>
      </w:pPr>
      <w:r>
        <w:rPr>
          <w:rFonts w:hint="cs"/>
          <w:rtl/>
          <w:lang w:eastAsia="en-US"/>
        </w:rPr>
        <w:tab/>
        <w:t>(11)</w:t>
      </w:r>
      <w:r>
        <w:rPr>
          <w:rFonts w:hint="cs"/>
          <w:rtl/>
          <w:lang w:eastAsia="en-US"/>
        </w:rPr>
        <w:tab/>
        <w:t>الفرع 5 ألف ألف من قانون المساعدة القانونية (الفصل 91).</w:t>
      </w:r>
    </w:p>
    <w:p w:rsidR="00000000" w:rsidRDefault="00443EC1">
      <w:pPr>
        <w:spacing w:line="380" w:lineRule="exact"/>
        <w:jc w:val="both"/>
        <w:rPr>
          <w:rFonts w:hint="cs"/>
          <w:rtl/>
          <w:lang w:eastAsia="en-US"/>
        </w:rPr>
      </w:pPr>
      <w:r>
        <w:rPr>
          <w:rFonts w:hint="cs"/>
          <w:rtl/>
          <w:lang w:eastAsia="en-US"/>
        </w:rPr>
        <w:tab/>
        <w:t>(12)</w:t>
      </w:r>
      <w:r>
        <w:rPr>
          <w:rFonts w:hint="cs"/>
          <w:rtl/>
          <w:lang w:eastAsia="en-US"/>
        </w:rPr>
        <w:tab/>
        <w:t>رداً على السؤال رقم 7 الوارد في "ق</w:t>
      </w:r>
      <w:r>
        <w:rPr>
          <w:rFonts w:hint="cs"/>
          <w:rtl/>
          <w:lang w:eastAsia="en-US"/>
        </w:rPr>
        <w:t>ائمة اللجنة للمسائل التي سيجري تناولها عند النظر في التقرير الأولي للصين: منطقة هونغ كونغ الإدارية الخاصة".</w:t>
      </w:r>
    </w:p>
    <w:p w:rsidR="00000000" w:rsidRDefault="00443EC1">
      <w:pPr>
        <w:spacing w:line="380" w:lineRule="exact"/>
        <w:jc w:val="both"/>
        <w:rPr>
          <w:rFonts w:hint="cs"/>
          <w:rtl/>
        </w:rPr>
      </w:pPr>
      <w:r>
        <w:rPr>
          <w:rFonts w:hint="cs"/>
          <w:rtl/>
        </w:rPr>
        <w:tab/>
        <w:t>(13)</w:t>
      </w:r>
      <w:r>
        <w:rPr>
          <w:rFonts w:hint="cs"/>
          <w:rtl/>
        </w:rPr>
        <w:tab/>
        <w:t xml:space="preserve">تعني عبارة "التقرير المقدم عملاً بالمادة 22" تقريراً مقدماً إلى منظمة العمل الدولية عملاً بالمادة 22 من دستور هذه المنظمة. </w:t>
      </w:r>
    </w:p>
    <w:p w:rsidR="00000000" w:rsidRDefault="00443EC1">
      <w:pPr>
        <w:spacing w:line="380" w:lineRule="exact"/>
        <w:jc w:val="both"/>
        <w:rPr>
          <w:rFonts w:hint="cs"/>
          <w:rtl/>
        </w:rPr>
      </w:pPr>
      <w:r>
        <w:rPr>
          <w:rFonts w:hint="cs"/>
          <w:rtl/>
        </w:rPr>
        <w:tab/>
        <w:t>(14)</w:t>
      </w:r>
      <w:r>
        <w:rPr>
          <w:rFonts w:hint="cs"/>
          <w:rtl/>
        </w:rPr>
        <w:tab/>
        <w:t>يدل مصطلح "ا</w:t>
      </w:r>
      <w:r>
        <w:rPr>
          <w:rFonts w:hint="cs"/>
          <w:rtl/>
        </w:rPr>
        <w:t>لوافدين الجدد" على الأشخاص الذين استقروا مؤخراً في هونغ كونغ. وقد طبقنا المصطلح أصلاً على الأشخاص القادمين من الصين الوطن الأم. لكننا وسعنا نطاق هذا المصطلح منذ ذلك الحين ليشمل مقيمين من بلدان أخرى. وتوفر خدمات إدارة شؤون العمل للجميع دون أي تمييز.</w:t>
      </w:r>
    </w:p>
    <w:p w:rsidR="00000000" w:rsidRDefault="00443EC1">
      <w:pPr>
        <w:spacing w:line="380" w:lineRule="exact"/>
        <w:jc w:val="both"/>
        <w:rPr>
          <w:rtl/>
        </w:rPr>
      </w:pPr>
      <w:r>
        <w:rPr>
          <w:rFonts w:hint="cs"/>
          <w:rtl/>
        </w:rPr>
        <w:tab/>
        <w:t>(15)</w:t>
      </w:r>
      <w:r>
        <w:rPr>
          <w:rFonts w:hint="cs"/>
          <w:rtl/>
        </w:rPr>
        <w:tab/>
        <w:t>ت</w:t>
      </w:r>
      <w:r>
        <w:rPr>
          <w:rFonts w:hint="cs"/>
          <w:rtl/>
        </w:rPr>
        <w:t xml:space="preserve">واجه الجالية النيبالية من بين جميع الأقليات الموجودة في هونغ كونغ أشد الصعوبات في التكيف مع الحياة في هونغ كونغ نظراً للاختلافات الكبيرة في اللغة والثقافة. ولهذا السبب، كانت موضع تركيزٍ رئيسي في عملنا الخارجي بين الأقليات غير الصينية.  </w:t>
      </w:r>
    </w:p>
    <w:p w:rsidR="00000000" w:rsidRDefault="00443EC1">
      <w:pPr>
        <w:spacing w:line="380" w:lineRule="exact"/>
        <w:jc w:val="both"/>
        <w:rPr>
          <w:rFonts w:hint="cs"/>
          <w:rtl/>
        </w:rPr>
      </w:pPr>
      <w:r>
        <w:rPr>
          <w:rFonts w:hint="cs"/>
          <w:rtl/>
        </w:rPr>
        <w:tab/>
        <w:t>(16)</w:t>
      </w:r>
      <w:r>
        <w:rPr>
          <w:rFonts w:hint="cs"/>
          <w:rtl/>
        </w:rPr>
        <w:tab/>
        <w:t>يتعهد أصحاب ا</w:t>
      </w:r>
      <w:r>
        <w:rPr>
          <w:rFonts w:hint="cs"/>
          <w:rtl/>
        </w:rPr>
        <w:t>لعمل الذين يقبلون متدربين في إطار نظام التدريب في مكان العمل بتوفير تدريب معمق في هذا الشأن، في حين لا يقدم أصحاب العمل خارج هذا النظام تعهداً من هذا القبيل.</w:t>
      </w:r>
    </w:p>
    <w:p w:rsidR="00000000" w:rsidRDefault="00443EC1">
      <w:pPr>
        <w:spacing w:line="380" w:lineRule="exact"/>
        <w:jc w:val="both"/>
        <w:rPr>
          <w:rFonts w:hint="cs"/>
          <w:rtl/>
        </w:rPr>
      </w:pPr>
      <w:r>
        <w:rPr>
          <w:rFonts w:hint="cs"/>
          <w:rtl/>
        </w:rPr>
        <w:tab/>
        <w:t>(17)</w:t>
      </w:r>
      <w:r>
        <w:rPr>
          <w:rFonts w:hint="cs"/>
          <w:rtl/>
        </w:rPr>
        <w:tab/>
        <w:t>وردت الشواغل التي رددها المعلقون المحليون في الفقرة 15 من ملاحظات اللجنة الختامية بشأن التقر</w:t>
      </w:r>
      <w:r>
        <w:rPr>
          <w:rFonts w:hint="cs"/>
          <w:rtl/>
        </w:rPr>
        <w:t>ير الدوري الثالث الذي قدمته المملكة المتحدة بموجب العهد.</w:t>
      </w:r>
    </w:p>
    <w:p w:rsidR="00000000" w:rsidRDefault="00443EC1">
      <w:pPr>
        <w:spacing w:line="380" w:lineRule="exact"/>
        <w:jc w:val="both"/>
        <w:rPr>
          <w:rFonts w:hint="cs"/>
          <w:rtl/>
        </w:rPr>
      </w:pPr>
      <w:r>
        <w:rPr>
          <w:rFonts w:hint="cs"/>
          <w:rtl/>
        </w:rPr>
        <w:tab/>
        <w:t>(18)</w:t>
      </w:r>
      <w:r>
        <w:rPr>
          <w:rFonts w:hint="cs"/>
          <w:rtl/>
        </w:rPr>
        <w:tab/>
        <w:t>ترد مناقشة نظام صناديق الادخار الإلزامية في الفقرات من 460 إلى 462 أدناه، في ما يتصل بالمادة 9 من العهد.</w:t>
      </w:r>
    </w:p>
    <w:p w:rsidR="00000000" w:rsidRDefault="00443EC1">
      <w:pPr>
        <w:spacing w:line="380" w:lineRule="exact"/>
        <w:jc w:val="both"/>
        <w:rPr>
          <w:rFonts w:hint="cs"/>
          <w:rtl/>
        </w:rPr>
      </w:pPr>
      <w:r>
        <w:rPr>
          <w:rFonts w:hint="cs"/>
          <w:rtl/>
        </w:rPr>
        <w:tab/>
        <w:t>(19)</w:t>
      </w:r>
      <w:r>
        <w:rPr>
          <w:rFonts w:hint="cs"/>
          <w:rtl/>
        </w:rPr>
        <w:tab/>
        <w:t>العامل الموظف بموجب عقد مستمر هو ذلك الذي وُظف لمدة أربعة أسابيع أو أكثر، على أساس</w:t>
      </w:r>
      <w:r>
        <w:rPr>
          <w:rFonts w:hint="cs"/>
          <w:rtl/>
        </w:rPr>
        <w:t xml:space="preserve"> عدد ساعات لا يقل عن 18 ساعة في الأسبوع.</w:t>
      </w:r>
    </w:p>
    <w:p w:rsidR="00000000" w:rsidRDefault="00443EC1">
      <w:pPr>
        <w:spacing w:line="380" w:lineRule="exact"/>
        <w:jc w:val="both"/>
        <w:rPr>
          <w:rFonts w:hint="cs"/>
          <w:rtl/>
        </w:rPr>
      </w:pPr>
      <w:r>
        <w:rPr>
          <w:rFonts w:hint="cs"/>
          <w:rtl/>
        </w:rPr>
        <w:tab/>
      </w:r>
      <w:r>
        <w:rPr>
          <w:rFonts w:hint="cs"/>
          <w:spacing w:val="-4"/>
          <w:rtl/>
        </w:rPr>
        <w:t>(20)</w:t>
      </w:r>
      <w:r>
        <w:rPr>
          <w:rFonts w:hint="cs"/>
          <w:spacing w:val="-4"/>
          <w:rtl/>
        </w:rPr>
        <w:tab/>
      </w:r>
      <w:r>
        <w:rPr>
          <w:rFonts w:hint="eastAsia"/>
          <w:spacing w:val="-6"/>
          <w:rtl/>
        </w:rPr>
        <w:t>الأمر</w:t>
      </w:r>
      <w:r>
        <w:rPr>
          <w:spacing w:val="-6"/>
        </w:rPr>
        <w:t xml:space="preserve"> </w:t>
      </w:r>
      <w:r>
        <w:rPr>
          <w:spacing w:val="-6"/>
          <w:rtl/>
        </w:rPr>
        <w:t xml:space="preserve">الخاص بالعمالة </w:t>
      </w:r>
      <w:r>
        <w:rPr>
          <w:rFonts w:hint="cs"/>
          <w:spacing w:val="-6"/>
          <w:rtl/>
        </w:rPr>
        <w:t>(</w:t>
      </w:r>
      <w:r>
        <w:rPr>
          <w:spacing w:val="-6"/>
          <w:rtl/>
        </w:rPr>
        <w:t>الفصل 57): المواد من 23 إلى 25 و25</w:t>
      </w:r>
      <w:r>
        <w:rPr>
          <w:rFonts w:hint="cs"/>
          <w:spacing w:val="-6"/>
          <w:rtl/>
        </w:rPr>
        <w:t xml:space="preserve"> </w:t>
      </w:r>
      <w:r>
        <w:rPr>
          <w:spacing w:val="-6"/>
          <w:rtl/>
        </w:rPr>
        <w:t>-</w:t>
      </w:r>
      <w:r>
        <w:rPr>
          <w:rFonts w:hint="cs"/>
          <w:spacing w:val="-6"/>
          <w:rtl/>
        </w:rPr>
        <w:t xml:space="preserve"> </w:t>
      </w:r>
      <w:r>
        <w:rPr>
          <w:spacing w:val="-6"/>
          <w:rtl/>
        </w:rPr>
        <w:t>ألف و63</w:t>
      </w:r>
      <w:r>
        <w:rPr>
          <w:rFonts w:hint="cs"/>
          <w:spacing w:val="-6"/>
          <w:rtl/>
        </w:rPr>
        <w:t xml:space="preserve"> </w:t>
      </w:r>
      <w:r>
        <w:rPr>
          <w:spacing w:val="-6"/>
          <w:rtl/>
        </w:rPr>
        <w:t>-</w:t>
      </w:r>
      <w:r>
        <w:rPr>
          <w:rFonts w:hint="cs"/>
          <w:spacing w:val="-6"/>
          <w:rtl/>
        </w:rPr>
        <w:t xml:space="preserve"> </w:t>
      </w:r>
      <w:r>
        <w:rPr>
          <w:spacing w:val="-6"/>
          <w:rtl/>
        </w:rPr>
        <w:t>جيم و63</w:t>
      </w:r>
      <w:r>
        <w:rPr>
          <w:rFonts w:hint="cs"/>
          <w:spacing w:val="-6"/>
          <w:rtl/>
        </w:rPr>
        <w:t xml:space="preserve"> </w:t>
      </w:r>
      <w:r>
        <w:rPr>
          <w:spacing w:val="-6"/>
          <w:rtl/>
        </w:rPr>
        <w:t>–</w:t>
      </w:r>
      <w:r>
        <w:rPr>
          <w:rFonts w:hint="cs"/>
          <w:spacing w:val="-6"/>
          <w:rtl/>
        </w:rPr>
        <w:t xml:space="preserve"> </w:t>
      </w:r>
      <w:r>
        <w:rPr>
          <w:spacing w:val="-6"/>
          <w:rtl/>
        </w:rPr>
        <w:t>جيم</w:t>
      </w:r>
      <w:r>
        <w:rPr>
          <w:rFonts w:hint="cs"/>
          <w:spacing w:val="-6"/>
          <w:rtl/>
        </w:rPr>
        <w:t xml:space="preserve"> </w:t>
      </w:r>
      <w:r>
        <w:rPr>
          <w:spacing w:val="-6"/>
          <w:rtl/>
        </w:rPr>
        <w:t>-</w:t>
      </w:r>
      <w:r>
        <w:rPr>
          <w:rFonts w:hint="cs"/>
          <w:spacing w:val="-6"/>
          <w:rtl/>
        </w:rPr>
        <w:t xml:space="preserve"> </w:t>
      </w:r>
      <w:r>
        <w:rPr>
          <w:spacing w:val="-6"/>
          <w:rtl/>
        </w:rPr>
        <w:t>ألف.</w:t>
      </w:r>
      <w:r>
        <w:rPr>
          <w:rtl/>
        </w:rPr>
        <w:t xml:space="preserve"> كما تنص المادتان </w:t>
      </w:r>
      <w:r>
        <w:rPr>
          <w:rFonts w:hint="cs"/>
          <w:rtl/>
        </w:rPr>
        <w:t>32</w:t>
      </w:r>
      <w:r>
        <w:t xml:space="preserve"> </w:t>
      </w:r>
      <w:r>
        <w:rPr>
          <w:rtl/>
        </w:rPr>
        <w:t>و63</w:t>
      </w:r>
      <w:r>
        <w:rPr>
          <w:rFonts w:hint="cs"/>
          <w:rtl/>
        </w:rPr>
        <w:t xml:space="preserve"> </w:t>
      </w:r>
      <w:r>
        <w:rPr>
          <w:rtl/>
        </w:rPr>
        <w:t>-</w:t>
      </w:r>
      <w:r>
        <w:rPr>
          <w:rFonts w:hint="cs"/>
          <w:rtl/>
        </w:rPr>
        <w:t xml:space="preserve"> </w:t>
      </w:r>
      <w:r>
        <w:rPr>
          <w:rtl/>
        </w:rPr>
        <w:t>باء على الحماية من عدم دفع الاجور</w:t>
      </w:r>
      <w:r>
        <w:rPr>
          <w:rFonts w:hint="cs"/>
          <w:rtl/>
        </w:rPr>
        <w:t xml:space="preserve"> كاملة</w:t>
      </w:r>
      <w:r>
        <w:rPr>
          <w:rtl/>
        </w:rPr>
        <w:t xml:space="preserve">. وتنص المادة 32 على أنه </w:t>
      </w:r>
      <w:r>
        <w:t>"</w:t>
      </w:r>
      <w:r>
        <w:rPr>
          <w:rFonts w:hint="eastAsia"/>
          <w:rtl/>
        </w:rPr>
        <w:t>لا</w:t>
      </w:r>
      <w:r>
        <w:t xml:space="preserve"> </w:t>
      </w:r>
      <w:r>
        <w:rPr>
          <w:rtl/>
        </w:rPr>
        <w:t xml:space="preserve">يجوز </w:t>
      </w:r>
      <w:r>
        <w:rPr>
          <w:rFonts w:hint="eastAsia"/>
          <w:rtl/>
        </w:rPr>
        <w:t>لرب</w:t>
      </w:r>
      <w:r>
        <w:t xml:space="preserve"> </w:t>
      </w:r>
      <w:r>
        <w:rPr>
          <w:rtl/>
        </w:rPr>
        <w:t>العمل الخصم من ر</w:t>
      </w:r>
      <w:r>
        <w:rPr>
          <w:rtl/>
        </w:rPr>
        <w:t>واتب العامل.إلا وفقا للأمر</w:t>
      </w:r>
      <w:r>
        <w:rPr>
          <w:rFonts w:hint="cs"/>
          <w:rtl/>
        </w:rPr>
        <w:t>".</w:t>
      </w:r>
      <w:r>
        <w:t xml:space="preserve"> </w:t>
      </w:r>
      <w:r>
        <w:rPr>
          <w:rtl/>
        </w:rPr>
        <w:t>وتنص المادة 63</w:t>
      </w:r>
      <w:r>
        <w:rPr>
          <w:rFonts w:hint="cs"/>
          <w:rtl/>
        </w:rPr>
        <w:t xml:space="preserve"> </w:t>
      </w:r>
      <w:r>
        <w:rPr>
          <w:rtl/>
        </w:rPr>
        <w:t>-</w:t>
      </w:r>
      <w:r>
        <w:rPr>
          <w:rFonts w:hint="cs"/>
          <w:rtl/>
        </w:rPr>
        <w:t xml:space="preserve"> </w:t>
      </w:r>
      <w:r>
        <w:rPr>
          <w:rtl/>
        </w:rPr>
        <w:t xml:space="preserve">باء على </w:t>
      </w:r>
      <w:r>
        <w:rPr>
          <w:rFonts w:hint="eastAsia"/>
          <w:rtl/>
        </w:rPr>
        <w:t>أن</w:t>
      </w:r>
      <w:r>
        <w:t xml:space="preserve"> </w:t>
      </w:r>
      <w:r>
        <w:rPr>
          <w:rtl/>
        </w:rPr>
        <w:t xml:space="preserve">كل من يخل بالمادة 32 يرتكب مخالفة ويتعرض لدفع غرامة من الدرجة 6 والسجن مدة </w:t>
      </w:r>
      <w:r>
        <w:rPr>
          <w:rFonts w:hint="eastAsia"/>
          <w:rtl/>
        </w:rPr>
        <w:t>سنة</w:t>
      </w:r>
      <w:r>
        <w:rPr>
          <w:rFonts w:hint="cs"/>
          <w:rtl/>
        </w:rPr>
        <w:t>.</w:t>
      </w:r>
    </w:p>
    <w:p w:rsidR="00000000" w:rsidRDefault="00443EC1">
      <w:pPr>
        <w:spacing w:line="380" w:lineRule="exact"/>
        <w:jc w:val="both"/>
        <w:rPr>
          <w:rFonts w:hint="cs"/>
          <w:rtl/>
        </w:rPr>
      </w:pPr>
      <w:r>
        <w:rPr>
          <w:rFonts w:hint="cs"/>
          <w:rtl/>
        </w:rPr>
        <w:tab/>
        <w:t>(21)</w:t>
      </w:r>
      <w:r>
        <w:rPr>
          <w:rFonts w:hint="cs"/>
          <w:rtl/>
        </w:rPr>
        <w:tab/>
      </w:r>
      <w:r>
        <w:rPr>
          <w:rFonts w:hint="eastAsia"/>
          <w:rtl/>
        </w:rPr>
        <w:t>تنص</w:t>
      </w:r>
      <w:r>
        <w:t xml:space="preserve"> </w:t>
      </w:r>
      <w:r>
        <w:rPr>
          <w:rtl/>
        </w:rPr>
        <w:t xml:space="preserve">المادة 27 من </w:t>
      </w:r>
      <w:r>
        <w:rPr>
          <w:rFonts w:hint="eastAsia"/>
          <w:rtl/>
        </w:rPr>
        <w:t>القانون</w:t>
      </w:r>
      <w:r>
        <w:t xml:space="preserve"> </w:t>
      </w:r>
      <w:r>
        <w:rPr>
          <w:rtl/>
        </w:rPr>
        <w:t xml:space="preserve">الأساسي على أن: </w:t>
      </w:r>
      <w:r>
        <w:t>"</w:t>
      </w:r>
      <w:r>
        <w:rPr>
          <w:rFonts w:hint="eastAsia"/>
          <w:rtl/>
        </w:rPr>
        <w:t>يحق</w:t>
      </w:r>
      <w:r>
        <w:t xml:space="preserve"> </w:t>
      </w:r>
      <w:r>
        <w:rPr>
          <w:rtl/>
        </w:rPr>
        <w:t xml:space="preserve">للمقيمين في هونغ كونغ التمتع بحرية التعبير والحصافة </w:t>
      </w:r>
      <w:r>
        <w:rPr>
          <w:rFonts w:hint="eastAsia"/>
          <w:rtl/>
        </w:rPr>
        <w:t>والنشر؛</w:t>
      </w:r>
      <w:r>
        <w:t xml:space="preserve"> </w:t>
      </w:r>
      <w:r>
        <w:rPr>
          <w:rtl/>
        </w:rPr>
        <w:t>وحرية ت</w:t>
      </w:r>
      <w:r>
        <w:rPr>
          <w:rtl/>
        </w:rPr>
        <w:t xml:space="preserve">شكيل الجمعيات والتجمع والتجمهر والتظاهر؛ وحرية تشكيل النقابات </w:t>
      </w:r>
      <w:r>
        <w:rPr>
          <w:rFonts w:hint="eastAsia"/>
          <w:rtl/>
        </w:rPr>
        <w:t>والانضمام</w:t>
      </w:r>
      <w:r>
        <w:t xml:space="preserve"> </w:t>
      </w:r>
      <w:r>
        <w:rPr>
          <w:rtl/>
        </w:rPr>
        <w:t>إليها والإضراب</w:t>
      </w:r>
      <w:r>
        <w:t>"</w:t>
      </w:r>
      <w:r>
        <w:rPr>
          <w:rFonts w:hint="cs"/>
          <w:rtl/>
        </w:rPr>
        <w:t>.</w:t>
      </w:r>
    </w:p>
    <w:p w:rsidR="00000000" w:rsidRDefault="00443EC1">
      <w:pPr>
        <w:spacing w:line="380" w:lineRule="exact"/>
        <w:jc w:val="both"/>
        <w:rPr>
          <w:rFonts w:hint="cs"/>
          <w:rtl/>
        </w:rPr>
      </w:pPr>
      <w:r>
        <w:rPr>
          <w:rFonts w:hint="cs"/>
          <w:rtl/>
        </w:rPr>
        <w:tab/>
        <w:t>(22)</w:t>
      </w:r>
      <w:r>
        <w:rPr>
          <w:rFonts w:hint="cs"/>
          <w:rtl/>
        </w:rPr>
        <w:tab/>
      </w:r>
      <w:r>
        <w:rPr>
          <w:rFonts w:hint="eastAsia"/>
          <w:rtl/>
        </w:rPr>
        <w:t>تشمل</w:t>
      </w:r>
      <w:r>
        <w:t xml:space="preserve"> </w:t>
      </w:r>
      <w:r>
        <w:rPr>
          <w:rtl/>
        </w:rPr>
        <w:t xml:space="preserve">هذه الأحكام </w:t>
      </w:r>
      <w:r>
        <w:rPr>
          <w:rFonts w:hint="eastAsia"/>
          <w:rtl/>
        </w:rPr>
        <w:t>الأحكام</w:t>
      </w:r>
      <w:r>
        <w:t xml:space="preserve"> </w:t>
      </w:r>
      <w:r>
        <w:rPr>
          <w:rtl/>
        </w:rPr>
        <w:t xml:space="preserve">التي كانت تكفل حقوق العمال في مدفوعات ترك الخدمة والخدمة لمدة طويلة </w:t>
      </w:r>
      <w:r>
        <w:rPr>
          <w:rFonts w:hint="eastAsia"/>
          <w:rtl/>
        </w:rPr>
        <w:t>وتعويضات</w:t>
      </w:r>
      <w:r>
        <w:t xml:space="preserve"> </w:t>
      </w:r>
      <w:r>
        <w:rPr>
          <w:rtl/>
        </w:rPr>
        <w:t>حماية العمالة في ظروف تنطوي على طرد بإجراءات موجزة بسبب الإ</w:t>
      </w:r>
      <w:r>
        <w:rPr>
          <w:rtl/>
        </w:rPr>
        <w:t>ضراب.</w:t>
      </w:r>
    </w:p>
    <w:p w:rsidR="00000000" w:rsidRDefault="00443EC1">
      <w:pPr>
        <w:spacing w:line="380" w:lineRule="exact"/>
        <w:jc w:val="both"/>
        <w:rPr>
          <w:rFonts w:hint="cs"/>
          <w:rtl/>
        </w:rPr>
      </w:pPr>
      <w:r>
        <w:rPr>
          <w:rFonts w:hint="cs"/>
          <w:rtl/>
        </w:rPr>
        <w:tab/>
        <w:t>(23)</w:t>
      </w:r>
      <w:r>
        <w:rPr>
          <w:rFonts w:hint="cs"/>
          <w:rtl/>
        </w:rPr>
        <w:tab/>
      </w:r>
      <w:r>
        <w:rPr>
          <w:rFonts w:hint="eastAsia"/>
          <w:rtl/>
        </w:rPr>
        <w:t>قائمة</w:t>
      </w:r>
      <w:r>
        <w:rPr>
          <w:rFonts w:hint="cs"/>
          <w:rtl/>
        </w:rPr>
        <w:t xml:space="preserve"> ال</w:t>
      </w:r>
      <w:r>
        <w:rPr>
          <w:rtl/>
        </w:rPr>
        <w:t xml:space="preserve">مسائل </w:t>
      </w:r>
      <w:r>
        <w:rPr>
          <w:rFonts w:hint="cs"/>
          <w:rtl/>
        </w:rPr>
        <w:t xml:space="preserve">التي </w:t>
      </w:r>
      <w:r>
        <w:rPr>
          <w:rtl/>
        </w:rPr>
        <w:t xml:space="preserve">يتعين </w:t>
      </w:r>
      <w:r>
        <w:rPr>
          <w:rFonts w:hint="eastAsia"/>
          <w:rtl/>
        </w:rPr>
        <w:t>بحثها</w:t>
      </w:r>
      <w:r>
        <w:t xml:space="preserve"> </w:t>
      </w:r>
      <w:r>
        <w:rPr>
          <w:rtl/>
        </w:rPr>
        <w:t xml:space="preserve">لدى النظر في التقرير الأولي الذي قدمته الصين: منطقة هونغ كونغ الإدارية </w:t>
      </w:r>
      <w:r>
        <w:rPr>
          <w:rFonts w:hint="eastAsia"/>
          <w:rtl/>
        </w:rPr>
        <w:t>الخاصة</w:t>
      </w:r>
      <w:r>
        <w:t xml:space="preserve"> </w:t>
      </w:r>
      <w:r>
        <w:rPr>
          <w:rtl/>
        </w:rPr>
        <w:t xml:space="preserve">والحقوق المكفولة في المواد 1-15 من العهد الدولي الخاص بالحقوق الاقتصادية </w:t>
      </w:r>
      <w:r>
        <w:rPr>
          <w:rFonts w:hint="eastAsia"/>
          <w:rtl/>
        </w:rPr>
        <w:t>والاجتماعية</w:t>
      </w:r>
      <w:r>
        <w:t xml:space="preserve"> </w:t>
      </w:r>
      <w:r>
        <w:rPr>
          <w:rtl/>
        </w:rPr>
        <w:t>والثقافية.</w:t>
      </w:r>
    </w:p>
    <w:p w:rsidR="00000000" w:rsidRDefault="00443EC1">
      <w:pPr>
        <w:spacing w:line="380" w:lineRule="exact"/>
        <w:jc w:val="both"/>
        <w:rPr>
          <w:rFonts w:hint="cs"/>
          <w:rtl/>
        </w:rPr>
      </w:pPr>
      <w:r>
        <w:rPr>
          <w:rFonts w:hint="cs"/>
          <w:rtl/>
        </w:rPr>
        <w:tab/>
        <w:t>(24)</w:t>
      </w:r>
      <w:r>
        <w:rPr>
          <w:rFonts w:hint="cs"/>
          <w:rtl/>
        </w:rPr>
        <w:tab/>
      </w:r>
      <w:r>
        <w:rPr>
          <w:rFonts w:hint="eastAsia"/>
          <w:rtl/>
        </w:rPr>
        <w:t>تقوم</w:t>
      </w:r>
      <w:r>
        <w:t xml:space="preserve"> </w:t>
      </w:r>
      <w:r>
        <w:rPr>
          <w:rtl/>
        </w:rPr>
        <w:t xml:space="preserve">وزارة التعداد </w:t>
      </w:r>
      <w:r>
        <w:rPr>
          <w:rFonts w:hint="eastAsia"/>
          <w:rtl/>
        </w:rPr>
        <w:t>والإحصاء</w:t>
      </w:r>
      <w:r>
        <w:rPr>
          <w:rFonts w:hint="cs"/>
          <w:rtl/>
        </w:rPr>
        <w:t xml:space="preserve"> </w:t>
      </w:r>
      <w:r>
        <w:rPr>
          <w:rtl/>
        </w:rPr>
        <w:t>بتحدي</w:t>
      </w:r>
      <w:r>
        <w:rPr>
          <w:rtl/>
        </w:rPr>
        <w:t xml:space="preserve">ث مؤشر أسعار المساعدة المتصلة بالضمان الاجتماعي على أساس شهري </w:t>
      </w:r>
      <w:r>
        <w:rPr>
          <w:rFonts w:hint="eastAsia"/>
          <w:rtl/>
        </w:rPr>
        <w:t>بغية</w:t>
      </w:r>
      <w:r>
        <w:rPr>
          <w:rFonts w:hint="cs"/>
          <w:rtl/>
        </w:rPr>
        <w:t xml:space="preserve"> قياس</w:t>
      </w:r>
      <w:r>
        <w:rPr>
          <w:rtl/>
        </w:rPr>
        <w:t xml:space="preserve"> التضخم/الانكماش وفقا لنمط إنفاق الأسر المستفيدة من نظام المساعدة </w:t>
      </w:r>
      <w:r>
        <w:rPr>
          <w:rFonts w:hint="eastAsia"/>
          <w:rtl/>
        </w:rPr>
        <w:t>الشام</w:t>
      </w:r>
      <w:r>
        <w:rPr>
          <w:rFonts w:hint="cs"/>
          <w:rtl/>
        </w:rPr>
        <w:t xml:space="preserve">ل. </w:t>
      </w:r>
      <w:r>
        <w:rPr>
          <w:rtl/>
        </w:rPr>
        <w:t>ويشمل هذا المؤشر البنو</w:t>
      </w:r>
      <w:r>
        <w:rPr>
          <w:rFonts w:hint="cs"/>
          <w:rtl/>
        </w:rPr>
        <w:t>د</w:t>
      </w:r>
      <w:r>
        <w:rPr>
          <w:rtl/>
        </w:rPr>
        <w:t xml:space="preserve"> ذاتها التي يشملها مؤشر الأسعار الاستهلاكية، </w:t>
      </w:r>
      <w:r>
        <w:rPr>
          <w:rFonts w:hint="eastAsia"/>
          <w:rtl/>
        </w:rPr>
        <w:t>باستثناء</w:t>
      </w:r>
      <w:r>
        <w:t xml:space="preserve"> </w:t>
      </w:r>
      <w:r>
        <w:rPr>
          <w:rtl/>
        </w:rPr>
        <w:t>البنود التي تغطيها منح خاصة في إطا</w:t>
      </w:r>
      <w:r>
        <w:rPr>
          <w:rtl/>
        </w:rPr>
        <w:t xml:space="preserve">ر نظام المساعدة الشامل (مثل </w:t>
      </w:r>
      <w:r>
        <w:rPr>
          <w:rFonts w:hint="eastAsia"/>
          <w:rtl/>
        </w:rPr>
        <w:t>الإيجار</w:t>
      </w:r>
      <w:r>
        <w:rPr>
          <w:rFonts w:hint="cs"/>
          <w:rtl/>
        </w:rPr>
        <w:t xml:space="preserve">). </w:t>
      </w:r>
      <w:r>
        <w:rPr>
          <w:rtl/>
        </w:rPr>
        <w:t>ويستخدم تحرك المؤشر كمقياس لت</w:t>
      </w:r>
      <w:r>
        <w:rPr>
          <w:rFonts w:hint="cs"/>
          <w:rtl/>
        </w:rPr>
        <w:t>سوية</w:t>
      </w:r>
      <w:r>
        <w:rPr>
          <w:rtl/>
        </w:rPr>
        <w:t xml:space="preserve"> معدلات المدفوعات العادية في إطار </w:t>
      </w:r>
      <w:r>
        <w:rPr>
          <w:rFonts w:hint="eastAsia"/>
          <w:rtl/>
        </w:rPr>
        <w:t>نظام</w:t>
      </w:r>
      <w:r>
        <w:t xml:space="preserve"> </w:t>
      </w:r>
      <w:r>
        <w:rPr>
          <w:rtl/>
        </w:rPr>
        <w:t>المساعدة الشامل ونظام الاعتماد على الذات لمراعاة تغير الأسعار.</w:t>
      </w:r>
    </w:p>
    <w:p w:rsidR="00000000" w:rsidRDefault="00443EC1">
      <w:pPr>
        <w:spacing w:line="380" w:lineRule="exact"/>
        <w:jc w:val="both"/>
        <w:rPr>
          <w:rFonts w:hint="cs"/>
          <w:rtl/>
        </w:rPr>
      </w:pPr>
      <w:r>
        <w:rPr>
          <w:rFonts w:hint="cs"/>
          <w:rtl/>
        </w:rPr>
        <w:tab/>
        <w:t>(25)</w:t>
      </w:r>
      <w:r>
        <w:rPr>
          <w:rFonts w:hint="cs"/>
          <w:rtl/>
        </w:rPr>
        <w:tab/>
      </w:r>
      <w:r>
        <w:t>Oxford University Press</w:t>
      </w:r>
      <w:r>
        <w:rPr>
          <w:rFonts w:hint="cs"/>
          <w:rtl/>
        </w:rPr>
        <w:t xml:space="preserve">، </w:t>
      </w:r>
      <w:r>
        <w:rPr>
          <w:rtl/>
        </w:rPr>
        <w:t>نيويورك، 1994</w:t>
      </w:r>
      <w:r>
        <w:rPr>
          <w:rFonts w:hint="cs"/>
          <w:rtl/>
        </w:rPr>
        <w:t>.</w:t>
      </w:r>
    </w:p>
    <w:p w:rsidR="00000000" w:rsidRDefault="00443EC1">
      <w:pPr>
        <w:pStyle w:val="FootnoteText"/>
        <w:numPr>
          <w:ilvl w:val="0"/>
          <w:numId w:val="0"/>
        </w:numPr>
        <w:spacing w:line="380" w:lineRule="exact"/>
        <w:ind w:right="0"/>
        <w:rPr>
          <w:rFonts w:hint="cs"/>
          <w:szCs w:val="30"/>
          <w:rtl/>
        </w:rPr>
      </w:pPr>
      <w:r>
        <w:rPr>
          <w:rFonts w:hint="cs"/>
          <w:szCs w:val="30"/>
          <w:rtl/>
        </w:rPr>
        <w:tab/>
        <w:t>(26)</w:t>
      </w:r>
      <w:r>
        <w:rPr>
          <w:rFonts w:hint="cs"/>
          <w:szCs w:val="30"/>
          <w:rtl/>
        </w:rPr>
        <w:tab/>
        <w:t>ذلك أن المهنيين العاملين مع الش</w:t>
      </w:r>
      <w:r>
        <w:rPr>
          <w:rFonts w:hint="cs"/>
          <w:szCs w:val="30"/>
          <w:rtl/>
        </w:rPr>
        <w:t xml:space="preserve">بان المعرضين للخطر يرون أنه لا بد من تحديد احتياجات الطفل في مراحل نموه الأولى ومباشرة العمل الوقائي اللازم في أقرب وقت ممكن يعقب التحديد، وذلك قبل استفحال المشاكل. </w:t>
      </w:r>
    </w:p>
    <w:p w:rsidR="00000000" w:rsidRDefault="00443EC1">
      <w:pPr>
        <w:pStyle w:val="FootnoteText"/>
        <w:numPr>
          <w:ilvl w:val="0"/>
          <w:numId w:val="0"/>
        </w:numPr>
        <w:spacing w:line="380" w:lineRule="exact"/>
        <w:ind w:right="0"/>
        <w:rPr>
          <w:rFonts w:hint="cs"/>
          <w:szCs w:val="30"/>
          <w:rtl/>
        </w:rPr>
      </w:pPr>
      <w:r>
        <w:rPr>
          <w:rFonts w:hint="cs"/>
          <w:szCs w:val="30"/>
          <w:rtl/>
        </w:rPr>
        <w:tab/>
        <w:t>(27)</w:t>
      </w:r>
      <w:r>
        <w:rPr>
          <w:rFonts w:hint="cs"/>
          <w:szCs w:val="30"/>
          <w:rtl/>
        </w:rPr>
        <w:tab/>
        <w:t xml:space="preserve">تتمثل "الأداة" في استبيان. ويملأ الطلاب جزءا منه بينما يملأ المدرسون الجزء الآخر. </w:t>
      </w:r>
    </w:p>
    <w:p w:rsidR="00000000" w:rsidRDefault="00443EC1">
      <w:pPr>
        <w:pStyle w:val="FootnoteText"/>
        <w:numPr>
          <w:ilvl w:val="0"/>
          <w:numId w:val="0"/>
        </w:numPr>
        <w:spacing w:line="380" w:lineRule="exact"/>
        <w:ind w:right="0"/>
        <w:rPr>
          <w:rFonts w:hint="cs"/>
          <w:szCs w:val="30"/>
          <w:rtl/>
        </w:rPr>
      </w:pPr>
      <w:r>
        <w:rPr>
          <w:rFonts w:hint="cs"/>
          <w:szCs w:val="30"/>
          <w:rtl/>
        </w:rPr>
        <w:tab/>
      </w:r>
      <w:r>
        <w:rPr>
          <w:rFonts w:hint="cs"/>
          <w:szCs w:val="30"/>
          <w:rtl/>
        </w:rPr>
        <w:t>(28)</w:t>
      </w:r>
      <w:r>
        <w:rPr>
          <w:rFonts w:hint="cs"/>
          <w:szCs w:val="30"/>
          <w:rtl/>
        </w:rPr>
        <w:tab/>
        <w:t>يمول المركز من خلال المؤسسة الخيرية لنادي الفروسية في هونغ كونغ.</w:t>
      </w:r>
    </w:p>
    <w:p w:rsidR="00000000" w:rsidRDefault="00443EC1">
      <w:pPr>
        <w:pStyle w:val="FootnoteText"/>
        <w:numPr>
          <w:ilvl w:val="0"/>
          <w:numId w:val="0"/>
        </w:numPr>
        <w:spacing w:line="380" w:lineRule="exact"/>
        <w:ind w:right="0"/>
        <w:rPr>
          <w:rFonts w:hint="cs"/>
          <w:szCs w:val="30"/>
          <w:rtl/>
        </w:rPr>
      </w:pPr>
      <w:r>
        <w:rPr>
          <w:rFonts w:hint="cs"/>
          <w:szCs w:val="30"/>
          <w:rtl/>
        </w:rPr>
        <w:tab/>
        <w:t>(29)</w:t>
      </w:r>
      <w:r>
        <w:rPr>
          <w:rFonts w:hint="cs"/>
          <w:szCs w:val="30"/>
          <w:rtl/>
        </w:rPr>
        <w:tab/>
        <w:t xml:space="preserve">"إجراءات معالجة قضايا الاعتداء على الأطفال المنقحة لعام 1998" و"المبادئ التوجيهية متعددة التخصصات في معالجة قضايا ضرب الأزواج - 1996" و"المبادئ التوجيهية الإجرائية في معالجة قضايا </w:t>
      </w:r>
      <w:r>
        <w:rPr>
          <w:rFonts w:hint="cs"/>
          <w:szCs w:val="30"/>
          <w:rtl/>
        </w:rPr>
        <w:t xml:space="preserve">العنف الجنسي - 2002". </w:t>
      </w:r>
    </w:p>
    <w:p w:rsidR="00000000" w:rsidRDefault="00443EC1">
      <w:pPr>
        <w:pStyle w:val="FootnoteText"/>
        <w:numPr>
          <w:ilvl w:val="0"/>
          <w:numId w:val="0"/>
        </w:numPr>
        <w:spacing w:line="380" w:lineRule="exact"/>
        <w:ind w:right="0"/>
        <w:rPr>
          <w:rFonts w:hint="cs"/>
          <w:szCs w:val="30"/>
          <w:rtl/>
        </w:rPr>
      </w:pPr>
      <w:r>
        <w:rPr>
          <w:rFonts w:hint="cs"/>
          <w:szCs w:val="30"/>
          <w:rtl/>
        </w:rPr>
        <w:tab/>
        <w:t>(30)</w:t>
      </w:r>
      <w:r>
        <w:rPr>
          <w:rFonts w:hint="cs"/>
          <w:szCs w:val="30"/>
          <w:rtl/>
        </w:rPr>
        <w:tab/>
        <w:t>يمثل الرقم المسجل عام 2002 ما يعادل 501 1 فرد، أي نسبة 8 في المائة من مجموع الحالات التي أبلغ بها السجل المركزي المعني بتعاطي المخدرات.</w:t>
      </w:r>
    </w:p>
    <w:p w:rsidR="00000000" w:rsidRDefault="00443EC1">
      <w:pPr>
        <w:pStyle w:val="FootnoteText"/>
        <w:numPr>
          <w:ilvl w:val="0"/>
          <w:numId w:val="0"/>
        </w:numPr>
        <w:spacing w:line="380" w:lineRule="exact"/>
        <w:ind w:right="0"/>
        <w:rPr>
          <w:rFonts w:hint="cs"/>
          <w:szCs w:val="30"/>
          <w:rtl/>
        </w:rPr>
      </w:pPr>
      <w:r>
        <w:rPr>
          <w:rFonts w:hint="cs"/>
          <w:szCs w:val="30"/>
          <w:rtl/>
        </w:rPr>
        <w:tab/>
        <w:t>(31)</w:t>
      </w:r>
      <w:r>
        <w:rPr>
          <w:rFonts w:hint="cs"/>
          <w:szCs w:val="30"/>
          <w:rtl/>
        </w:rPr>
        <w:tab/>
        <w:t>بحثت دراسة من هذه الدراسات، أجرتها جامعة المدينة في هونغ كونغ (نيابة عن اللجنة المعني</w:t>
      </w:r>
      <w:r>
        <w:rPr>
          <w:rFonts w:hint="cs"/>
          <w:szCs w:val="30"/>
          <w:rtl/>
        </w:rPr>
        <w:t xml:space="preserve">ة بالجانحين الشبان التابعة للجنة مكافحة الإجرام) فعالية برامج التأهيل الخاصة بالجانحين الشبان. وأجرت وكالة خدمات الإدارة الحكومية الدراسة الأخرى في الفترة 1998-1999، بغية تحسين إدارة دور الكفالة وتشغيلها. </w:t>
      </w:r>
    </w:p>
    <w:p w:rsidR="00000000" w:rsidRDefault="00443EC1">
      <w:pPr>
        <w:pStyle w:val="FootnoteText"/>
        <w:numPr>
          <w:ilvl w:val="0"/>
          <w:numId w:val="0"/>
        </w:numPr>
        <w:spacing w:line="380" w:lineRule="exact"/>
        <w:ind w:right="0"/>
        <w:rPr>
          <w:rFonts w:hint="cs"/>
          <w:szCs w:val="30"/>
          <w:rtl/>
        </w:rPr>
      </w:pPr>
      <w:r>
        <w:rPr>
          <w:rFonts w:hint="cs"/>
          <w:szCs w:val="30"/>
          <w:rtl/>
        </w:rPr>
        <w:tab/>
        <w:t>(32)</w:t>
      </w:r>
      <w:r>
        <w:rPr>
          <w:rFonts w:hint="cs"/>
          <w:szCs w:val="30"/>
          <w:rtl/>
        </w:rPr>
        <w:tab/>
        <w:t>تشمل خدماتها خدمات التوعية وإقامة الشبكات، و</w:t>
      </w:r>
      <w:r>
        <w:rPr>
          <w:rFonts w:hint="cs"/>
          <w:szCs w:val="30"/>
          <w:rtl/>
        </w:rPr>
        <w:t xml:space="preserve">تعبئة المتطوعين، وإسداء المشورة للمسنين الضعفاء. وتؤدي المراكز المجتمعية لرعاية الأحداث على مستوى المقاطعات ومراكز رعاية الأحداث على مستوى الأحياء وظائف متشابهة، غير أن الأولى تنشط على نطاق أوسع. </w:t>
      </w:r>
    </w:p>
    <w:p w:rsidR="00000000" w:rsidRDefault="00443EC1">
      <w:pPr>
        <w:pStyle w:val="FootnoteText"/>
        <w:numPr>
          <w:ilvl w:val="0"/>
          <w:numId w:val="0"/>
        </w:numPr>
        <w:spacing w:line="380" w:lineRule="exact"/>
        <w:ind w:right="0"/>
        <w:rPr>
          <w:rFonts w:hint="cs"/>
          <w:szCs w:val="30"/>
          <w:rtl/>
        </w:rPr>
      </w:pPr>
      <w:r>
        <w:rPr>
          <w:rFonts w:hint="cs"/>
          <w:szCs w:val="30"/>
          <w:rtl/>
        </w:rPr>
        <w:tab/>
        <w:t>(33)</w:t>
      </w:r>
      <w:r>
        <w:rPr>
          <w:rFonts w:hint="cs"/>
          <w:szCs w:val="30"/>
          <w:rtl/>
        </w:rPr>
        <w:tab/>
        <w:t>مثل المستفيدون البالغون من العمر 65 عاما فما فوق نسبة</w:t>
      </w:r>
      <w:r>
        <w:rPr>
          <w:rFonts w:hint="cs"/>
          <w:szCs w:val="30"/>
          <w:rtl/>
        </w:rPr>
        <w:t xml:space="preserve"> 77 في المائة من مجموع المنتمين إلى تلك الفئة العمرية.</w:t>
      </w:r>
    </w:p>
    <w:p w:rsidR="00000000" w:rsidRDefault="00443EC1">
      <w:pPr>
        <w:pStyle w:val="FootnoteText"/>
        <w:numPr>
          <w:ilvl w:val="0"/>
          <w:numId w:val="0"/>
        </w:numPr>
        <w:spacing w:line="380" w:lineRule="exact"/>
        <w:ind w:right="0"/>
        <w:rPr>
          <w:rFonts w:hint="cs"/>
          <w:szCs w:val="30"/>
          <w:rtl/>
        </w:rPr>
      </w:pPr>
      <w:r>
        <w:rPr>
          <w:rFonts w:hint="cs"/>
          <w:szCs w:val="30"/>
          <w:rtl/>
        </w:rPr>
        <w:tab/>
        <w:t>(34)</w:t>
      </w:r>
      <w:r>
        <w:rPr>
          <w:rFonts w:hint="cs"/>
          <w:szCs w:val="30"/>
          <w:rtl/>
        </w:rPr>
        <w:tab/>
        <w:t xml:space="preserve">من بينها نحو 600 7 مكان في دور الرعاية الذاتية للمسنين التي تقدم الرعاية الأساسية، </w:t>
      </w:r>
      <w:r>
        <w:rPr>
          <w:szCs w:val="30"/>
          <w:rtl/>
        </w:rPr>
        <w:br/>
      </w:r>
      <w:r>
        <w:rPr>
          <w:rFonts w:hint="cs"/>
          <w:szCs w:val="30"/>
          <w:rtl/>
        </w:rPr>
        <w:t xml:space="preserve">و300 11 مكان في دور الرعاية والعناية التي تقدم خدمات تمريض شخصية ومحدودة، و500 1 مكان في دور التمريض التي تقدم </w:t>
      </w:r>
      <w:r>
        <w:rPr>
          <w:rFonts w:hint="cs"/>
          <w:szCs w:val="30"/>
          <w:rtl/>
        </w:rPr>
        <w:t>مستوى أعلى من الرعاية التمريضية.</w:t>
      </w:r>
    </w:p>
    <w:p w:rsidR="00000000" w:rsidRDefault="00443EC1">
      <w:pPr>
        <w:pStyle w:val="FootnoteText"/>
        <w:numPr>
          <w:ilvl w:val="0"/>
          <w:numId w:val="0"/>
        </w:numPr>
        <w:spacing w:line="380" w:lineRule="exact"/>
        <w:ind w:right="0"/>
        <w:rPr>
          <w:sz w:val="30"/>
          <w:szCs w:val="30"/>
          <w:rtl/>
        </w:rPr>
      </w:pPr>
      <w:r>
        <w:rPr>
          <w:rFonts w:hint="cs"/>
          <w:sz w:val="30"/>
          <w:szCs w:val="30"/>
          <w:rtl/>
        </w:rPr>
        <w:tab/>
        <w:t>(35)</w:t>
      </w:r>
      <w:r>
        <w:rPr>
          <w:rFonts w:hint="cs"/>
          <w:sz w:val="30"/>
          <w:szCs w:val="30"/>
          <w:rtl/>
        </w:rPr>
        <w:tab/>
        <w:t>مشروع يشير إلى التفكير الأولي في شكل القانون الجديد وفي مضمونه.</w:t>
      </w:r>
    </w:p>
    <w:p w:rsidR="00000000" w:rsidRDefault="00443EC1">
      <w:pPr>
        <w:pStyle w:val="FootnoteText"/>
        <w:numPr>
          <w:ilvl w:val="0"/>
          <w:numId w:val="0"/>
        </w:numPr>
        <w:spacing w:line="380" w:lineRule="exact"/>
        <w:ind w:right="0"/>
        <w:rPr>
          <w:sz w:val="30"/>
          <w:szCs w:val="30"/>
          <w:rtl/>
        </w:rPr>
      </w:pPr>
      <w:r>
        <w:rPr>
          <w:rFonts w:hint="cs"/>
          <w:sz w:val="30"/>
          <w:szCs w:val="30"/>
          <w:rtl/>
        </w:rPr>
        <w:tab/>
        <w:t>(36)</w:t>
      </w:r>
      <w:r>
        <w:rPr>
          <w:rFonts w:hint="cs"/>
          <w:sz w:val="30"/>
          <w:szCs w:val="30"/>
          <w:rtl/>
        </w:rPr>
        <w:tab/>
        <w:t>بموجب قانون الشقق بحجم السرير (المادة 447)</w:t>
      </w:r>
    </w:p>
    <w:p w:rsidR="00000000" w:rsidRDefault="00443EC1">
      <w:pPr>
        <w:spacing w:line="380" w:lineRule="exact"/>
        <w:jc w:val="both"/>
        <w:rPr>
          <w:rFonts w:hint="cs"/>
          <w:sz w:val="30"/>
          <w:rtl/>
        </w:rPr>
      </w:pPr>
      <w:r>
        <w:rPr>
          <w:rFonts w:hint="cs"/>
          <w:sz w:val="30"/>
          <w:rtl/>
        </w:rPr>
        <w:tab/>
        <w:t>(37)</w:t>
      </w:r>
      <w:r>
        <w:rPr>
          <w:rFonts w:hint="cs"/>
          <w:sz w:val="30"/>
          <w:rtl/>
        </w:rPr>
        <w:tab/>
      </w:r>
      <w:r>
        <w:rPr>
          <w:rFonts w:hint="cs"/>
          <w:rtl/>
        </w:rPr>
        <w:t>تشتمل بعض الأمثلة من هذه التدابير على برنامج التدريب وإعادة توظيف الأشخاص في منتصف العمر، وعلى وضع</w:t>
      </w:r>
      <w:r>
        <w:rPr>
          <w:rFonts w:hint="cs"/>
          <w:rtl/>
        </w:rPr>
        <w:t xml:space="preserve"> مشاريع للمساعدة الكثيفة العمالة.</w:t>
      </w:r>
    </w:p>
    <w:p w:rsidR="00000000" w:rsidRDefault="00443EC1">
      <w:pPr>
        <w:spacing w:line="380" w:lineRule="exact"/>
        <w:jc w:val="both"/>
        <w:rPr>
          <w:rFonts w:hint="cs"/>
          <w:spacing w:val="0"/>
          <w:rtl/>
          <w:lang w:val="fr-CH"/>
        </w:rPr>
      </w:pPr>
      <w:r>
        <w:rPr>
          <w:rFonts w:hint="cs"/>
          <w:spacing w:val="0"/>
          <w:rtl/>
          <w:lang w:val="fr-CH"/>
        </w:rPr>
        <w:tab/>
        <w:t>(38)</w:t>
      </w:r>
      <w:r>
        <w:rPr>
          <w:rFonts w:hint="cs"/>
          <w:spacing w:val="0"/>
          <w:rtl/>
          <w:lang w:val="fr-CH"/>
        </w:rPr>
        <w:tab/>
      </w:r>
      <w:r>
        <w:rPr>
          <w:rFonts w:hint="cs"/>
          <w:rtl/>
        </w:rPr>
        <w:t>وزارة التعداد والإحصاءات، "تقرير المواضيع الخاصة" العدد 28 - الأشخاص المعاقون والمصابون بأمراض مزمنة، آب/أغسطس 2001، ص. 35.</w:t>
      </w:r>
    </w:p>
    <w:p w:rsidR="00000000" w:rsidRDefault="00443EC1">
      <w:pPr>
        <w:spacing w:line="380" w:lineRule="exact"/>
        <w:jc w:val="both"/>
        <w:rPr>
          <w:rFonts w:hint="cs"/>
          <w:rtl/>
        </w:rPr>
      </w:pPr>
      <w:r>
        <w:rPr>
          <w:rFonts w:hint="cs"/>
          <w:spacing w:val="0"/>
          <w:rtl/>
          <w:lang w:val="fr-CH"/>
        </w:rPr>
        <w:tab/>
        <w:t>(39)</w:t>
      </w:r>
      <w:r>
        <w:rPr>
          <w:rFonts w:hint="cs"/>
          <w:spacing w:val="0"/>
          <w:rtl/>
          <w:lang w:val="fr-CH"/>
        </w:rPr>
        <w:tab/>
      </w:r>
      <w:r>
        <w:rPr>
          <w:rFonts w:hint="cs"/>
          <w:rtl/>
        </w:rPr>
        <w:t>نعرب عن تقديرنا للجنة تكافؤ الفرص على هذه المعلومات.</w:t>
      </w:r>
    </w:p>
    <w:p w:rsidR="00000000" w:rsidRDefault="00443EC1">
      <w:pPr>
        <w:spacing w:line="380" w:lineRule="exact"/>
        <w:jc w:val="both"/>
        <w:rPr>
          <w:rFonts w:hint="cs"/>
          <w:spacing w:val="0"/>
          <w:rtl/>
          <w:lang w:val="fr-CH"/>
        </w:rPr>
      </w:pPr>
      <w:r>
        <w:rPr>
          <w:rFonts w:hint="cs"/>
          <w:spacing w:val="0"/>
          <w:rtl/>
          <w:lang w:val="fr-CH"/>
        </w:rPr>
        <w:tab/>
        <w:t>(40)</w:t>
      </w:r>
      <w:r>
        <w:rPr>
          <w:rFonts w:hint="cs"/>
          <w:spacing w:val="0"/>
          <w:rtl/>
          <w:lang w:val="fr-CH"/>
        </w:rPr>
        <w:tab/>
        <w:t xml:space="preserve">فيما يتعلق بالمادة 6(2) من </w:t>
      </w:r>
      <w:r>
        <w:rPr>
          <w:rFonts w:hint="cs"/>
          <w:spacing w:val="0"/>
          <w:rtl/>
          <w:lang w:val="fr-CH"/>
        </w:rPr>
        <w:t>الاتفاقية.</w:t>
      </w:r>
    </w:p>
    <w:p w:rsidR="00000000" w:rsidRDefault="00443EC1">
      <w:pPr>
        <w:spacing w:line="380" w:lineRule="exact"/>
        <w:jc w:val="both"/>
        <w:rPr>
          <w:rFonts w:hint="cs"/>
          <w:rtl/>
        </w:rPr>
      </w:pPr>
      <w:r>
        <w:rPr>
          <w:rFonts w:hint="cs"/>
          <w:spacing w:val="0"/>
          <w:rtl/>
          <w:lang w:val="fr-CH"/>
        </w:rPr>
        <w:tab/>
        <w:t>(41)</w:t>
      </w:r>
      <w:r>
        <w:rPr>
          <w:rFonts w:hint="cs"/>
          <w:spacing w:val="0"/>
          <w:rtl/>
          <w:lang w:val="fr-CH"/>
        </w:rPr>
        <w:tab/>
      </w:r>
      <w:r>
        <w:rPr>
          <w:rFonts w:hint="cs"/>
          <w:rtl/>
        </w:rPr>
        <w:t>يصادف 31 آذار/مارس نهاية السنة المالية الحكومية.</w:t>
      </w:r>
    </w:p>
    <w:p w:rsidR="00000000" w:rsidRDefault="00443EC1">
      <w:pPr>
        <w:spacing w:line="380" w:lineRule="exact"/>
        <w:jc w:val="both"/>
        <w:rPr>
          <w:rFonts w:hint="cs"/>
          <w:rtl/>
        </w:rPr>
      </w:pPr>
      <w:r>
        <w:rPr>
          <w:rFonts w:hint="cs"/>
          <w:rtl/>
        </w:rPr>
        <w:tab/>
        <w:t>(42)</w:t>
      </w:r>
      <w:r>
        <w:rPr>
          <w:rFonts w:hint="cs"/>
          <w:rtl/>
        </w:rPr>
        <w:tab/>
        <w:t>يشمل ذلك بعض التخصصات من قبيل علم النفس السريري والعلاج المهني.</w:t>
      </w:r>
    </w:p>
    <w:p w:rsidR="00000000" w:rsidRDefault="00443EC1">
      <w:pPr>
        <w:spacing w:line="380" w:lineRule="exact"/>
        <w:jc w:val="both"/>
        <w:rPr>
          <w:rFonts w:hint="cs"/>
          <w:rtl/>
        </w:rPr>
      </w:pPr>
      <w:r>
        <w:rPr>
          <w:rFonts w:hint="cs"/>
          <w:rtl/>
        </w:rPr>
        <w:tab/>
        <w:t>(43)</w:t>
      </w:r>
      <w:r>
        <w:rPr>
          <w:rFonts w:hint="cs"/>
          <w:rtl/>
        </w:rPr>
        <w:tab/>
        <w:t>ينطوي ذلك، مثلا، على قانون تسجيل حالات الدخول إلى المستشفيات ودور رعاية المسنين ودور الولادة (الفصل 165).</w:t>
      </w:r>
    </w:p>
    <w:p w:rsidR="00000000" w:rsidRDefault="00443EC1">
      <w:pPr>
        <w:spacing w:line="380" w:lineRule="exact"/>
        <w:jc w:val="both"/>
        <w:rPr>
          <w:rFonts w:hint="cs"/>
          <w:rtl/>
        </w:rPr>
      </w:pPr>
      <w:r>
        <w:rPr>
          <w:rFonts w:hint="cs"/>
          <w:rtl/>
        </w:rPr>
        <w:tab/>
        <w:t>(44)</w:t>
      </w:r>
      <w:r>
        <w:rPr>
          <w:rFonts w:hint="cs"/>
          <w:rtl/>
        </w:rPr>
        <w:tab/>
      </w:r>
      <w:r>
        <w:rPr>
          <w:rFonts w:hint="cs"/>
          <w:i/>
          <w:iCs/>
          <w:rtl/>
        </w:rPr>
        <w:t>ال</w:t>
      </w:r>
      <w:r>
        <w:rPr>
          <w:rFonts w:hint="cs"/>
          <w:i/>
          <w:iCs/>
          <w:rtl/>
        </w:rPr>
        <w:t>تقرير الذي أعده برنامج الأمم المتحدة المشترك بين منظمات الأمم المتحدة لمكافحة الإيدز عن الوباء العالمي لفيروس نقص المناعة البشرية/الإيدز</w:t>
      </w:r>
      <w:r>
        <w:rPr>
          <w:rFonts w:hint="cs"/>
          <w:rtl/>
        </w:rPr>
        <w:t>، لعام 2002.</w:t>
      </w:r>
    </w:p>
    <w:p w:rsidR="00000000" w:rsidRDefault="00443EC1">
      <w:pPr>
        <w:spacing w:line="380" w:lineRule="exact"/>
        <w:jc w:val="both"/>
        <w:rPr>
          <w:rFonts w:hint="cs"/>
          <w:rtl/>
        </w:rPr>
      </w:pPr>
      <w:r>
        <w:rPr>
          <w:rFonts w:hint="cs"/>
          <w:rtl/>
        </w:rPr>
        <w:tab/>
        <w:t>(45)</w:t>
      </w:r>
      <w:r>
        <w:rPr>
          <w:rFonts w:hint="cs"/>
          <w:rtl/>
        </w:rPr>
        <w:tab/>
        <w:t>من بين هذه المقترحات تنظيم الطب الصيني وتطويره، وتعزيز نهج "طب الأسرة" في المستوصفات الخارجية العمومي</w:t>
      </w:r>
      <w:r>
        <w:rPr>
          <w:rFonts w:hint="cs"/>
          <w:rtl/>
        </w:rPr>
        <w:t>ة، وخفض التكاليف لمراقبة ارتفاع التكاليف الطبية، وإجراء استعراض شامل لهيكل الأجور في نظام الرعاية الصحية العامة.</w:t>
      </w:r>
    </w:p>
    <w:p w:rsidR="00000000" w:rsidRDefault="00443EC1">
      <w:pPr>
        <w:spacing w:line="380" w:lineRule="exact"/>
        <w:jc w:val="both"/>
        <w:rPr>
          <w:rFonts w:hint="cs"/>
          <w:rtl/>
        </w:rPr>
      </w:pPr>
      <w:r>
        <w:rPr>
          <w:rFonts w:hint="cs"/>
          <w:rtl/>
        </w:rPr>
        <w:tab/>
        <w:t>(46)</w:t>
      </w:r>
      <w:r>
        <w:rPr>
          <w:rFonts w:hint="cs"/>
          <w:rtl/>
        </w:rPr>
        <w:tab/>
        <w:t>في هذا النموذج، يشمل "تحليل المخاطر" تقييمها وإدارتها والإبلاغ عنها.</w:t>
      </w:r>
    </w:p>
    <w:p w:rsidR="00000000" w:rsidRDefault="00443EC1">
      <w:pPr>
        <w:spacing w:line="380" w:lineRule="exact"/>
        <w:jc w:val="both"/>
        <w:rPr>
          <w:rFonts w:hint="cs"/>
          <w:rtl/>
        </w:rPr>
      </w:pPr>
      <w:r>
        <w:rPr>
          <w:rFonts w:hint="cs"/>
          <w:rtl/>
        </w:rPr>
        <w:tab/>
        <w:t>(47)</w:t>
      </w:r>
      <w:r>
        <w:rPr>
          <w:rFonts w:hint="cs"/>
          <w:rtl/>
        </w:rPr>
        <w:tab/>
        <w:t>بالإضافة إلى هذه النسخ، وُزِّعت 000 40 نسخة إضافية خلال فترة إ</w:t>
      </w:r>
      <w:r>
        <w:rPr>
          <w:rFonts w:hint="cs"/>
          <w:rtl/>
        </w:rPr>
        <w:t>جراء المشاورات.</w:t>
      </w:r>
    </w:p>
    <w:p w:rsidR="00000000" w:rsidRDefault="00443EC1">
      <w:pPr>
        <w:spacing w:line="380" w:lineRule="exact"/>
        <w:jc w:val="both"/>
        <w:rPr>
          <w:rFonts w:hint="cs"/>
          <w:rtl/>
        </w:rPr>
      </w:pPr>
      <w:r>
        <w:rPr>
          <w:rFonts w:hint="cs"/>
          <w:rtl/>
        </w:rPr>
        <w:tab/>
        <w:t>(48)</w:t>
      </w:r>
      <w:r>
        <w:rPr>
          <w:rFonts w:hint="cs"/>
          <w:rtl/>
        </w:rPr>
        <w:tab/>
        <w:t>يُطلق عليها "إعلانات المصلحة العامة". ومن المزمع أن يصدر في آذار/مارس 2003 إعلان متخصص للمصلحة العامة لتعزيز قبول الجمهور للأشخاص الذين استعادوا عافيتهم و/أو الذين يعانون من مرض عقلي.</w:t>
      </w:r>
    </w:p>
    <w:p w:rsidR="00000000" w:rsidRDefault="00443EC1">
      <w:pPr>
        <w:spacing w:line="380" w:lineRule="exact"/>
        <w:jc w:val="both"/>
        <w:rPr>
          <w:rFonts w:hint="cs"/>
          <w:rtl/>
        </w:rPr>
      </w:pPr>
      <w:r>
        <w:rPr>
          <w:rFonts w:hint="cs"/>
          <w:rtl/>
        </w:rPr>
        <w:tab/>
        <w:t>(49)</w:t>
      </w:r>
      <w:r>
        <w:rPr>
          <w:rFonts w:hint="cs"/>
          <w:rtl/>
        </w:rPr>
        <w:tab/>
        <w:t>تعمل لجنة السياسات كمركز تابع للإدارة لتبادل</w:t>
      </w:r>
      <w:r>
        <w:rPr>
          <w:rFonts w:hint="cs"/>
          <w:rtl/>
        </w:rPr>
        <w:t xml:space="preserve"> جميع مقترحات السياسة العامة. كما تكفل أن تحظى هذه المقترحات بإجماع واسع لدى المكاتب قبل اتخاذ المجلس التنفيذي قراراً نهائيا.</w:t>
      </w:r>
    </w:p>
    <w:p w:rsidR="00000000" w:rsidRDefault="00443EC1">
      <w:pPr>
        <w:spacing w:line="380" w:lineRule="exact"/>
        <w:jc w:val="both"/>
        <w:rPr>
          <w:rFonts w:hint="cs"/>
          <w:rtl/>
        </w:rPr>
      </w:pPr>
      <w:r>
        <w:rPr>
          <w:rFonts w:hint="cs"/>
          <w:rtl/>
        </w:rPr>
        <w:tab/>
        <w:t>(50)</w:t>
      </w:r>
      <w:r>
        <w:rPr>
          <w:rFonts w:hint="cs"/>
          <w:rtl/>
        </w:rPr>
        <w:tab/>
        <w:t>أشارت اللجنة الفرعية لمجلس التعليم، في تقريرها الاستعراضي لعام 1997- وهي لجنة تم إنشاؤها لاستعراض برامج التعليم الإلزامي لمد</w:t>
      </w:r>
      <w:r>
        <w:rPr>
          <w:rFonts w:hint="cs"/>
          <w:rtl/>
        </w:rPr>
        <w:t>ة 6 سنوات-، إلى أن مصطلح "التعليم الإلزامي" قد يحتاج إلى مراجعة لكي لا يفهم منه أنه يعني إجبار صغار السن على الالتحاق بالمدارس، ولكن لكي يفهم منه أنه رسالة لتوفير التعليم الشامل للجميع. ومع ذلك، فقد احتفظنا بعبارة "التعليم المجاني والإلزامي" في هذا التقرير</w:t>
      </w:r>
      <w:r>
        <w:rPr>
          <w:rFonts w:hint="cs"/>
          <w:rtl/>
        </w:rPr>
        <w:t xml:space="preserve"> بأجمله في ضوء المادة 13-2 (أ) من العهد.</w:t>
      </w:r>
    </w:p>
    <w:p w:rsidR="00000000" w:rsidRDefault="00443EC1">
      <w:pPr>
        <w:spacing w:line="380" w:lineRule="exact"/>
        <w:jc w:val="both"/>
        <w:rPr>
          <w:rFonts w:hint="cs"/>
          <w:rtl/>
        </w:rPr>
      </w:pPr>
      <w:r>
        <w:rPr>
          <w:rFonts w:hint="cs"/>
          <w:rtl/>
        </w:rPr>
        <w:tab/>
        <w:t>(51)</w:t>
      </w:r>
      <w:r>
        <w:rPr>
          <w:rFonts w:hint="cs"/>
          <w:rtl/>
        </w:rPr>
        <w:tab/>
        <w:t>أصبحت مستويات توفير الأماكن الجديدة نافذة في أيلول/سبتمبر 2002. وهي بداية السنة الدراسية 2002-2003.</w:t>
      </w:r>
    </w:p>
    <w:p w:rsidR="00000000" w:rsidRDefault="00443EC1">
      <w:pPr>
        <w:spacing w:line="380" w:lineRule="exact"/>
        <w:jc w:val="both"/>
        <w:rPr>
          <w:rFonts w:hint="cs"/>
          <w:rtl/>
        </w:rPr>
      </w:pPr>
      <w:r>
        <w:rPr>
          <w:rFonts w:hint="cs"/>
          <w:rtl/>
        </w:rPr>
        <w:tab/>
        <w:t>(52)</w:t>
      </w:r>
      <w:r>
        <w:rPr>
          <w:rFonts w:hint="cs"/>
          <w:rtl/>
        </w:rPr>
        <w:tab/>
        <w:t>هذا هو "المَعلم" بالنسبة للحكومة والمدارس المعانة. وتحدد المدارس الخاصة رسومها وفقاً لما تقتضيه عملية ت</w:t>
      </w:r>
      <w:r>
        <w:rPr>
          <w:rFonts w:hint="cs"/>
          <w:rtl/>
        </w:rPr>
        <w:t>غطية التكاليف وفي بعض الأحيان لتحقيق الربح.</w:t>
      </w:r>
    </w:p>
    <w:p w:rsidR="00000000" w:rsidRDefault="00443EC1">
      <w:pPr>
        <w:spacing w:line="380" w:lineRule="exact"/>
        <w:jc w:val="both"/>
        <w:rPr>
          <w:rFonts w:hint="cs"/>
          <w:rtl/>
        </w:rPr>
      </w:pPr>
      <w:r>
        <w:rPr>
          <w:rFonts w:hint="cs"/>
          <w:rtl/>
        </w:rPr>
        <w:tab/>
        <w:t>(53)</w:t>
      </w:r>
      <w:r>
        <w:rPr>
          <w:rFonts w:hint="cs"/>
          <w:rtl/>
        </w:rPr>
        <w:tab/>
        <w:t>انظر الفقرات من 385 إلى 396 أعلاه فيما يتعلق بالمادة 6 من العهد.</w:t>
      </w:r>
    </w:p>
    <w:p w:rsidR="00000000" w:rsidRDefault="00443EC1">
      <w:pPr>
        <w:spacing w:line="380" w:lineRule="exact"/>
        <w:jc w:val="both"/>
        <w:rPr>
          <w:rFonts w:hint="cs"/>
          <w:rtl/>
        </w:rPr>
      </w:pPr>
      <w:r>
        <w:rPr>
          <w:rFonts w:hint="cs"/>
          <w:rtl/>
        </w:rPr>
        <w:tab/>
        <w:t>(54)</w:t>
      </w:r>
      <w:r>
        <w:rPr>
          <w:rFonts w:hint="cs"/>
          <w:rtl/>
        </w:rPr>
        <w:tab/>
        <w:t>ربما تعين علينا أن نبيّن أن اللغة الصينية المكتوبة - التي هي موحدة إلى حد بعيد ويمكن أن يقرأها الملمون بقراءة وكتابة اللغات الصينية الأ</w:t>
      </w:r>
      <w:r>
        <w:rPr>
          <w:rFonts w:hint="cs"/>
          <w:rtl/>
        </w:rPr>
        <w:t>خرى والناطقون بها - تختلف إلى درجة كبيرة عن اللغة الكانتونية المتحدَّث بها.</w:t>
      </w:r>
    </w:p>
    <w:p w:rsidR="00000000" w:rsidRDefault="00443EC1">
      <w:pPr>
        <w:spacing w:line="380" w:lineRule="exact"/>
        <w:jc w:val="both"/>
        <w:rPr>
          <w:rFonts w:hint="cs"/>
          <w:rtl/>
        </w:rPr>
      </w:pPr>
      <w:r>
        <w:rPr>
          <w:rFonts w:hint="cs"/>
          <w:rtl/>
        </w:rPr>
        <w:tab/>
        <w:t>(55)</w:t>
      </w:r>
      <w:r>
        <w:rPr>
          <w:rFonts w:hint="cs"/>
          <w:rtl/>
        </w:rPr>
        <w:tab/>
        <w:t>تتضمن هذه المدارس تلك المدارس التي عادة ما توفر التعليم للأقليات المستقرة في هونغ كونغ (انظر أيضاً الفقرة 705 أعلاه).</w:t>
      </w:r>
    </w:p>
    <w:p w:rsidR="00000000" w:rsidRDefault="00443EC1">
      <w:pPr>
        <w:spacing w:line="380" w:lineRule="exact"/>
        <w:jc w:val="both"/>
        <w:rPr>
          <w:rFonts w:hint="cs"/>
          <w:rtl/>
        </w:rPr>
      </w:pPr>
      <w:r>
        <w:rPr>
          <w:rFonts w:hint="cs"/>
          <w:rtl/>
        </w:rPr>
        <w:tab/>
        <w:t>(56)</w:t>
      </w:r>
      <w:r>
        <w:rPr>
          <w:rFonts w:hint="cs"/>
          <w:rtl/>
        </w:rPr>
        <w:tab/>
        <w:t>وهي تشبه الخدمات المقدمة إلى الأطفال الوافدين حديث</w:t>
      </w:r>
      <w:r>
        <w:rPr>
          <w:rFonts w:hint="cs"/>
          <w:rtl/>
        </w:rPr>
        <w:t>اً من الصين القارية.</w:t>
      </w:r>
    </w:p>
    <w:p w:rsidR="00000000" w:rsidRDefault="00443EC1">
      <w:pPr>
        <w:spacing w:line="380" w:lineRule="exact"/>
        <w:jc w:val="both"/>
        <w:rPr>
          <w:rFonts w:hint="cs"/>
          <w:rtl/>
        </w:rPr>
      </w:pPr>
      <w:r>
        <w:rPr>
          <w:rFonts w:hint="cs"/>
          <w:rtl/>
        </w:rPr>
        <w:tab/>
        <w:t>(57)</w:t>
      </w:r>
      <w:r>
        <w:rPr>
          <w:rFonts w:hint="cs"/>
          <w:rtl/>
        </w:rPr>
        <w:tab/>
        <w:t xml:space="preserve">شهادة التعليم العام للتوحيد </w:t>
      </w:r>
      <w:r>
        <w:t>(GCE)</w:t>
      </w:r>
      <w:r>
        <w:rPr>
          <w:rFonts w:hint="cs"/>
          <w:rtl/>
        </w:rPr>
        <w:t xml:space="preserve"> أو مستوى التعليم العادي </w:t>
      </w:r>
      <w:r>
        <w:t>(O-LEVEL)</w:t>
      </w:r>
      <w:r>
        <w:rPr>
          <w:rFonts w:hint="cs"/>
          <w:rtl/>
        </w:rPr>
        <w:t xml:space="preserve"> شهادة يحصل عليها الطالب بعد إجراء امتحان في مدارس إنكليزية في سن 16 عاماً في الأحوال العادية.</w:t>
      </w:r>
    </w:p>
    <w:p w:rsidR="00000000" w:rsidRDefault="00443EC1">
      <w:pPr>
        <w:spacing w:line="380" w:lineRule="exact"/>
        <w:jc w:val="both"/>
        <w:rPr>
          <w:rFonts w:hint="cs"/>
          <w:rtl/>
        </w:rPr>
      </w:pPr>
      <w:r>
        <w:rPr>
          <w:rFonts w:hint="cs"/>
          <w:rtl/>
        </w:rPr>
        <w:tab/>
        <w:t>(58)</w:t>
      </w:r>
      <w:r>
        <w:rPr>
          <w:rFonts w:hint="cs"/>
          <w:rtl/>
        </w:rPr>
        <w:tab/>
        <w:t xml:space="preserve">دولار هونغ كونغ مرتبط بدولار الولايات المتحدة بسعر 7.8 دولار </w:t>
      </w:r>
      <w:r>
        <w:rPr>
          <w:rFonts w:hint="cs"/>
          <w:rtl/>
        </w:rPr>
        <w:t>من دولارات هونغ كونغ للدولار الأمريكي الواحد.</w:t>
      </w:r>
    </w:p>
    <w:p w:rsidR="00000000" w:rsidRDefault="00443EC1">
      <w:pPr>
        <w:spacing w:line="380" w:lineRule="exact"/>
        <w:jc w:val="both"/>
        <w:rPr>
          <w:rFonts w:hint="cs"/>
          <w:rtl/>
        </w:rPr>
      </w:pPr>
      <w:r>
        <w:rPr>
          <w:rFonts w:hint="cs"/>
          <w:rtl/>
        </w:rPr>
        <w:tab/>
        <w:t>(59)</w:t>
      </w:r>
      <w:r>
        <w:rPr>
          <w:rFonts w:hint="cs"/>
          <w:rtl/>
        </w:rPr>
        <w:tab/>
        <w:t xml:space="preserve">الأشخاص المؤهلون هم أشخاص يملكون الحق في الإقامة في هونغ كونغ أو أقاموا فيها أو كان مقر سكناهم الأصلي فيها لفترة ثلاث سنوات كاملة متتابعة مباشرة قبل البدء بالدورة الدراسية. </w:t>
      </w:r>
    </w:p>
    <w:p w:rsidR="00000000" w:rsidRDefault="00443EC1">
      <w:pPr>
        <w:spacing w:line="380" w:lineRule="exact"/>
        <w:jc w:val="both"/>
        <w:rPr>
          <w:rFonts w:hint="cs"/>
          <w:rtl/>
        </w:rPr>
      </w:pPr>
      <w:r>
        <w:rPr>
          <w:rFonts w:hint="cs"/>
          <w:rtl/>
        </w:rPr>
        <w:tab/>
        <w:t>(60)</w:t>
      </w:r>
      <w:r>
        <w:rPr>
          <w:rFonts w:hint="cs"/>
          <w:rtl/>
        </w:rPr>
        <w:tab/>
        <w:t>الغرض من صندوق التعليم ا</w:t>
      </w:r>
      <w:r>
        <w:rPr>
          <w:rFonts w:hint="cs"/>
          <w:rtl/>
        </w:rPr>
        <w:t>لمستمر هو تقديم الإعانات إلى الأشخاص الذين تتراوح أعمارهم بين 18 و60 عاماً لمواصلة التعليم والالتحاق بالدورات التدريبية التي تعود بالفائدة على التنمية الاقتصادية في هونغ كونغ.</w:t>
      </w:r>
    </w:p>
    <w:p w:rsidR="00000000" w:rsidRDefault="00443EC1">
      <w:pPr>
        <w:spacing w:line="380" w:lineRule="exact"/>
        <w:jc w:val="both"/>
        <w:rPr>
          <w:rFonts w:hint="cs"/>
          <w:rtl/>
        </w:rPr>
      </w:pPr>
      <w:r>
        <w:rPr>
          <w:rFonts w:hint="cs"/>
          <w:rtl/>
        </w:rPr>
        <w:tab/>
        <w:t>(61)</w:t>
      </w:r>
      <w:r>
        <w:rPr>
          <w:rFonts w:hint="cs"/>
          <w:rtl/>
        </w:rPr>
        <w:tab/>
        <w:t>يشمل المصطلح الأطفال الذين يواجهون صعوبات خاصة في التعلم. وتعتبر لجنة تكاف</w:t>
      </w:r>
      <w:r>
        <w:rPr>
          <w:rFonts w:hint="cs"/>
          <w:rtl/>
        </w:rPr>
        <w:t xml:space="preserve">ؤ الفرص أن </w:t>
      </w:r>
      <w:r>
        <w:rPr>
          <w:rFonts w:hint="cs"/>
          <w:spacing w:val="0"/>
          <w:rtl/>
        </w:rPr>
        <w:t>هذه الصعوبات تشكل إعاقة لأغراض قانون التمييز القائم على الإعاقة. وقد حثتنا هذه اللجنة على وضع استراتيجيات للتعلم للاستجابة للاحتياجات التعليمية لأولئك الأطفال. والوضع هو على النحو المبيَّن في الفقرة 730 أدناه.</w:t>
      </w:r>
    </w:p>
    <w:p w:rsidR="00000000" w:rsidRDefault="00443EC1">
      <w:pPr>
        <w:spacing w:line="380" w:lineRule="exact"/>
        <w:jc w:val="both"/>
        <w:rPr>
          <w:rFonts w:hint="cs"/>
          <w:rtl/>
        </w:rPr>
      </w:pPr>
      <w:r>
        <w:rPr>
          <w:rFonts w:hint="cs"/>
          <w:rtl/>
        </w:rPr>
        <w:tab/>
        <w:t>(62)</w:t>
      </w:r>
      <w:r>
        <w:rPr>
          <w:rFonts w:hint="cs"/>
          <w:rtl/>
        </w:rPr>
        <w:tab/>
        <w:t>"المهاجرون المؤهلون" هم الأشخ</w:t>
      </w:r>
      <w:r>
        <w:rPr>
          <w:rFonts w:hint="cs"/>
          <w:rtl/>
        </w:rPr>
        <w:t>اص الذين لم تعترف السلطات الفييتنامية بأنهم من مواطنيها.</w:t>
      </w:r>
    </w:p>
    <w:p w:rsidR="00000000" w:rsidRDefault="00443EC1">
      <w:pPr>
        <w:spacing w:line="380" w:lineRule="exact"/>
        <w:jc w:val="both"/>
        <w:rPr>
          <w:rFonts w:hint="cs"/>
          <w:rtl/>
        </w:rPr>
      </w:pPr>
      <w:r>
        <w:rPr>
          <w:rFonts w:hint="cs"/>
          <w:rtl/>
        </w:rPr>
        <w:tab/>
        <w:t>(63)</w:t>
      </w:r>
      <w:r>
        <w:rPr>
          <w:rFonts w:hint="cs"/>
          <w:rtl/>
        </w:rPr>
        <w:tab/>
        <w:t>ترد في الفقرات من 397 إلى 404 من الفرع ثامناً (ألف) من تقريرنا الأولي المقدم بموجب اتفاقية حقوق الطفل معالجة مسألة تعليم أولئك الأطفال أو غيرهم من الأطفال الذين إما هم متواجدون في هونغ كونغ بصو</w:t>
      </w:r>
      <w:r>
        <w:rPr>
          <w:rFonts w:hint="cs"/>
          <w:rtl/>
        </w:rPr>
        <w:t>رة غير مشروعة أو أنهم متواجدون فيها ريثما يتم التحقق من وضع إقامتهم.</w:t>
      </w:r>
    </w:p>
    <w:p w:rsidR="00000000" w:rsidRDefault="00443EC1">
      <w:pPr>
        <w:spacing w:line="380" w:lineRule="exact"/>
        <w:jc w:val="both"/>
        <w:rPr>
          <w:rStyle w:val="FootnoteReference"/>
          <w:rFonts w:hint="cs"/>
          <w:bCs w:val="0"/>
          <w:vertAlign w:val="baseline"/>
          <w:rtl/>
        </w:rPr>
      </w:pPr>
      <w:r>
        <w:rPr>
          <w:rFonts w:hint="cs"/>
          <w:rtl/>
        </w:rPr>
        <w:tab/>
        <w:t>(64)</w:t>
      </w:r>
      <w:r>
        <w:rPr>
          <w:rFonts w:hint="cs"/>
          <w:rtl/>
        </w:rPr>
        <w:tab/>
        <w:t>بما في ذلك موضوعات من بينها مكافحة التمييز، والحرية، والقيم الصينية التقليدية، والمواطنة العصرية، وحقوق الإنسان والقانون الإنساني، والملكية الفكرية، وحرية الصحافة ووسائل الإعلام.</w:t>
      </w:r>
    </w:p>
    <w:p w:rsidR="00000000" w:rsidRDefault="00443EC1">
      <w:pPr>
        <w:spacing w:line="380" w:lineRule="exact"/>
        <w:jc w:val="both"/>
        <w:rPr>
          <w:rFonts w:hint="cs"/>
          <w:rtl/>
        </w:rPr>
      </w:pPr>
      <w:r>
        <w:rPr>
          <w:rFonts w:hint="cs"/>
          <w:rtl/>
        </w:rPr>
        <w:tab/>
        <w:t>(</w:t>
      </w:r>
      <w:r>
        <w:rPr>
          <w:rFonts w:hint="cs"/>
          <w:rtl/>
        </w:rPr>
        <w:t>65)</w:t>
      </w:r>
      <w:r>
        <w:rPr>
          <w:rFonts w:hint="cs"/>
          <w:rtl/>
        </w:rPr>
        <w:tab/>
        <w:t>تقدم شركة حظائر العلم والتكنولوجيا في هونغ كونغ خدمات مجمَّعة في شكل دعم الهياكل الأساسية للشركات والأنشطة المعنية بالتكنولوجيا.</w:t>
      </w:r>
    </w:p>
    <w:p w:rsidR="00000000" w:rsidRDefault="00443EC1">
      <w:pPr>
        <w:spacing w:line="380" w:lineRule="exact"/>
        <w:jc w:val="both"/>
        <w:rPr>
          <w:rFonts w:hint="cs"/>
          <w:rtl/>
        </w:rPr>
      </w:pPr>
      <w:r>
        <w:rPr>
          <w:rFonts w:hint="cs"/>
          <w:rtl/>
        </w:rPr>
        <w:tab/>
        <w:t>(66)</w:t>
      </w:r>
      <w:r>
        <w:rPr>
          <w:rFonts w:hint="cs"/>
          <w:rtl/>
        </w:rPr>
        <w:tab/>
        <w:t>يقوم معهد العلوم التطبيقية والبحوث التكنولوجية بأنشطة البحث والتنمية ويقدم نتائجه إلى قطاع الصناعة لترويج هذه النتائج</w:t>
      </w:r>
      <w:r>
        <w:rPr>
          <w:rFonts w:hint="cs"/>
          <w:rtl/>
        </w:rPr>
        <w:t xml:space="preserve"> بغية رفع مستوى الصناعة من الناحية التكنولوجية وحفز نمط الصناعة التي تقوم على التكنولوجيا.</w:t>
      </w:r>
    </w:p>
    <w:p w:rsidR="00000000" w:rsidRDefault="00443EC1">
      <w:pPr>
        <w:spacing w:line="380" w:lineRule="exact"/>
        <w:jc w:val="both"/>
        <w:rPr>
          <w:rFonts w:hint="cs"/>
          <w:rtl/>
        </w:rPr>
      </w:pPr>
      <w:r>
        <w:rPr>
          <w:rFonts w:hint="cs"/>
          <w:rtl/>
        </w:rPr>
        <w:tab/>
        <w:t>(67)</w:t>
      </w:r>
      <w:r>
        <w:rPr>
          <w:rFonts w:hint="cs"/>
          <w:rtl/>
        </w:rPr>
        <w:tab/>
        <w:t>يقوم مجلس الإنتاج لهونغ كونغ بترويج القدرة على الإنتاج الصناعي من خلال تقديم الخدمات المهنية لتعزيز مضمون القيمة المضافة للمنتجات والخدمات.</w:t>
      </w:r>
    </w:p>
    <w:p w:rsidR="00000000" w:rsidRDefault="00443EC1">
      <w:pPr>
        <w:spacing w:line="380" w:lineRule="exact"/>
        <w:jc w:val="both"/>
        <w:rPr>
          <w:rFonts w:hint="cs"/>
          <w:rtl/>
        </w:rPr>
      </w:pPr>
      <w:r>
        <w:rPr>
          <w:rFonts w:hint="cs"/>
          <w:rtl/>
        </w:rPr>
        <w:tab/>
        <w:t>(68)</w:t>
      </w:r>
      <w:r>
        <w:rPr>
          <w:rFonts w:hint="cs"/>
          <w:rtl/>
        </w:rPr>
        <w:tab/>
        <w:t>يقدم صندوق ال</w:t>
      </w:r>
      <w:r>
        <w:rPr>
          <w:rFonts w:hint="cs"/>
          <w:rtl/>
        </w:rPr>
        <w:t>بحوث التطبيقية الدعم للمشاريع التكنولوجية ذات الإمكانات التجارية.</w:t>
      </w:r>
    </w:p>
    <w:p w:rsidR="00000000" w:rsidRDefault="00443EC1">
      <w:pPr>
        <w:spacing w:line="380" w:lineRule="exact"/>
        <w:jc w:val="both"/>
        <w:rPr>
          <w:rStyle w:val="FootnoteReference"/>
          <w:bCs w:val="0"/>
          <w:vertAlign w:val="baseline"/>
          <w:rtl/>
        </w:rPr>
      </w:pPr>
      <w:r>
        <w:rPr>
          <w:rFonts w:hint="cs"/>
          <w:rtl/>
        </w:rPr>
        <w:tab/>
        <w:t>(69)</w:t>
      </w:r>
      <w:r>
        <w:rPr>
          <w:rFonts w:hint="cs"/>
          <w:rtl/>
        </w:rPr>
        <w:tab/>
        <w:t>يدعم صندوق الابتكار والتكنولوجيا المشاريع التي تسهم في النهوض بالتجديد ورفع المستوى التكنولوجي في الصناعات المحلية. وقد حل محل صندوق الدعم الصناعي السابق وصندوق دعم الخدمات المشار إليه</w:t>
      </w:r>
      <w:r>
        <w:rPr>
          <w:rFonts w:hint="cs"/>
          <w:rtl/>
        </w:rPr>
        <w:t>ما في الفقرة 606 من التقرير الأولي.</w:t>
      </w:r>
    </w:p>
    <w:p w:rsidR="00000000" w:rsidRDefault="00443EC1">
      <w:pPr>
        <w:spacing w:line="380" w:lineRule="exact"/>
        <w:jc w:val="both"/>
        <w:rPr>
          <w:rStyle w:val="FootnoteReference"/>
          <w:rFonts w:hint="cs"/>
          <w:bCs w:val="0"/>
          <w:vertAlign w:val="baseline"/>
        </w:rPr>
      </w:pPr>
      <w:r>
        <w:rPr>
          <w:rFonts w:hint="cs"/>
          <w:rtl/>
        </w:rPr>
        <w:tab/>
        <w:t>(70)</w:t>
      </w:r>
      <w:r>
        <w:rPr>
          <w:rFonts w:hint="cs"/>
          <w:rtl/>
        </w:rPr>
        <w:tab/>
        <w:t>أخطرت جمهورية البرتغال الأمين العام للأمم المتحدة، بتاريخ 27 نيسان/أبريل 1993، بتمديد نطاق انطباق العهد ليشمل مقاطعة ماكاو.</w:t>
      </w:r>
    </w:p>
    <w:p w:rsidR="00000000" w:rsidRDefault="00443EC1">
      <w:pPr>
        <w:spacing w:line="380" w:lineRule="exact"/>
        <w:jc w:val="center"/>
        <w:rPr>
          <w:rFonts w:hint="cs"/>
          <w:b/>
          <w:bCs/>
          <w:spacing w:val="2"/>
          <w:rtl/>
          <w:lang w:eastAsia="en-US"/>
        </w:rPr>
      </w:pPr>
      <w:r>
        <w:rPr>
          <w:rFonts w:hint="cs"/>
          <w:b/>
          <w:bCs/>
          <w:spacing w:val="2"/>
          <w:rtl/>
          <w:lang w:eastAsia="en-US"/>
        </w:rPr>
        <w:t>- - - - -</w:t>
      </w:r>
    </w:p>
    <w:p w:rsidR="00000000" w:rsidRDefault="00443EC1">
      <w:pPr>
        <w:spacing w:line="380" w:lineRule="exact"/>
        <w:jc w:val="both"/>
        <w:rPr>
          <w:rFonts w:hint="cs"/>
          <w:spacing w:val="2"/>
          <w:lang w:eastAsia="en-US"/>
        </w:rPr>
      </w:pPr>
    </w:p>
    <w:sectPr w:rsidR="00000000">
      <w:headerReference w:type="even" r:id="rId18"/>
      <w:headerReference w:type="default" r:id="rId19"/>
      <w:headerReference w:type="first" r:id="rId20"/>
      <w:footerReference w:type="first" r:id="rId21"/>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udir MT">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43EC1">
    <w:pPr>
      <w:pStyle w:val="Footer"/>
      <w:bidi w:val="0"/>
      <w:jc w:val="right"/>
      <w:rPr>
        <w:rtl/>
        <w:lang w:eastAsia="en-US"/>
      </w:rPr>
    </w:pPr>
    <w:r>
      <w:rPr>
        <w:szCs w:val="22"/>
        <w:lang w:eastAsia="en-US"/>
      </w:rPr>
      <w:t>(A)   GE.04-40654  281004  071</w:t>
    </w:r>
    <w:r>
      <w:rPr>
        <w:szCs w:val="22"/>
        <w:lang w:eastAsia="en-US"/>
      </w:rPr>
      <w:t>204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spacing w:before="0" w:after="0"/>
        <w:ind w:right="0"/>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numPr>
          <w:ilvl w:val="0"/>
          <w:numId w:val="0"/>
        </w:numPr>
        <w:spacing w:before="0" w:after="0" w:line="360" w:lineRule="exact"/>
        <w:ind w:right="0"/>
        <w:rPr>
          <w:sz w:val="24"/>
          <w:szCs w:val="26"/>
          <w:rtl/>
        </w:rPr>
      </w:pPr>
      <w:r>
        <w:rPr>
          <w:rFonts w:hint="cs"/>
          <w:sz w:val="24"/>
          <w:szCs w:val="26"/>
          <w:rtl/>
        </w:rPr>
        <w:tab/>
      </w:r>
      <w:r>
        <w:rPr>
          <w:rStyle w:val="FootnoteReference"/>
          <w:sz w:val="20"/>
          <w:szCs w:val="26"/>
          <w:vertAlign w:val="baseline"/>
        </w:rPr>
        <w:sym w:font="Symbol" w:char="F02A"/>
      </w:r>
      <w:r>
        <w:rPr>
          <w:rFonts w:hint="cs"/>
          <w:sz w:val="24"/>
          <w:szCs w:val="26"/>
          <w:rtl/>
        </w:rPr>
        <w:tab/>
      </w:r>
      <w:r>
        <w:rPr>
          <w:rFonts w:hint="cs"/>
          <w:sz w:val="26"/>
          <w:rtl/>
          <w:lang w:eastAsia="en-US"/>
        </w:rPr>
        <w:t xml:space="preserve">ترد في الوثيقة الأساسية </w:t>
      </w:r>
      <w:r>
        <w:rPr>
          <w:sz w:val="20"/>
          <w:lang w:eastAsia="en-US"/>
        </w:rPr>
        <w:t>(HRI/CORE/1/Add.21/Rev.2)</w:t>
      </w:r>
      <w:r>
        <w:rPr>
          <w:rFonts w:hint="cs"/>
          <w:sz w:val="26"/>
          <w:rtl/>
          <w:lang w:eastAsia="en-US"/>
        </w:rPr>
        <w:t xml:space="preserve"> المعلومات التي قدمتها جمهورية الصين الشعبية وفقاً للمبادئ التوجيهية بشأن الجزء الاستهلالي من تقارير الدول الأطراف.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34"/>
    </w:tblGrid>
    <w:tr w:rsidR="00443EC1" w:rsidTr="00443EC1">
      <w:tblPrEx>
        <w:tblCellMar>
          <w:top w:w="0" w:type="dxa"/>
          <w:bottom w:w="0" w:type="dxa"/>
        </w:tblCellMar>
      </w:tblPrEx>
      <w:tc>
        <w:tcPr>
          <w:tcW w:w="1934" w:type="dxa"/>
        </w:tcPr>
        <w:p w:rsidR="00000000" w:rsidRDefault="00443EC1">
          <w:pPr>
            <w:pStyle w:val="Header"/>
            <w:bidi w:val="0"/>
          </w:pPr>
          <w:r>
            <w:t>E/1990/5/Add.59</w:t>
          </w:r>
        </w:p>
        <w:p w:rsidR="00000000" w:rsidRDefault="00443EC1">
          <w:pPr>
            <w:pStyle w:val="Header"/>
            <w:bidi w:val="0"/>
          </w:pPr>
          <w:r>
            <w:t xml:space="preserve">Page </w:t>
          </w:r>
          <w:r>
            <w:fldChar w:fldCharType="begin"/>
          </w:r>
          <w:r>
            <w:instrText xml:space="preserve"> PAGE  \* MERGEFORMAT </w:instrText>
          </w:r>
          <w:r>
            <w:fldChar w:fldCharType="separate"/>
          </w:r>
          <w:r>
            <w:t>240</w:t>
          </w:r>
          <w:r>
            <w:fldChar w:fldCharType="end"/>
          </w:r>
        </w:p>
      </w:tc>
    </w:tr>
  </w:tbl>
  <w:p w:rsidR="00000000" w:rsidRDefault="00443EC1">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43EC1">
    <w:pPr>
      <w:pStyle w:val="Header"/>
      <w:bidi w:val="0"/>
    </w:pPr>
    <w:r>
      <w:t>E/1990/5/Add.59</w:t>
    </w:r>
  </w:p>
  <w:p w:rsidR="00000000" w:rsidRDefault="00443EC1">
    <w:pPr>
      <w:pStyle w:val="Header"/>
      <w:bidi w:val="0"/>
    </w:pPr>
    <w:r>
      <w:t xml:space="preserve">Page </w:t>
    </w:r>
    <w:r>
      <w:fldChar w:fldCharType="begin"/>
    </w:r>
    <w:r>
      <w:instrText xml:space="preserve"> PAGE  \* MERGEFORMAT </w:instrText>
    </w:r>
    <w:r>
      <w:fldChar w:fldCharType="separate"/>
    </w:r>
    <w:r>
      <w:t>241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43EC1">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443EC1">
    <w:pPr>
      <w:pBdr>
        <w:bottom w:val="single" w:sz="6" w:space="1" w:color="auto"/>
      </w:pBdr>
      <w:bidi w:val="0"/>
      <w:spacing w:before="0" w:after="0"/>
      <w:rPr>
        <w:rFonts w:cs="Times New Roman"/>
        <w:szCs w:val="22"/>
        <w:lang w:eastAsia="en-US"/>
      </w:rPr>
    </w:pPr>
  </w:p>
  <w:p w:rsidR="00000000" w:rsidRDefault="00443EC1">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394880505" r:id="rId2"/>
      </w:pict>
    </w:r>
  </w:p>
  <w:p w:rsidR="00000000" w:rsidRDefault="00443EC1">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443EC1">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443EC1">
    <w:pPr>
      <w:pStyle w:val="Header"/>
      <w:bidi w:val="0"/>
      <w:rPr>
        <w:szCs w:val="22"/>
        <w:lang w:eastAsia="en-US"/>
      </w:rPr>
    </w:pPr>
  </w:p>
  <w:p w:rsidR="00000000" w:rsidRDefault="00443EC1">
    <w:pPr>
      <w:pStyle w:val="Header"/>
      <w:bidi w:val="0"/>
      <w:rPr>
        <w:szCs w:val="22"/>
        <w:lang w:eastAsia="en-US"/>
      </w:rPr>
    </w:pPr>
  </w:p>
  <w:p w:rsidR="00000000" w:rsidRDefault="00443EC1">
    <w:pPr>
      <w:pStyle w:val="Header"/>
      <w:bidi w:val="0"/>
      <w:rPr>
        <w:szCs w:val="22"/>
        <w:lang w:eastAsia="en-US"/>
      </w:rPr>
    </w:pPr>
  </w:p>
  <w:p w:rsidR="00000000" w:rsidRDefault="00443EC1">
    <w:pPr>
      <w:pStyle w:val="Header"/>
      <w:bidi w:val="0"/>
      <w:rPr>
        <w:szCs w:val="22"/>
        <w:lang w:eastAsia="en-US"/>
      </w:rPr>
    </w:pPr>
  </w:p>
  <w:p w:rsidR="00000000" w:rsidRDefault="00443EC1">
    <w:pPr>
      <w:pStyle w:val="Header"/>
      <w:bidi w:val="0"/>
      <w:rPr>
        <w:rtl/>
        <w:lang w:eastAsia="en-US"/>
      </w:rPr>
    </w:pPr>
  </w:p>
  <w:p w:rsidR="00000000" w:rsidRDefault="00443EC1">
    <w:pPr>
      <w:pStyle w:val="Header"/>
      <w:bidi w:val="0"/>
      <w:rPr>
        <w:rtl/>
        <w:lang w:eastAsia="en-US"/>
      </w:rPr>
    </w:pPr>
  </w:p>
  <w:p w:rsidR="00000000" w:rsidRDefault="00443EC1">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1AC0612B"/>
    <w:multiLevelType w:val="hybridMultilevel"/>
    <w:tmpl w:val="15A0FEF8"/>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6">
    <w:nsid w:val="1DC305EE"/>
    <w:multiLevelType w:val="hybridMultilevel"/>
    <w:tmpl w:val="15A0FEF8"/>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7">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3FF69EB"/>
    <w:multiLevelType w:val="hybridMultilevel"/>
    <w:tmpl w:val="00D8D696"/>
    <w:lvl w:ilvl="0" w:tplc="C8E6D104">
      <w:start w:val="428"/>
      <w:numFmt w:val="decimal"/>
      <w:lvlText w:val="%1-"/>
      <w:lvlJc w:val="left"/>
      <w:pPr>
        <w:tabs>
          <w:tab w:val="num" w:pos="1065"/>
        </w:tabs>
        <w:ind w:left="1065" w:right="1065" w:hanging="705"/>
      </w:pPr>
      <w:rPr>
        <w:rFonts w:hint="default"/>
      </w:rPr>
    </w:lvl>
    <w:lvl w:ilvl="1" w:tplc="040C0019" w:tentative="1">
      <w:start w:val="1"/>
      <w:numFmt w:val="lowerLetter"/>
      <w:lvlText w:val="%2."/>
      <w:lvlJc w:val="left"/>
      <w:pPr>
        <w:tabs>
          <w:tab w:val="num" w:pos="1440"/>
        </w:tabs>
        <w:ind w:left="1440" w:right="1440" w:hanging="360"/>
      </w:pPr>
    </w:lvl>
    <w:lvl w:ilvl="2" w:tplc="040C001B" w:tentative="1">
      <w:start w:val="1"/>
      <w:numFmt w:val="lowerRoman"/>
      <w:lvlText w:val="%3."/>
      <w:lvlJc w:val="right"/>
      <w:pPr>
        <w:tabs>
          <w:tab w:val="num" w:pos="2160"/>
        </w:tabs>
        <w:ind w:left="2160" w:right="2160" w:hanging="180"/>
      </w:pPr>
    </w:lvl>
    <w:lvl w:ilvl="3" w:tplc="040C000F" w:tentative="1">
      <w:start w:val="1"/>
      <w:numFmt w:val="decimal"/>
      <w:lvlText w:val="%4."/>
      <w:lvlJc w:val="left"/>
      <w:pPr>
        <w:tabs>
          <w:tab w:val="num" w:pos="2880"/>
        </w:tabs>
        <w:ind w:left="2880" w:right="2880" w:hanging="360"/>
      </w:pPr>
    </w:lvl>
    <w:lvl w:ilvl="4" w:tplc="040C0019" w:tentative="1">
      <w:start w:val="1"/>
      <w:numFmt w:val="lowerLetter"/>
      <w:lvlText w:val="%5."/>
      <w:lvlJc w:val="left"/>
      <w:pPr>
        <w:tabs>
          <w:tab w:val="num" w:pos="3600"/>
        </w:tabs>
        <w:ind w:left="3600" w:right="3600" w:hanging="360"/>
      </w:pPr>
    </w:lvl>
    <w:lvl w:ilvl="5" w:tplc="040C001B" w:tentative="1">
      <w:start w:val="1"/>
      <w:numFmt w:val="lowerRoman"/>
      <w:lvlText w:val="%6."/>
      <w:lvlJc w:val="right"/>
      <w:pPr>
        <w:tabs>
          <w:tab w:val="num" w:pos="4320"/>
        </w:tabs>
        <w:ind w:left="4320" w:right="4320" w:hanging="180"/>
      </w:pPr>
    </w:lvl>
    <w:lvl w:ilvl="6" w:tplc="040C000F" w:tentative="1">
      <w:start w:val="1"/>
      <w:numFmt w:val="decimal"/>
      <w:lvlText w:val="%7."/>
      <w:lvlJc w:val="left"/>
      <w:pPr>
        <w:tabs>
          <w:tab w:val="num" w:pos="5040"/>
        </w:tabs>
        <w:ind w:left="5040" w:right="5040" w:hanging="360"/>
      </w:pPr>
    </w:lvl>
    <w:lvl w:ilvl="7" w:tplc="040C0019" w:tentative="1">
      <w:start w:val="1"/>
      <w:numFmt w:val="lowerLetter"/>
      <w:lvlText w:val="%8."/>
      <w:lvlJc w:val="left"/>
      <w:pPr>
        <w:tabs>
          <w:tab w:val="num" w:pos="5760"/>
        </w:tabs>
        <w:ind w:left="5760" w:right="5760" w:hanging="360"/>
      </w:pPr>
    </w:lvl>
    <w:lvl w:ilvl="8" w:tplc="040C001B" w:tentative="1">
      <w:start w:val="1"/>
      <w:numFmt w:val="lowerRoman"/>
      <w:lvlText w:val="%9."/>
      <w:lvlJc w:val="right"/>
      <w:pPr>
        <w:tabs>
          <w:tab w:val="num" w:pos="6480"/>
        </w:tabs>
        <w:ind w:left="6480" w:right="6480" w:hanging="180"/>
      </w:pPr>
    </w:lvl>
  </w:abstractNum>
  <w:abstractNum w:abstractNumId="10">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55FE47CE"/>
    <w:multiLevelType w:val="hybridMultilevel"/>
    <w:tmpl w:val="9384A418"/>
    <w:lvl w:ilvl="0" w:tplc="6630CA76">
      <w:start w:val="696"/>
      <w:numFmt w:val="bullet"/>
      <w:lvlText w:val="-"/>
      <w:lvlJc w:val="left"/>
      <w:pPr>
        <w:tabs>
          <w:tab w:val="num" w:pos="1440"/>
        </w:tabs>
        <w:ind w:left="1440" w:right="1440" w:hanging="720"/>
      </w:pPr>
      <w:rPr>
        <w:rFonts w:ascii="Times New Roman" w:eastAsia="Times New Roman" w:hAnsi="Times New Roman" w:cs="Traditional Arabic" w:hint="default"/>
      </w:rPr>
    </w:lvl>
    <w:lvl w:ilvl="1" w:tplc="04010003" w:tentative="1">
      <w:start w:val="1"/>
      <w:numFmt w:val="bullet"/>
      <w:lvlText w:val="o"/>
      <w:lvlJc w:val="left"/>
      <w:pPr>
        <w:tabs>
          <w:tab w:val="num" w:pos="1800"/>
        </w:tabs>
        <w:ind w:left="1800" w:right="1800" w:hanging="360"/>
      </w:pPr>
      <w:rPr>
        <w:rFonts w:ascii="Courier New" w:hAnsi="Courier New" w:hint="default"/>
      </w:rPr>
    </w:lvl>
    <w:lvl w:ilvl="2" w:tplc="04010005" w:tentative="1">
      <w:start w:val="1"/>
      <w:numFmt w:val="bullet"/>
      <w:lvlText w:val=""/>
      <w:lvlJc w:val="left"/>
      <w:pPr>
        <w:tabs>
          <w:tab w:val="num" w:pos="2520"/>
        </w:tabs>
        <w:ind w:left="2520" w:right="2520" w:hanging="360"/>
      </w:pPr>
      <w:rPr>
        <w:rFonts w:ascii="Wingdings" w:hAnsi="Wingdings" w:hint="default"/>
      </w:rPr>
    </w:lvl>
    <w:lvl w:ilvl="3" w:tplc="04010001" w:tentative="1">
      <w:start w:val="1"/>
      <w:numFmt w:val="bullet"/>
      <w:lvlText w:val=""/>
      <w:lvlJc w:val="left"/>
      <w:pPr>
        <w:tabs>
          <w:tab w:val="num" w:pos="3240"/>
        </w:tabs>
        <w:ind w:left="3240" w:right="3240" w:hanging="360"/>
      </w:pPr>
      <w:rPr>
        <w:rFonts w:ascii="Symbol" w:hAnsi="Symbol" w:hint="default"/>
      </w:rPr>
    </w:lvl>
    <w:lvl w:ilvl="4" w:tplc="04010003" w:tentative="1">
      <w:start w:val="1"/>
      <w:numFmt w:val="bullet"/>
      <w:lvlText w:val="o"/>
      <w:lvlJc w:val="left"/>
      <w:pPr>
        <w:tabs>
          <w:tab w:val="num" w:pos="3960"/>
        </w:tabs>
        <w:ind w:left="3960" w:right="3960" w:hanging="360"/>
      </w:pPr>
      <w:rPr>
        <w:rFonts w:ascii="Courier New" w:hAnsi="Courier New" w:hint="default"/>
      </w:rPr>
    </w:lvl>
    <w:lvl w:ilvl="5" w:tplc="04010005" w:tentative="1">
      <w:start w:val="1"/>
      <w:numFmt w:val="bullet"/>
      <w:lvlText w:val=""/>
      <w:lvlJc w:val="left"/>
      <w:pPr>
        <w:tabs>
          <w:tab w:val="num" w:pos="4680"/>
        </w:tabs>
        <w:ind w:left="4680" w:right="4680" w:hanging="360"/>
      </w:pPr>
      <w:rPr>
        <w:rFonts w:ascii="Wingdings" w:hAnsi="Wingdings" w:hint="default"/>
      </w:rPr>
    </w:lvl>
    <w:lvl w:ilvl="6" w:tplc="04010001" w:tentative="1">
      <w:start w:val="1"/>
      <w:numFmt w:val="bullet"/>
      <w:lvlText w:val=""/>
      <w:lvlJc w:val="left"/>
      <w:pPr>
        <w:tabs>
          <w:tab w:val="num" w:pos="5400"/>
        </w:tabs>
        <w:ind w:left="5400" w:right="5400" w:hanging="360"/>
      </w:pPr>
      <w:rPr>
        <w:rFonts w:ascii="Symbol" w:hAnsi="Symbol" w:hint="default"/>
      </w:rPr>
    </w:lvl>
    <w:lvl w:ilvl="7" w:tplc="04010003" w:tentative="1">
      <w:start w:val="1"/>
      <w:numFmt w:val="bullet"/>
      <w:lvlText w:val="o"/>
      <w:lvlJc w:val="left"/>
      <w:pPr>
        <w:tabs>
          <w:tab w:val="num" w:pos="6120"/>
        </w:tabs>
        <w:ind w:left="6120" w:right="6120" w:hanging="360"/>
      </w:pPr>
      <w:rPr>
        <w:rFonts w:ascii="Courier New" w:hAnsi="Courier New" w:hint="default"/>
      </w:rPr>
    </w:lvl>
    <w:lvl w:ilvl="8" w:tplc="04010005" w:tentative="1">
      <w:start w:val="1"/>
      <w:numFmt w:val="bullet"/>
      <w:lvlText w:val=""/>
      <w:lvlJc w:val="left"/>
      <w:pPr>
        <w:tabs>
          <w:tab w:val="num" w:pos="6840"/>
        </w:tabs>
        <w:ind w:left="6840" w:right="6840" w:hanging="360"/>
      </w:pPr>
      <w:rPr>
        <w:rFonts w:ascii="Wingdings" w:hAnsi="Wingdings" w:hint="default"/>
      </w:rPr>
    </w:lvl>
  </w:abstractNum>
  <w:abstractNum w:abstractNumId="15">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
    <w:nsid w:val="5A0D6EC6"/>
    <w:multiLevelType w:val="hybridMultilevel"/>
    <w:tmpl w:val="062AC516"/>
    <w:lvl w:ilvl="0" w:tplc="04010001">
      <w:start w:val="1"/>
      <w:numFmt w:val="bullet"/>
      <w:lvlText w:val=""/>
      <w:lvlJc w:val="left"/>
      <w:pPr>
        <w:tabs>
          <w:tab w:val="num" w:pos="360"/>
        </w:tabs>
        <w:ind w:left="360" w:right="360" w:hanging="360"/>
      </w:pPr>
      <w:rPr>
        <w:rFonts w:ascii="Symbol" w:hAnsi="Symbol" w:hint="default"/>
      </w:rPr>
    </w:lvl>
    <w:lvl w:ilvl="1" w:tplc="04010003" w:tentative="1">
      <w:start w:val="1"/>
      <w:numFmt w:val="bullet"/>
      <w:lvlText w:val="o"/>
      <w:lvlJc w:val="left"/>
      <w:pPr>
        <w:tabs>
          <w:tab w:val="num" w:pos="1080"/>
        </w:tabs>
        <w:ind w:left="1080" w:right="1080" w:hanging="360"/>
      </w:pPr>
      <w:rPr>
        <w:rFonts w:ascii="Courier New" w:hAnsi="Courier New" w:hint="default"/>
      </w:rPr>
    </w:lvl>
    <w:lvl w:ilvl="2" w:tplc="04010005" w:tentative="1">
      <w:start w:val="1"/>
      <w:numFmt w:val="bullet"/>
      <w:lvlText w:val=""/>
      <w:lvlJc w:val="left"/>
      <w:pPr>
        <w:tabs>
          <w:tab w:val="num" w:pos="1800"/>
        </w:tabs>
        <w:ind w:left="1800" w:right="1800" w:hanging="360"/>
      </w:pPr>
      <w:rPr>
        <w:rFonts w:ascii="Wingdings" w:hAnsi="Wingdings" w:hint="default"/>
      </w:rPr>
    </w:lvl>
    <w:lvl w:ilvl="3" w:tplc="04010001" w:tentative="1">
      <w:start w:val="1"/>
      <w:numFmt w:val="bullet"/>
      <w:lvlText w:val=""/>
      <w:lvlJc w:val="left"/>
      <w:pPr>
        <w:tabs>
          <w:tab w:val="num" w:pos="2520"/>
        </w:tabs>
        <w:ind w:left="2520" w:right="2520" w:hanging="360"/>
      </w:pPr>
      <w:rPr>
        <w:rFonts w:ascii="Symbol" w:hAnsi="Symbol" w:hint="default"/>
      </w:rPr>
    </w:lvl>
    <w:lvl w:ilvl="4" w:tplc="04010003" w:tentative="1">
      <w:start w:val="1"/>
      <w:numFmt w:val="bullet"/>
      <w:lvlText w:val="o"/>
      <w:lvlJc w:val="left"/>
      <w:pPr>
        <w:tabs>
          <w:tab w:val="num" w:pos="3240"/>
        </w:tabs>
        <w:ind w:left="3240" w:right="3240" w:hanging="360"/>
      </w:pPr>
      <w:rPr>
        <w:rFonts w:ascii="Courier New" w:hAnsi="Courier New" w:hint="default"/>
      </w:rPr>
    </w:lvl>
    <w:lvl w:ilvl="5" w:tplc="04010005" w:tentative="1">
      <w:start w:val="1"/>
      <w:numFmt w:val="bullet"/>
      <w:lvlText w:val=""/>
      <w:lvlJc w:val="left"/>
      <w:pPr>
        <w:tabs>
          <w:tab w:val="num" w:pos="3960"/>
        </w:tabs>
        <w:ind w:left="3960" w:right="3960" w:hanging="360"/>
      </w:pPr>
      <w:rPr>
        <w:rFonts w:ascii="Wingdings" w:hAnsi="Wingdings" w:hint="default"/>
      </w:rPr>
    </w:lvl>
    <w:lvl w:ilvl="6" w:tplc="04010001" w:tentative="1">
      <w:start w:val="1"/>
      <w:numFmt w:val="bullet"/>
      <w:lvlText w:val=""/>
      <w:lvlJc w:val="left"/>
      <w:pPr>
        <w:tabs>
          <w:tab w:val="num" w:pos="4680"/>
        </w:tabs>
        <w:ind w:left="4680" w:right="4680" w:hanging="360"/>
      </w:pPr>
      <w:rPr>
        <w:rFonts w:ascii="Symbol" w:hAnsi="Symbol" w:hint="default"/>
      </w:rPr>
    </w:lvl>
    <w:lvl w:ilvl="7" w:tplc="04010003" w:tentative="1">
      <w:start w:val="1"/>
      <w:numFmt w:val="bullet"/>
      <w:lvlText w:val="o"/>
      <w:lvlJc w:val="left"/>
      <w:pPr>
        <w:tabs>
          <w:tab w:val="num" w:pos="5400"/>
        </w:tabs>
        <w:ind w:left="5400" w:right="5400" w:hanging="360"/>
      </w:pPr>
      <w:rPr>
        <w:rFonts w:ascii="Courier New" w:hAnsi="Courier New" w:hint="default"/>
      </w:rPr>
    </w:lvl>
    <w:lvl w:ilvl="8" w:tplc="04010005" w:tentative="1">
      <w:start w:val="1"/>
      <w:numFmt w:val="bullet"/>
      <w:lvlText w:val=""/>
      <w:lvlJc w:val="left"/>
      <w:pPr>
        <w:tabs>
          <w:tab w:val="num" w:pos="6120"/>
        </w:tabs>
        <w:ind w:left="6120" w:right="6120" w:hanging="360"/>
      </w:pPr>
      <w:rPr>
        <w:rFonts w:ascii="Wingdings" w:hAnsi="Wingdings" w:hint="default"/>
      </w:rPr>
    </w:lvl>
  </w:abstractNum>
  <w:abstractNum w:abstractNumId="17">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8">
    <w:nsid w:val="772D38C8"/>
    <w:multiLevelType w:val="hybridMultilevel"/>
    <w:tmpl w:val="15A0FEF8"/>
    <w:lvl w:ilvl="0" w:tplc="39A6FD0A">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9">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0">
    <w:nsid w:val="7AAC7BC9"/>
    <w:multiLevelType w:val="hybridMultilevel"/>
    <w:tmpl w:val="466E6BD6"/>
    <w:lvl w:ilvl="0" w:tplc="04010001">
      <w:start w:val="1"/>
      <w:numFmt w:val="bullet"/>
      <w:lvlText w:val=""/>
      <w:lvlJc w:val="left"/>
      <w:pPr>
        <w:tabs>
          <w:tab w:val="num" w:pos="360"/>
        </w:tabs>
        <w:ind w:left="360" w:right="360" w:hanging="360"/>
      </w:pPr>
      <w:rPr>
        <w:rFonts w:ascii="Symbol" w:hAnsi="Symbol" w:hint="default"/>
      </w:rPr>
    </w:lvl>
    <w:lvl w:ilvl="1" w:tplc="04010003" w:tentative="1">
      <w:start w:val="1"/>
      <w:numFmt w:val="bullet"/>
      <w:lvlText w:val="o"/>
      <w:lvlJc w:val="left"/>
      <w:pPr>
        <w:tabs>
          <w:tab w:val="num" w:pos="1080"/>
        </w:tabs>
        <w:ind w:left="1080" w:right="1080" w:hanging="360"/>
      </w:pPr>
      <w:rPr>
        <w:rFonts w:ascii="Courier New" w:hAnsi="Courier New" w:hint="default"/>
      </w:rPr>
    </w:lvl>
    <w:lvl w:ilvl="2" w:tplc="04010005" w:tentative="1">
      <w:start w:val="1"/>
      <w:numFmt w:val="bullet"/>
      <w:lvlText w:val=""/>
      <w:lvlJc w:val="left"/>
      <w:pPr>
        <w:tabs>
          <w:tab w:val="num" w:pos="1800"/>
        </w:tabs>
        <w:ind w:left="1800" w:right="1800" w:hanging="360"/>
      </w:pPr>
      <w:rPr>
        <w:rFonts w:ascii="Wingdings" w:hAnsi="Wingdings" w:hint="default"/>
      </w:rPr>
    </w:lvl>
    <w:lvl w:ilvl="3" w:tplc="04010001" w:tentative="1">
      <w:start w:val="1"/>
      <w:numFmt w:val="bullet"/>
      <w:lvlText w:val=""/>
      <w:lvlJc w:val="left"/>
      <w:pPr>
        <w:tabs>
          <w:tab w:val="num" w:pos="2520"/>
        </w:tabs>
        <w:ind w:left="2520" w:right="2520" w:hanging="360"/>
      </w:pPr>
      <w:rPr>
        <w:rFonts w:ascii="Symbol" w:hAnsi="Symbol" w:hint="default"/>
      </w:rPr>
    </w:lvl>
    <w:lvl w:ilvl="4" w:tplc="04010003" w:tentative="1">
      <w:start w:val="1"/>
      <w:numFmt w:val="bullet"/>
      <w:lvlText w:val="o"/>
      <w:lvlJc w:val="left"/>
      <w:pPr>
        <w:tabs>
          <w:tab w:val="num" w:pos="3240"/>
        </w:tabs>
        <w:ind w:left="3240" w:right="3240" w:hanging="360"/>
      </w:pPr>
      <w:rPr>
        <w:rFonts w:ascii="Courier New" w:hAnsi="Courier New" w:hint="default"/>
      </w:rPr>
    </w:lvl>
    <w:lvl w:ilvl="5" w:tplc="04010005" w:tentative="1">
      <w:start w:val="1"/>
      <w:numFmt w:val="bullet"/>
      <w:lvlText w:val=""/>
      <w:lvlJc w:val="left"/>
      <w:pPr>
        <w:tabs>
          <w:tab w:val="num" w:pos="3960"/>
        </w:tabs>
        <w:ind w:left="3960" w:right="3960" w:hanging="360"/>
      </w:pPr>
      <w:rPr>
        <w:rFonts w:ascii="Wingdings" w:hAnsi="Wingdings" w:hint="default"/>
      </w:rPr>
    </w:lvl>
    <w:lvl w:ilvl="6" w:tplc="04010001" w:tentative="1">
      <w:start w:val="1"/>
      <w:numFmt w:val="bullet"/>
      <w:lvlText w:val=""/>
      <w:lvlJc w:val="left"/>
      <w:pPr>
        <w:tabs>
          <w:tab w:val="num" w:pos="4680"/>
        </w:tabs>
        <w:ind w:left="4680" w:right="4680" w:hanging="360"/>
      </w:pPr>
      <w:rPr>
        <w:rFonts w:ascii="Symbol" w:hAnsi="Symbol" w:hint="default"/>
      </w:rPr>
    </w:lvl>
    <w:lvl w:ilvl="7" w:tplc="04010003" w:tentative="1">
      <w:start w:val="1"/>
      <w:numFmt w:val="bullet"/>
      <w:lvlText w:val="o"/>
      <w:lvlJc w:val="left"/>
      <w:pPr>
        <w:tabs>
          <w:tab w:val="num" w:pos="5400"/>
        </w:tabs>
        <w:ind w:left="5400" w:right="5400" w:hanging="360"/>
      </w:pPr>
      <w:rPr>
        <w:rFonts w:ascii="Courier New" w:hAnsi="Courier New" w:hint="default"/>
      </w:rPr>
    </w:lvl>
    <w:lvl w:ilvl="8" w:tplc="04010005" w:tentative="1">
      <w:start w:val="1"/>
      <w:numFmt w:val="bullet"/>
      <w:lvlText w:val=""/>
      <w:lvlJc w:val="left"/>
      <w:pPr>
        <w:tabs>
          <w:tab w:val="num" w:pos="6120"/>
        </w:tabs>
        <w:ind w:left="6120" w:right="6120" w:hanging="360"/>
      </w:pPr>
      <w:rPr>
        <w:rFonts w:ascii="Wingdings" w:hAnsi="Wingdings" w:hint="default"/>
      </w:rPr>
    </w:lvl>
  </w:abstractNum>
  <w:abstractNum w:abstractNumId="21">
    <w:nsid w:val="7EAA20D1"/>
    <w:multiLevelType w:val="hybridMultilevel"/>
    <w:tmpl w:val="15A0FEF8"/>
    <w:lvl w:ilvl="0" w:tplc="0401000F">
      <w:start w:val="1"/>
      <w:numFmt w:val="decimal"/>
      <w:lvlText w:val="%1."/>
      <w:lvlJc w:val="left"/>
      <w:pPr>
        <w:tabs>
          <w:tab w:val="num" w:pos="720"/>
        </w:tabs>
        <w:ind w:left="720" w:right="720" w:hanging="360"/>
      </w:p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num w:numId="1">
    <w:abstractNumId w:val="2"/>
  </w:num>
  <w:num w:numId="2">
    <w:abstractNumId w:val="1"/>
  </w:num>
  <w:num w:numId="3">
    <w:abstractNumId w:val="0"/>
  </w:num>
  <w:num w:numId="4">
    <w:abstractNumId w:val="7"/>
  </w:num>
  <w:num w:numId="5">
    <w:abstractNumId w:val="17"/>
  </w:num>
  <w:num w:numId="6">
    <w:abstractNumId w:val="19"/>
  </w:num>
  <w:num w:numId="7">
    <w:abstractNumId w:val="4"/>
  </w:num>
  <w:num w:numId="8">
    <w:abstractNumId w:val="4"/>
  </w:num>
  <w:num w:numId="9">
    <w:abstractNumId w:val="4"/>
  </w:num>
  <w:num w:numId="10">
    <w:abstractNumId w:val="13"/>
  </w:num>
  <w:num w:numId="11">
    <w:abstractNumId w:val="13"/>
  </w:num>
  <w:num w:numId="12">
    <w:abstractNumId w:val="13"/>
  </w:num>
  <w:num w:numId="13">
    <w:abstractNumId w:val="13"/>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 w:numId="26">
    <w:abstractNumId w:val="13"/>
  </w:num>
  <w:num w:numId="27">
    <w:abstractNumId w:val="13"/>
  </w:num>
  <w:num w:numId="28">
    <w:abstractNumId w:val="13"/>
  </w:num>
  <w:num w:numId="29">
    <w:abstractNumId w:val="13"/>
  </w:num>
  <w:num w:numId="30">
    <w:abstractNumId w:val="13"/>
  </w:num>
  <w:num w:numId="31">
    <w:abstractNumId w:val="13"/>
  </w:num>
  <w:num w:numId="32">
    <w:abstractNumId w:val="13"/>
  </w:num>
  <w:num w:numId="33">
    <w:abstractNumId w:val="13"/>
  </w:num>
  <w:num w:numId="34">
    <w:abstractNumId w:val="11"/>
  </w:num>
  <w:num w:numId="35">
    <w:abstractNumId w:val="11"/>
  </w:num>
  <w:num w:numId="36">
    <w:abstractNumId w:val="11"/>
  </w:num>
  <w:num w:numId="37">
    <w:abstractNumId w:val="11"/>
  </w:num>
  <w:num w:numId="38">
    <w:abstractNumId w:val="11"/>
  </w:num>
  <w:num w:numId="39">
    <w:abstractNumId w:val="11"/>
  </w:num>
  <w:num w:numId="40">
    <w:abstractNumId w:val="11"/>
  </w:num>
  <w:num w:numId="41">
    <w:abstractNumId w:val="11"/>
  </w:num>
  <w:num w:numId="42">
    <w:abstractNumId w:val="11"/>
  </w:num>
  <w:num w:numId="43">
    <w:abstractNumId w:val="11"/>
  </w:num>
  <w:num w:numId="44">
    <w:abstractNumId w:val="11"/>
  </w:num>
  <w:num w:numId="45">
    <w:abstractNumId w:val="11"/>
  </w:num>
  <w:num w:numId="46">
    <w:abstractNumId w:val="11"/>
  </w:num>
  <w:num w:numId="47">
    <w:abstractNumId w:val="11"/>
  </w:num>
  <w:num w:numId="48">
    <w:abstractNumId w:val="11"/>
  </w:num>
  <w:num w:numId="49">
    <w:abstractNumId w:val="3"/>
  </w:num>
  <w:num w:numId="50">
    <w:abstractNumId w:val="3"/>
  </w:num>
  <w:num w:numId="51">
    <w:abstractNumId w:val="3"/>
  </w:num>
  <w:num w:numId="52">
    <w:abstractNumId w:val="11"/>
  </w:num>
  <w:num w:numId="53">
    <w:abstractNumId w:val="11"/>
  </w:num>
  <w:num w:numId="54">
    <w:abstractNumId w:val="10"/>
  </w:num>
  <w:num w:numId="55">
    <w:abstractNumId w:val="15"/>
  </w:num>
  <w:num w:numId="56">
    <w:abstractNumId w:val="15"/>
  </w:num>
  <w:num w:numId="57">
    <w:abstractNumId w:val="15"/>
  </w:num>
  <w:num w:numId="58">
    <w:abstractNumId w:val="3"/>
  </w:num>
  <w:num w:numId="59">
    <w:abstractNumId w:val="8"/>
  </w:num>
  <w:num w:numId="60">
    <w:abstractNumId w:val="8"/>
  </w:num>
  <w:num w:numId="61">
    <w:abstractNumId w:val="12"/>
  </w:num>
  <w:num w:numId="62">
    <w:abstractNumId w:val="12"/>
  </w:num>
  <w:num w:numId="63">
    <w:abstractNumId w:val="12"/>
  </w:num>
  <w:num w:numId="64">
    <w:abstractNumId w:val="15"/>
  </w:num>
  <w:num w:numId="65">
    <w:abstractNumId w:val="7"/>
  </w:num>
  <w:num w:numId="66">
    <w:abstractNumId w:val="7"/>
  </w:num>
  <w:num w:numId="67">
    <w:abstractNumId w:val="9"/>
  </w:num>
  <w:num w:numId="68">
    <w:abstractNumId w:val="5"/>
  </w:num>
  <w:num w:numId="69">
    <w:abstractNumId w:val="21"/>
  </w:num>
  <w:num w:numId="70">
    <w:abstractNumId w:val="6"/>
  </w:num>
  <w:num w:numId="71">
    <w:abstractNumId w:val="18"/>
  </w:num>
  <w:num w:numId="72">
    <w:abstractNumId w:val="16"/>
  </w:num>
  <w:num w:numId="73">
    <w:abstractNumId w:val="20"/>
  </w:num>
  <w:num w:numId="74">
    <w:abstractNumId w:val="14"/>
  </w:num>
  <w:num w:numId="7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3"/>
    <w:lvlOverride w:ilvl="0"/>
  </w:num>
  <w:num w:numId="7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3"/>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ind w:right="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1">
    <w:name w:val="نمط1"/>
    <w:basedOn w:val="Normal"/>
    <w:pPr>
      <w:jc w:val="both"/>
    </w:pPr>
    <w:rPr>
      <w:sz w:val="28"/>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 Type="http://schemas.openxmlformats.org/officeDocument/2006/relationships/styles" Target="styles.xml"/><Relationship Id="rId16" Type="http://schemas.openxmlformats.org/officeDocument/2006/relationships/oleObject" Target="embeddings/Microsoft_Excel_97-2003_Worksheet1.xls"/><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theme" Target="theme/theme1.xml"/><Relationship Id="rId10" Type="http://schemas.openxmlformats.org/officeDocument/2006/relationships/oleObject" Target="embeddings/oleObject2.bin"/><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5.bin"/><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306</Pages>
  <Words>105797</Words>
  <Characters>603046</Characters>
  <Application>Microsoft Office Word</Application>
  <DocSecurity>4</DocSecurity>
  <Lines>5025</Lines>
  <Paragraphs>1206</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740582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EL RAHAL</dc:creator>
  <cp:keywords/>
  <dc:description/>
  <cp:lastModifiedBy>CSD</cp:lastModifiedBy>
  <cp:revision>2</cp:revision>
  <cp:lastPrinted>2004-12-07T08:58:00Z</cp:lastPrinted>
  <dcterms:created xsi:type="dcterms:W3CDTF">2004-12-07T09:02:00Z</dcterms:created>
  <dcterms:modified xsi:type="dcterms:W3CDTF">2004-12-07T09:02:00Z</dcterms:modified>
</cp:coreProperties>
</file>