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A6B" w:rsidRDefault="009A4A6B" w:rsidP="009A4A6B">
      <w:pPr>
        <w:spacing w:line="60" w:lineRule="exact"/>
        <w:rPr>
          <w:sz w:val="6"/>
        </w:rPr>
        <w:sectPr w:rsidR="009A4A6B" w:rsidSect="009A4A6B">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9A4A6B">
      <w:pPr>
        <w:spacing w:line="60" w:lineRule="exact"/>
        <w:rPr>
          <w:sz w:val="6"/>
        </w:rPr>
      </w:pPr>
    </w:p>
    <w:p w:rsidR="00885461" w:rsidRDefault="00885461" w:rsidP="00885461">
      <w:pPr>
        <w:spacing w:before="120"/>
        <w:rPr>
          <w:rFonts w:eastAsia="黑体"/>
          <w:sz w:val="24"/>
          <w:szCs w:val="24"/>
          <w:lang w:val="fr-CH"/>
        </w:rPr>
      </w:pPr>
      <w:r>
        <w:rPr>
          <w:rFonts w:eastAsia="黑体" w:hint="eastAsia"/>
          <w:sz w:val="24"/>
          <w:szCs w:val="24"/>
          <w:lang w:val="fr-CH"/>
        </w:rPr>
        <w:t>人权理事会</w:t>
      </w:r>
    </w:p>
    <w:p w:rsidR="00885461" w:rsidRDefault="00885461" w:rsidP="00885461">
      <w:pPr>
        <w:rPr>
          <w:rFonts w:eastAsia="黑体"/>
          <w:szCs w:val="21"/>
          <w:lang w:val="fr-CH"/>
        </w:rPr>
      </w:pPr>
      <w:r>
        <w:rPr>
          <w:rFonts w:eastAsia="黑体" w:hint="eastAsia"/>
          <w:szCs w:val="21"/>
          <w:lang w:val="fr-CH"/>
        </w:rPr>
        <w:t>第</w:t>
      </w:r>
      <w:r>
        <w:rPr>
          <w:rFonts w:eastAsia="黑体" w:hint="eastAsia"/>
          <w:szCs w:val="21"/>
        </w:rPr>
        <w:t>三十</w:t>
      </w:r>
      <w:r>
        <w:rPr>
          <w:rFonts w:eastAsia="黑体" w:hint="eastAsia"/>
          <w:szCs w:val="21"/>
          <w:lang w:val="fr-CH"/>
        </w:rPr>
        <w:t>届会议</w:t>
      </w:r>
    </w:p>
    <w:p w:rsidR="00885461" w:rsidRDefault="00885461" w:rsidP="00885461">
      <w:pPr>
        <w:rPr>
          <w:szCs w:val="21"/>
          <w:lang w:val="fr-CH"/>
        </w:rPr>
      </w:pPr>
      <w:r>
        <w:rPr>
          <w:rFonts w:hint="eastAsia"/>
          <w:szCs w:val="21"/>
          <w:lang w:val="fr-CH"/>
        </w:rPr>
        <w:t>议程项目</w:t>
      </w:r>
      <w:r>
        <w:rPr>
          <w:szCs w:val="21"/>
          <w:lang w:val="fr-CH"/>
        </w:rPr>
        <w:t>10</w:t>
      </w:r>
    </w:p>
    <w:p w:rsidR="00885461" w:rsidRPr="00533C25" w:rsidRDefault="00885461" w:rsidP="00885461">
      <w:pPr>
        <w:rPr>
          <w:b/>
        </w:rPr>
      </w:pPr>
      <w:r>
        <w:rPr>
          <w:rFonts w:eastAsia="黑体" w:hint="eastAsia"/>
          <w:szCs w:val="21"/>
          <w:lang w:val="fr-CH"/>
        </w:rPr>
        <w:t>技术援助和能力建设</w:t>
      </w:r>
    </w:p>
    <w:p w:rsidR="00885461" w:rsidRPr="00885461" w:rsidRDefault="00885461" w:rsidP="008854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85461" w:rsidRPr="00885461" w:rsidRDefault="00885461" w:rsidP="008854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85461" w:rsidRPr="00885461" w:rsidRDefault="00885461" w:rsidP="008854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85461" w:rsidRDefault="00885461" w:rsidP="002D0B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4" w:right="1259" w:hanging="1264"/>
      </w:pPr>
      <w:r>
        <w:tab/>
      </w:r>
      <w:r>
        <w:tab/>
        <w:t>阿尔及利亚</w:t>
      </w:r>
      <w:r w:rsidRPr="00BE16B3">
        <w:t>(</w:t>
      </w:r>
      <w:r>
        <w:t>代表非洲国家集团</w:t>
      </w:r>
      <w:r w:rsidRPr="00BE16B3">
        <w:t>)</w:t>
      </w:r>
      <w:r>
        <w:t>、比利时</w:t>
      </w:r>
      <w:r w:rsidRPr="00885461">
        <w:footnoteReference w:customMarkFollows="1" w:id="1"/>
        <w:t>*</w:t>
      </w:r>
      <w:r>
        <w:t>、克罗地亚</w:t>
      </w:r>
      <w:r w:rsidRPr="00BE16B3">
        <w:t>*</w:t>
      </w:r>
      <w:r>
        <w:t>、吉布提</w:t>
      </w:r>
      <w:r w:rsidRPr="00BE16B3">
        <w:t>*</w:t>
      </w:r>
      <w:bookmarkStart w:id="1" w:name="_GoBack"/>
      <w:bookmarkEnd w:id="1"/>
      <w:r>
        <w:t>、爱沙尼亚、法国、德国、希腊</w:t>
      </w:r>
      <w:r w:rsidRPr="00BE16B3">
        <w:t>*</w:t>
      </w:r>
      <w:r>
        <w:t>、拉脱维亚、卢森堡</w:t>
      </w:r>
      <w:r w:rsidRPr="00BE16B3">
        <w:t>*</w:t>
      </w:r>
      <w:r>
        <w:t>、黑山、波兰</w:t>
      </w:r>
      <w:r w:rsidRPr="00BE16B3">
        <w:t>*</w:t>
      </w:r>
      <w:r>
        <w:t>、罗马尼亚</w:t>
      </w:r>
      <w:r w:rsidRPr="00BE16B3">
        <w:t>*</w:t>
      </w:r>
      <w:r>
        <w:t>、塞内加尔</w:t>
      </w:r>
      <w:r w:rsidRPr="00BE16B3">
        <w:t>*</w:t>
      </w:r>
      <w:r>
        <w:t>、斯洛伐克</w:t>
      </w:r>
      <w:r w:rsidRPr="00BE16B3">
        <w:t>*</w:t>
      </w:r>
      <w:r>
        <w:t>、西班牙</w:t>
      </w:r>
      <w:r w:rsidRPr="00BE16B3">
        <w:t>* :</w:t>
      </w:r>
      <w:r>
        <w:rPr>
          <w:rFonts w:hint="eastAsia"/>
        </w:rPr>
        <w:t>决议草案</w:t>
      </w:r>
    </w:p>
    <w:p w:rsidR="00885461" w:rsidRPr="00885461" w:rsidRDefault="00885461" w:rsidP="008854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85461" w:rsidRPr="00885461" w:rsidRDefault="00885461" w:rsidP="008854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85461" w:rsidRPr="00885461" w:rsidRDefault="00885461" w:rsidP="008854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85461" w:rsidRPr="007A45D3" w:rsidRDefault="00885461" w:rsidP="008854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t>30/</w:t>
      </w:r>
      <w:r>
        <w:t>…</w:t>
      </w:r>
      <w:r>
        <w:tab/>
        <w:t>向中非共和国提供人权领域的技术援助和能力建设</w:t>
      </w:r>
    </w:p>
    <w:p w:rsidR="00885461" w:rsidRPr="00885461" w:rsidRDefault="00885461" w:rsidP="00885461">
      <w:pPr>
        <w:pStyle w:val="SingleTxt"/>
        <w:spacing w:after="0" w:line="120" w:lineRule="exact"/>
        <w:rPr>
          <w:rFonts w:eastAsia="楷体_GB2312"/>
          <w:snapToGrid w:val="0"/>
          <w:sz w:val="10"/>
        </w:rPr>
      </w:pPr>
    </w:p>
    <w:p w:rsidR="00885461" w:rsidRPr="00885461" w:rsidRDefault="00885461" w:rsidP="00885461">
      <w:pPr>
        <w:pStyle w:val="SingleTxt"/>
        <w:spacing w:after="0" w:line="120" w:lineRule="exact"/>
        <w:rPr>
          <w:rFonts w:eastAsia="楷体_GB2312"/>
          <w:snapToGrid w:val="0"/>
          <w:sz w:val="10"/>
        </w:rPr>
      </w:pPr>
    </w:p>
    <w:p w:rsidR="00885461" w:rsidRPr="0055196F" w:rsidRDefault="00885461" w:rsidP="002D0BD6">
      <w:pPr>
        <w:pStyle w:val="SingleTxt"/>
        <w:spacing w:line="320" w:lineRule="exact"/>
        <w:rPr>
          <w:snapToGrid w:val="0"/>
        </w:rPr>
      </w:pPr>
      <w:r>
        <w:rPr>
          <w:rFonts w:eastAsia="楷体_GB2312" w:hint="eastAsia"/>
          <w:snapToGrid w:val="0"/>
        </w:rPr>
        <w:tab/>
      </w:r>
      <w:r w:rsidRPr="0055196F">
        <w:rPr>
          <w:rFonts w:eastAsia="楷体_GB2312" w:hint="eastAsia"/>
          <w:snapToGrid w:val="0"/>
        </w:rPr>
        <w:t>人权理事会</w:t>
      </w:r>
      <w:r w:rsidRPr="0055196F">
        <w:rPr>
          <w:rFonts w:hint="eastAsia"/>
          <w:snapToGrid w:val="0"/>
        </w:rPr>
        <w:t>，</w:t>
      </w:r>
    </w:p>
    <w:p w:rsidR="00885461" w:rsidRPr="0055196F" w:rsidRDefault="00885461" w:rsidP="002D0BD6">
      <w:pPr>
        <w:pStyle w:val="SingleTxt"/>
        <w:spacing w:line="320" w:lineRule="exact"/>
        <w:rPr>
          <w:snapToGrid w:val="0"/>
        </w:rPr>
      </w:pPr>
      <w:r>
        <w:rPr>
          <w:rFonts w:eastAsia="楷体_GB2312" w:hint="eastAsia"/>
          <w:snapToGrid w:val="0"/>
        </w:rPr>
        <w:tab/>
      </w:r>
      <w:r w:rsidRPr="00DB0027">
        <w:rPr>
          <w:rFonts w:eastAsia="楷体_GB2312" w:hint="eastAsia"/>
          <w:snapToGrid w:val="0"/>
        </w:rPr>
        <w:t>遵循</w:t>
      </w:r>
      <w:r w:rsidRPr="0055196F">
        <w:rPr>
          <w:rFonts w:hint="eastAsia"/>
          <w:snapToGrid w:val="0"/>
        </w:rPr>
        <w:t>《联合国宪章》的原则和宗旨，</w:t>
      </w:r>
    </w:p>
    <w:p w:rsidR="00885461" w:rsidRPr="0055196F" w:rsidRDefault="00885461" w:rsidP="002D0BD6">
      <w:pPr>
        <w:pStyle w:val="SingleTxt"/>
        <w:spacing w:line="320" w:lineRule="exact"/>
        <w:rPr>
          <w:snapToGrid w:val="0"/>
        </w:rPr>
      </w:pPr>
      <w:r>
        <w:rPr>
          <w:rFonts w:eastAsia="楷体_GB2312" w:hint="eastAsia"/>
          <w:snapToGrid w:val="0"/>
        </w:rPr>
        <w:tab/>
      </w:r>
      <w:r w:rsidRPr="0055196F">
        <w:rPr>
          <w:rFonts w:eastAsia="楷体_GB2312" w:hint="eastAsia"/>
          <w:snapToGrid w:val="0"/>
        </w:rPr>
        <w:t>又</w:t>
      </w:r>
      <w:r w:rsidRPr="00DB0027">
        <w:rPr>
          <w:rFonts w:eastAsia="楷体_GB2312" w:hint="eastAsia"/>
          <w:snapToGrid w:val="0"/>
        </w:rPr>
        <w:t>遵循</w:t>
      </w:r>
      <w:r w:rsidRPr="0055196F">
        <w:rPr>
          <w:rFonts w:hint="eastAsia"/>
          <w:snapToGrid w:val="0"/>
        </w:rPr>
        <w:t>《世界人权宣言》，</w:t>
      </w:r>
    </w:p>
    <w:p w:rsidR="00885461" w:rsidRPr="0055196F" w:rsidRDefault="00885461" w:rsidP="002D0BD6">
      <w:pPr>
        <w:pStyle w:val="SingleTxt"/>
        <w:spacing w:line="320" w:lineRule="exact"/>
        <w:rPr>
          <w:snapToGrid w:val="0"/>
        </w:rPr>
      </w:pPr>
      <w:r>
        <w:rPr>
          <w:rFonts w:eastAsia="楷体_GB2312" w:hint="eastAsia"/>
          <w:snapToGrid w:val="0"/>
        </w:rPr>
        <w:tab/>
      </w:r>
      <w:r w:rsidRPr="0055196F">
        <w:rPr>
          <w:rFonts w:eastAsia="楷体_GB2312" w:hint="eastAsia"/>
          <w:snapToGrid w:val="0"/>
        </w:rPr>
        <w:t>回顾</w:t>
      </w:r>
      <w:r w:rsidRPr="0055196F">
        <w:rPr>
          <w:rFonts w:hint="eastAsia"/>
          <w:snapToGrid w:val="0"/>
        </w:rPr>
        <w:t>其他有关国际人权文书，</w:t>
      </w:r>
    </w:p>
    <w:p w:rsidR="00885461" w:rsidRDefault="00885461" w:rsidP="002D0BD6">
      <w:pPr>
        <w:pStyle w:val="SingleTxt"/>
        <w:spacing w:line="320" w:lineRule="exact"/>
      </w:pPr>
      <w:r>
        <w:rPr>
          <w:rFonts w:eastAsia="楷体_GB2312" w:hint="eastAsia"/>
          <w:snapToGrid w:val="0"/>
        </w:rPr>
        <w:tab/>
      </w:r>
      <w:r w:rsidRPr="00DB0027">
        <w:rPr>
          <w:rFonts w:eastAsia="楷体_GB2312" w:hint="eastAsia"/>
          <w:snapToGrid w:val="0"/>
        </w:rPr>
        <w:t>又回顾</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号决议、人权理会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号和第</w:t>
      </w:r>
      <w:r>
        <w:rPr>
          <w:rFonts w:hint="eastAsia"/>
        </w:rPr>
        <w:t>5/2</w:t>
      </w:r>
      <w:r>
        <w:rPr>
          <w:rFonts w:hint="eastAsia"/>
        </w:rPr>
        <w:t>号决议、</w:t>
      </w:r>
      <w:r>
        <w:rPr>
          <w:rFonts w:hint="eastAsia"/>
        </w:rPr>
        <w:t>2013</w:t>
      </w:r>
      <w:r>
        <w:rPr>
          <w:rFonts w:hint="eastAsia"/>
        </w:rPr>
        <w:t>年</w:t>
      </w:r>
      <w:r>
        <w:rPr>
          <w:rFonts w:hint="eastAsia"/>
        </w:rPr>
        <w:t>6</w:t>
      </w:r>
      <w:r>
        <w:rPr>
          <w:rFonts w:hint="eastAsia"/>
        </w:rPr>
        <w:t>月</w:t>
      </w:r>
      <w:r>
        <w:rPr>
          <w:rFonts w:hint="eastAsia"/>
        </w:rPr>
        <w:t>13</w:t>
      </w:r>
      <w:r>
        <w:rPr>
          <w:rFonts w:hint="eastAsia"/>
        </w:rPr>
        <w:t>日第</w:t>
      </w:r>
      <w:r>
        <w:rPr>
          <w:rFonts w:hint="eastAsia"/>
        </w:rPr>
        <w:t>23/18</w:t>
      </w:r>
      <w:r>
        <w:rPr>
          <w:rFonts w:hint="eastAsia"/>
        </w:rPr>
        <w:t>号决议、</w:t>
      </w:r>
      <w:r>
        <w:rPr>
          <w:rFonts w:hint="eastAsia"/>
        </w:rPr>
        <w:t>2013</w:t>
      </w:r>
      <w:r>
        <w:rPr>
          <w:rFonts w:hint="eastAsia"/>
        </w:rPr>
        <w:t>年</w:t>
      </w:r>
      <w:r>
        <w:rPr>
          <w:rFonts w:hint="eastAsia"/>
        </w:rPr>
        <w:t>9</w:t>
      </w:r>
      <w:r>
        <w:rPr>
          <w:rFonts w:hint="eastAsia"/>
        </w:rPr>
        <w:t>月</w:t>
      </w:r>
      <w:r>
        <w:rPr>
          <w:rFonts w:hint="eastAsia"/>
        </w:rPr>
        <w:t>27</w:t>
      </w:r>
      <w:r>
        <w:rPr>
          <w:rFonts w:hint="eastAsia"/>
        </w:rPr>
        <w:t>日第</w:t>
      </w:r>
      <w:r>
        <w:rPr>
          <w:rFonts w:hint="eastAsia"/>
        </w:rPr>
        <w:t>24/34</w:t>
      </w:r>
      <w:r>
        <w:rPr>
          <w:rFonts w:hint="eastAsia"/>
        </w:rPr>
        <w:t>号决议、</w:t>
      </w:r>
      <w:r>
        <w:rPr>
          <w:rFonts w:hint="eastAsia"/>
        </w:rPr>
        <w:t>2014</w:t>
      </w:r>
      <w:r>
        <w:rPr>
          <w:rFonts w:hint="eastAsia"/>
        </w:rPr>
        <w:t>年</w:t>
      </w:r>
      <w:r>
        <w:rPr>
          <w:rFonts w:hint="eastAsia"/>
        </w:rPr>
        <w:t>1</w:t>
      </w:r>
      <w:r>
        <w:rPr>
          <w:rFonts w:hint="eastAsia"/>
        </w:rPr>
        <w:t>月</w:t>
      </w:r>
      <w:r>
        <w:rPr>
          <w:rFonts w:hint="eastAsia"/>
        </w:rPr>
        <w:t>20</w:t>
      </w:r>
      <w:r>
        <w:rPr>
          <w:rFonts w:hint="eastAsia"/>
        </w:rPr>
        <w:t>日第</w:t>
      </w:r>
      <w:r>
        <w:rPr>
          <w:rFonts w:hint="eastAsia"/>
        </w:rPr>
        <w:t>S-20/1</w:t>
      </w:r>
      <w:r>
        <w:rPr>
          <w:rFonts w:hint="eastAsia"/>
        </w:rPr>
        <w:t>号决议</w:t>
      </w:r>
      <w:r w:rsidRPr="00885461">
        <w:rPr>
          <w:rFonts w:hint="eastAsia"/>
        </w:rPr>
        <w:t>和</w:t>
      </w:r>
      <w:r w:rsidRPr="00885461">
        <w:rPr>
          <w:rFonts w:hint="eastAsia"/>
        </w:rPr>
        <w:t>2014</w:t>
      </w:r>
      <w:r w:rsidRPr="00885461">
        <w:rPr>
          <w:rFonts w:hint="eastAsia"/>
        </w:rPr>
        <w:t>年</w:t>
      </w:r>
      <w:r w:rsidRPr="00885461">
        <w:rPr>
          <w:rFonts w:hint="eastAsia"/>
        </w:rPr>
        <w:t>9</w:t>
      </w:r>
      <w:r w:rsidRPr="00885461">
        <w:rPr>
          <w:rFonts w:hint="eastAsia"/>
        </w:rPr>
        <w:t>月</w:t>
      </w:r>
      <w:r w:rsidRPr="00885461">
        <w:rPr>
          <w:rFonts w:hint="eastAsia"/>
        </w:rPr>
        <w:t>26</w:t>
      </w:r>
      <w:r w:rsidRPr="00885461">
        <w:rPr>
          <w:rFonts w:hint="eastAsia"/>
        </w:rPr>
        <w:t>日第</w:t>
      </w:r>
      <w:r w:rsidRPr="00885461">
        <w:rPr>
          <w:rFonts w:hint="eastAsia"/>
        </w:rPr>
        <w:t>27/28</w:t>
      </w:r>
      <w:r w:rsidRPr="00885461">
        <w:rPr>
          <w:rFonts w:hint="eastAsia"/>
        </w:rPr>
        <w:t>号决议</w:t>
      </w:r>
      <w:r>
        <w:rPr>
          <w:rFonts w:hint="eastAsia"/>
        </w:rPr>
        <w:t>，</w:t>
      </w:r>
    </w:p>
    <w:p w:rsidR="00885461" w:rsidRPr="00B45B85" w:rsidRDefault="00885461" w:rsidP="002D0BD6">
      <w:pPr>
        <w:pStyle w:val="SingleTxt"/>
        <w:spacing w:line="320" w:lineRule="exact"/>
      </w:pPr>
      <w:r w:rsidRPr="00885461">
        <w:rPr>
          <w:rFonts w:hint="eastAsia"/>
        </w:rPr>
        <w:tab/>
      </w:r>
      <w:r w:rsidRPr="00885461">
        <w:rPr>
          <w:rFonts w:hint="eastAsia"/>
        </w:rPr>
        <w:t>还回顾</w:t>
      </w:r>
      <w:r>
        <w:rPr>
          <w:rFonts w:hint="eastAsia"/>
        </w:rPr>
        <w:t>安全理事会</w:t>
      </w:r>
      <w:r>
        <w:rPr>
          <w:rFonts w:hint="eastAsia"/>
        </w:rPr>
        <w:t>2013</w:t>
      </w:r>
      <w:r>
        <w:rPr>
          <w:rFonts w:hint="eastAsia"/>
        </w:rPr>
        <w:t>年</w:t>
      </w:r>
      <w:r>
        <w:rPr>
          <w:rFonts w:hint="eastAsia"/>
        </w:rPr>
        <w:t>1</w:t>
      </w:r>
      <w:r>
        <w:rPr>
          <w:rFonts w:hint="eastAsia"/>
        </w:rPr>
        <w:t>月</w:t>
      </w:r>
      <w:r>
        <w:rPr>
          <w:rFonts w:hint="eastAsia"/>
        </w:rPr>
        <w:t>24</w:t>
      </w:r>
      <w:r>
        <w:rPr>
          <w:rFonts w:hint="eastAsia"/>
        </w:rPr>
        <w:t>日第</w:t>
      </w:r>
      <w:r>
        <w:rPr>
          <w:rFonts w:hint="eastAsia"/>
        </w:rPr>
        <w:t>2088(2013)</w:t>
      </w:r>
      <w:r>
        <w:rPr>
          <w:rFonts w:hint="eastAsia"/>
        </w:rPr>
        <w:t>号决议、</w:t>
      </w:r>
      <w:r>
        <w:rPr>
          <w:rFonts w:hint="eastAsia"/>
        </w:rPr>
        <w:t>2013</w:t>
      </w:r>
      <w:r>
        <w:rPr>
          <w:rFonts w:hint="eastAsia"/>
        </w:rPr>
        <w:t>年</w:t>
      </w:r>
      <w:r>
        <w:rPr>
          <w:rFonts w:hint="eastAsia"/>
        </w:rPr>
        <w:t>10</w:t>
      </w:r>
      <w:r>
        <w:rPr>
          <w:rFonts w:hint="eastAsia"/>
        </w:rPr>
        <w:t>月</w:t>
      </w:r>
      <w:r>
        <w:rPr>
          <w:rFonts w:hint="eastAsia"/>
        </w:rPr>
        <w:t>10</w:t>
      </w:r>
      <w:r>
        <w:rPr>
          <w:rFonts w:hint="eastAsia"/>
        </w:rPr>
        <w:t>日第</w:t>
      </w:r>
      <w:r>
        <w:rPr>
          <w:rFonts w:hint="eastAsia"/>
        </w:rPr>
        <w:t>2121(2013)</w:t>
      </w:r>
      <w:r>
        <w:rPr>
          <w:rFonts w:hint="eastAsia"/>
        </w:rPr>
        <w:t>号决议、</w:t>
      </w:r>
      <w:r>
        <w:rPr>
          <w:rFonts w:hint="eastAsia"/>
        </w:rPr>
        <w:t>2013</w:t>
      </w:r>
      <w:r>
        <w:rPr>
          <w:rFonts w:hint="eastAsia"/>
        </w:rPr>
        <w:t>年</w:t>
      </w:r>
      <w:r>
        <w:rPr>
          <w:rFonts w:hint="eastAsia"/>
        </w:rPr>
        <w:t>12</w:t>
      </w:r>
      <w:r>
        <w:rPr>
          <w:rFonts w:hint="eastAsia"/>
        </w:rPr>
        <w:t>月</w:t>
      </w:r>
      <w:r>
        <w:rPr>
          <w:rFonts w:hint="eastAsia"/>
        </w:rPr>
        <w:t>5</w:t>
      </w:r>
      <w:r>
        <w:rPr>
          <w:rFonts w:hint="eastAsia"/>
        </w:rPr>
        <w:t>日第</w:t>
      </w:r>
      <w:r>
        <w:rPr>
          <w:rFonts w:hint="eastAsia"/>
        </w:rPr>
        <w:t>2127(2013)</w:t>
      </w:r>
      <w:r>
        <w:rPr>
          <w:rFonts w:hint="eastAsia"/>
        </w:rPr>
        <w:t>号决议、</w:t>
      </w:r>
      <w:r>
        <w:rPr>
          <w:rFonts w:hint="eastAsia"/>
        </w:rPr>
        <w:t>2014</w:t>
      </w:r>
      <w:r>
        <w:rPr>
          <w:rFonts w:hint="eastAsia"/>
        </w:rPr>
        <w:t>年</w:t>
      </w:r>
      <w:r>
        <w:rPr>
          <w:rFonts w:hint="eastAsia"/>
        </w:rPr>
        <w:t>1</w:t>
      </w:r>
      <w:r>
        <w:rPr>
          <w:rFonts w:hint="eastAsia"/>
        </w:rPr>
        <w:t>月</w:t>
      </w:r>
      <w:r>
        <w:rPr>
          <w:rFonts w:hint="eastAsia"/>
        </w:rPr>
        <w:t>28</w:t>
      </w:r>
      <w:r>
        <w:rPr>
          <w:rFonts w:hint="eastAsia"/>
        </w:rPr>
        <w:t>日第</w:t>
      </w:r>
      <w:r>
        <w:rPr>
          <w:rFonts w:hint="eastAsia"/>
        </w:rPr>
        <w:t>2134(2014)</w:t>
      </w:r>
      <w:r>
        <w:rPr>
          <w:rFonts w:hint="eastAsia"/>
        </w:rPr>
        <w:t>号决议、</w:t>
      </w:r>
      <w:r>
        <w:rPr>
          <w:rFonts w:hint="eastAsia"/>
        </w:rPr>
        <w:t>2014</w:t>
      </w:r>
      <w:r>
        <w:rPr>
          <w:rFonts w:hint="eastAsia"/>
        </w:rPr>
        <w:t>年</w:t>
      </w:r>
      <w:r>
        <w:rPr>
          <w:rFonts w:hint="eastAsia"/>
        </w:rPr>
        <w:t>4</w:t>
      </w:r>
      <w:r>
        <w:rPr>
          <w:rFonts w:hint="eastAsia"/>
        </w:rPr>
        <w:t>月</w:t>
      </w:r>
      <w:r>
        <w:rPr>
          <w:rFonts w:hint="eastAsia"/>
        </w:rPr>
        <w:t>10</w:t>
      </w:r>
      <w:r>
        <w:rPr>
          <w:rFonts w:hint="eastAsia"/>
        </w:rPr>
        <w:t>日第</w:t>
      </w:r>
      <w:r>
        <w:rPr>
          <w:rFonts w:hint="eastAsia"/>
        </w:rPr>
        <w:t>2149(2014)</w:t>
      </w:r>
      <w:r>
        <w:rPr>
          <w:rFonts w:hint="eastAsia"/>
        </w:rPr>
        <w:t>号决议</w:t>
      </w:r>
      <w:r w:rsidRPr="00885461">
        <w:rPr>
          <w:rFonts w:hint="eastAsia"/>
        </w:rPr>
        <w:t>和</w:t>
      </w:r>
      <w:r w:rsidRPr="00885461">
        <w:rPr>
          <w:rFonts w:hint="eastAsia"/>
        </w:rPr>
        <w:t>2015</w:t>
      </w:r>
      <w:r w:rsidRPr="00885461">
        <w:rPr>
          <w:rFonts w:hint="eastAsia"/>
        </w:rPr>
        <w:t>年</w:t>
      </w:r>
      <w:r w:rsidRPr="00885461">
        <w:rPr>
          <w:rFonts w:hint="eastAsia"/>
        </w:rPr>
        <w:t>4</w:t>
      </w:r>
      <w:r w:rsidRPr="00885461">
        <w:rPr>
          <w:rFonts w:hint="eastAsia"/>
        </w:rPr>
        <w:t>月</w:t>
      </w:r>
      <w:r w:rsidRPr="00885461">
        <w:rPr>
          <w:rFonts w:hint="eastAsia"/>
        </w:rPr>
        <w:t>28</w:t>
      </w:r>
      <w:r w:rsidRPr="00885461">
        <w:rPr>
          <w:rFonts w:hint="eastAsia"/>
        </w:rPr>
        <w:t>日第</w:t>
      </w:r>
      <w:r w:rsidRPr="00885461">
        <w:rPr>
          <w:rFonts w:hint="eastAsia"/>
        </w:rPr>
        <w:t>2217</w:t>
      </w:r>
      <w:r w:rsidRPr="00885461">
        <w:rPr>
          <w:rFonts w:hint="eastAsia"/>
        </w:rPr>
        <w:t>（</w:t>
      </w:r>
      <w:r w:rsidRPr="00885461">
        <w:rPr>
          <w:rFonts w:hint="eastAsia"/>
        </w:rPr>
        <w:t>2015)</w:t>
      </w:r>
      <w:r w:rsidRPr="00885461">
        <w:rPr>
          <w:rFonts w:hint="eastAsia"/>
        </w:rPr>
        <w:t>号决议</w:t>
      </w:r>
      <w:r>
        <w:rPr>
          <w:rFonts w:hint="eastAsia"/>
        </w:rPr>
        <w:t>，</w:t>
      </w:r>
    </w:p>
    <w:p w:rsidR="00885461" w:rsidRPr="00B45B85" w:rsidRDefault="00885461" w:rsidP="002D0BD6">
      <w:pPr>
        <w:pStyle w:val="SingleTxt"/>
        <w:spacing w:line="320" w:lineRule="exact"/>
      </w:pPr>
      <w:r>
        <w:rPr>
          <w:rFonts w:eastAsia="楷体_GB2312" w:hint="eastAsia"/>
        </w:rPr>
        <w:tab/>
      </w:r>
      <w:r w:rsidRPr="003A7D2D">
        <w:rPr>
          <w:rFonts w:eastAsia="楷体_GB2312" w:hint="eastAsia"/>
        </w:rPr>
        <w:t>考虑到</w:t>
      </w:r>
      <w:r>
        <w:rPr>
          <w:rFonts w:hint="eastAsia"/>
        </w:rPr>
        <w:t>中非共和国自</w:t>
      </w:r>
      <w:r>
        <w:rPr>
          <w:rFonts w:hint="eastAsia"/>
        </w:rPr>
        <w:t>2013</w:t>
      </w:r>
      <w:r>
        <w:rPr>
          <w:rFonts w:hint="eastAsia"/>
        </w:rPr>
        <w:t>年</w:t>
      </w:r>
      <w:r>
        <w:rPr>
          <w:rFonts w:hint="eastAsia"/>
        </w:rPr>
        <w:t>3</w:t>
      </w:r>
      <w:r>
        <w:rPr>
          <w:rFonts w:hint="eastAsia"/>
        </w:rPr>
        <w:t>月</w:t>
      </w:r>
      <w:r>
        <w:rPr>
          <w:rFonts w:hint="eastAsia"/>
        </w:rPr>
        <w:t>24</w:t>
      </w:r>
      <w:r>
        <w:rPr>
          <w:rFonts w:hint="eastAsia"/>
        </w:rPr>
        <w:t>日以来的局势，</w:t>
      </w:r>
    </w:p>
    <w:p w:rsidR="00885461" w:rsidRPr="00B45B85" w:rsidRDefault="00885461" w:rsidP="002D0BD6">
      <w:pPr>
        <w:pStyle w:val="SingleTxt"/>
        <w:spacing w:line="320" w:lineRule="exact"/>
      </w:pPr>
      <w:r>
        <w:rPr>
          <w:rFonts w:eastAsia="楷体_GB2312" w:hint="eastAsia"/>
        </w:rPr>
        <w:tab/>
      </w:r>
      <w:r w:rsidRPr="003A7D2D">
        <w:rPr>
          <w:rFonts w:eastAsia="楷体_GB2312" w:hint="eastAsia"/>
        </w:rPr>
        <w:t>重申</w:t>
      </w:r>
      <w:r>
        <w:rPr>
          <w:rFonts w:hint="eastAsia"/>
        </w:rPr>
        <w:t>所有国家均有义务增进和保护《联合国宪章》、《世界人权宣言》、国际人权两公约和它们加入的其他有关国际人权文书所规定的人权和基本自由，</w:t>
      </w:r>
    </w:p>
    <w:p w:rsidR="00885461" w:rsidRDefault="00885461" w:rsidP="002D0BD6">
      <w:pPr>
        <w:pStyle w:val="SingleTxt"/>
        <w:spacing w:line="320" w:lineRule="exact"/>
      </w:pPr>
      <w:r>
        <w:rPr>
          <w:rFonts w:eastAsia="楷体_GB2312" w:hint="eastAsia"/>
        </w:rPr>
        <w:lastRenderedPageBreak/>
        <w:tab/>
      </w:r>
      <w:r w:rsidRPr="003A7D2D">
        <w:rPr>
          <w:rFonts w:eastAsia="楷体_GB2312" w:hint="eastAsia"/>
        </w:rPr>
        <w:t>考虑到</w:t>
      </w:r>
      <w:r>
        <w:rPr>
          <w:rFonts w:hint="eastAsia"/>
        </w:rPr>
        <w:t>法语国家和政府</w:t>
      </w:r>
      <w:r>
        <w:rPr>
          <w:rFonts w:hint="eastAsia"/>
        </w:rPr>
        <w:t>2000</w:t>
      </w:r>
      <w:r>
        <w:rPr>
          <w:rFonts w:hint="eastAsia"/>
        </w:rPr>
        <w:t>年</w:t>
      </w:r>
      <w:r>
        <w:rPr>
          <w:rFonts w:hint="eastAsia"/>
        </w:rPr>
        <w:t>11</w:t>
      </w:r>
      <w:r>
        <w:rPr>
          <w:rFonts w:hint="eastAsia"/>
        </w:rPr>
        <w:t>月</w:t>
      </w:r>
      <w:r>
        <w:rPr>
          <w:rFonts w:hint="eastAsia"/>
        </w:rPr>
        <w:t>3</w:t>
      </w:r>
      <w:r>
        <w:rPr>
          <w:rFonts w:hint="eastAsia"/>
        </w:rPr>
        <w:t>日在法语国家民主、权利和自由制度国际研讨会上通过的《巴马科宣言》谴责各种政变和以暴力手段、武力或其他非法手段夺取政权的行为，</w:t>
      </w:r>
    </w:p>
    <w:p w:rsidR="00885461" w:rsidRPr="00B45B85" w:rsidRDefault="00885461" w:rsidP="002D0BD6">
      <w:pPr>
        <w:pStyle w:val="SingleTxt"/>
        <w:spacing w:line="320" w:lineRule="exact"/>
      </w:pPr>
      <w:r>
        <w:rPr>
          <w:rFonts w:eastAsia="楷体_GB2312" w:hint="eastAsia"/>
        </w:rPr>
        <w:tab/>
      </w:r>
      <w:r w:rsidRPr="003A7D2D">
        <w:rPr>
          <w:rFonts w:eastAsia="楷体_GB2312" w:hint="eastAsia"/>
        </w:rPr>
        <w:t>又考虑到</w:t>
      </w:r>
      <w:r>
        <w:rPr>
          <w:rFonts w:hint="eastAsia"/>
        </w:rPr>
        <w:t>中部非洲国家经济共同体国家元首和政府首脑于</w:t>
      </w:r>
      <w:r>
        <w:rPr>
          <w:rFonts w:hint="eastAsia"/>
        </w:rPr>
        <w:t>2012</w:t>
      </w:r>
      <w:r>
        <w:rPr>
          <w:rFonts w:hint="eastAsia"/>
        </w:rPr>
        <w:t>年</w:t>
      </w:r>
      <w:r>
        <w:rPr>
          <w:rFonts w:hint="eastAsia"/>
        </w:rPr>
        <w:t>12</w:t>
      </w:r>
      <w:r>
        <w:rPr>
          <w:rFonts w:hint="eastAsia"/>
        </w:rPr>
        <w:t>月</w:t>
      </w:r>
      <w:r>
        <w:rPr>
          <w:rFonts w:hint="eastAsia"/>
        </w:rPr>
        <w:t>21</w:t>
      </w:r>
      <w:r>
        <w:rPr>
          <w:rFonts w:hint="eastAsia"/>
        </w:rPr>
        <w:t>日在恩贾梅纳举行的特别首脑会议的最后公报、</w:t>
      </w:r>
      <w:r>
        <w:rPr>
          <w:rFonts w:hint="eastAsia"/>
        </w:rPr>
        <w:t>2013</w:t>
      </w:r>
      <w:r>
        <w:rPr>
          <w:rFonts w:hint="eastAsia"/>
        </w:rPr>
        <w:t>年</w:t>
      </w:r>
      <w:r>
        <w:rPr>
          <w:rFonts w:hint="eastAsia"/>
        </w:rPr>
        <w:t>1</w:t>
      </w:r>
      <w:r>
        <w:rPr>
          <w:rFonts w:hint="eastAsia"/>
        </w:rPr>
        <w:t>月</w:t>
      </w:r>
      <w:r>
        <w:rPr>
          <w:rFonts w:hint="eastAsia"/>
        </w:rPr>
        <w:t>11</w:t>
      </w:r>
      <w:r>
        <w:rPr>
          <w:rFonts w:hint="eastAsia"/>
        </w:rPr>
        <w:t>日在利伯维尔签署的政治协议和</w:t>
      </w:r>
      <w:r>
        <w:rPr>
          <w:rFonts w:hint="eastAsia"/>
        </w:rPr>
        <w:t>2014</w:t>
      </w:r>
      <w:r>
        <w:rPr>
          <w:rFonts w:hint="eastAsia"/>
        </w:rPr>
        <w:t>年</w:t>
      </w:r>
      <w:r>
        <w:rPr>
          <w:rFonts w:hint="eastAsia"/>
        </w:rPr>
        <w:t>7</w:t>
      </w:r>
      <w:r>
        <w:rPr>
          <w:rFonts w:hint="eastAsia"/>
        </w:rPr>
        <w:t>月</w:t>
      </w:r>
      <w:r>
        <w:rPr>
          <w:rFonts w:hint="eastAsia"/>
        </w:rPr>
        <w:t>23</w:t>
      </w:r>
      <w:r>
        <w:rPr>
          <w:rFonts w:hint="eastAsia"/>
        </w:rPr>
        <w:t>日在布拉柴维尔签署的《停止敌对行动协议》，</w:t>
      </w:r>
    </w:p>
    <w:p w:rsidR="00885461" w:rsidRDefault="00885461" w:rsidP="002D0BD6">
      <w:pPr>
        <w:pStyle w:val="SingleTxt"/>
        <w:spacing w:line="320" w:lineRule="exact"/>
        <w:rPr>
          <w:rStyle w:val="preferred"/>
        </w:rPr>
      </w:pPr>
      <w:r>
        <w:rPr>
          <w:rFonts w:eastAsia="楷体_GB2312" w:hint="eastAsia"/>
          <w:snapToGrid w:val="0"/>
        </w:rPr>
        <w:tab/>
      </w:r>
      <w:r w:rsidRPr="00DB0027">
        <w:rPr>
          <w:rFonts w:eastAsia="楷体_GB2312" w:hint="eastAsia"/>
          <w:snapToGrid w:val="0"/>
        </w:rPr>
        <w:t>欢迎</w:t>
      </w:r>
      <w:r>
        <w:rPr>
          <w:rFonts w:hint="eastAsia"/>
        </w:rPr>
        <w:t>举行全民协商和</w:t>
      </w:r>
      <w:r>
        <w:rPr>
          <w:rStyle w:val="preferred"/>
        </w:rPr>
        <w:t>班吉民族和解论坛</w:t>
      </w:r>
      <w:r>
        <w:rPr>
          <w:rStyle w:val="preferred"/>
          <w:rFonts w:hint="eastAsia"/>
        </w:rPr>
        <w:t>及此后通过了中非共和国境内冲突主要行为方的代表签署的共和契约和解除武装、复员和重返社会协定，</w:t>
      </w:r>
    </w:p>
    <w:p w:rsidR="00885461" w:rsidRDefault="00885461" w:rsidP="002D0BD6">
      <w:pPr>
        <w:pStyle w:val="SingleTxt"/>
        <w:spacing w:line="320" w:lineRule="exact"/>
      </w:pPr>
      <w:r>
        <w:rPr>
          <w:rFonts w:eastAsia="楷体_GB2312" w:hint="eastAsia"/>
        </w:rPr>
        <w:tab/>
      </w:r>
      <w:r w:rsidRPr="003A7D2D">
        <w:rPr>
          <w:rFonts w:eastAsia="楷体_GB2312" w:hint="eastAsia"/>
        </w:rPr>
        <w:t>重申</w:t>
      </w:r>
      <w:r>
        <w:rPr>
          <w:rFonts w:hint="eastAsia"/>
        </w:rPr>
        <w:t>其对中非共和国的主权、独立、统一和领土完整的承诺，</w:t>
      </w:r>
    </w:p>
    <w:p w:rsidR="00885461" w:rsidRDefault="00885461" w:rsidP="002D0BD6">
      <w:pPr>
        <w:pStyle w:val="SingleTxt"/>
        <w:spacing w:line="320" w:lineRule="exact"/>
      </w:pPr>
      <w:r>
        <w:rPr>
          <w:rFonts w:eastAsia="楷体_GB2312" w:hint="eastAsia"/>
        </w:rPr>
        <w:tab/>
      </w:r>
      <w:r w:rsidRPr="003A7D2D">
        <w:rPr>
          <w:rFonts w:eastAsia="楷体_GB2312" w:hint="eastAsia"/>
        </w:rPr>
        <w:t>关注</w:t>
      </w:r>
      <w:r>
        <w:rPr>
          <w:rFonts w:hint="eastAsia"/>
        </w:rPr>
        <w:t>中非共和国脆弱的安全局势和仍然普遍存在的危急人道主义局势，尤其是流离失所者和难民的命运，以及</w:t>
      </w:r>
      <w:r>
        <w:rPr>
          <w:rStyle w:val="preferred"/>
        </w:rPr>
        <w:t>派别暴力</w:t>
      </w:r>
      <w:r>
        <w:rPr>
          <w:rFonts w:hint="eastAsia"/>
        </w:rPr>
        <w:t>风险，</w:t>
      </w:r>
    </w:p>
    <w:p w:rsidR="00885461" w:rsidRDefault="00885461" w:rsidP="002D0BD6">
      <w:pPr>
        <w:pStyle w:val="SingleTxt"/>
        <w:spacing w:line="320" w:lineRule="exact"/>
      </w:pPr>
      <w:r>
        <w:rPr>
          <w:rFonts w:eastAsia="楷体_GB2312" w:hint="eastAsia"/>
        </w:rPr>
        <w:tab/>
      </w:r>
      <w:r w:rsidRPr="003A7D2D">
        <w:rPr>
          <w:rFonts w:eastAsia="楷体_GB2312" w:hint="eastAsia"/>
        </w:rPr>
        <w:t>严重关注</w:t>
      </w:r>
      <w:r>
        <w:rPr>
          <w:rFonts w:hint="eastAsia"/>
        </w:rPr>
        <w:t>严重侵犯和践踏平民人权的行为，包括即决处决、</w:t>
      </w:r>
      <w:r>
        <w:rPr>
          <w:rStyle w:val="preferred"/>
        </w:rPr>
        <w:t>法外处决</w:t>
      </w:r>
      <w:r>
        <w:rPr>
          <w:rStyle w:val="preferred"/>
          <w:rFonts w:hint="eastAsia"/>
        </w:rPr>
        <w:t>、</w:t>
      </w:r>
      <w:r>
        <w:rPr>
          <w:rStyle w:val="preferred"/>
        </w:rPr>
        <w:t>任意逮捕和拘留</w:t>
      </w:r>
      <w:r>
        <w:rPr>
          <w:rStyle w:val="preferred"/>
          <w:rFonts w:hint="eastAsia"/>
        </w:rPr>
        <w:t>、强迫失踪、</w:t>
      </w:r>
      <w:r>
        <w:t>招募和</w:t>
      </w:r>
      <w:r>
        <w:rPr>
          <w:rFonts w:hint="eastAsia"/>
        </w:rPr>
        <w:t>利用</w:t>
      </w:r>
      <w:r>
        <w:t>儿童</w:t>
      </w:r>
      <w:r>
        <w:rPr>
          <w:rFonts w:hint="eastAsia"/>
        </w:rPr>
        <w:t>、强奸和其他形式的性暴力、酷刑、掠夺、非法破坏财产和其他严重违反和践踏国际人权法的行为，</w:t>
      </w:r>
    </w:p>
    <w:p w:rsidR="00885461" w:rsidRDefault="00885461" w:rsidP="002D0BD6">
      <w:pPr>
        <w:pStyle w:val="SingleTxt"/>
        <w:spacing w:line="320" w:lineRule="exact"/>
      </w:pPr>
      <w:r>
        <w:rPr>
          <w:rFonts w:eastAsia="楷体_GB2312" w:hint="eastAsia"/>
        </w:rPr>
        <w:tab/>
      </w:r>
      <w:r w:rsidRPr="003A7D2D">
        <w:rPr>
          <w:rFonts w:eastAsia="楷体_GB2312" w:hint="eastAsia"/>
        </w:rPr>
        <w:t>注意到</w:t>
      </w:r>
      <w:r>
        <w:rPr>
          <w:rFonts w:hint="eastAsia"/>
        </w:rPr>
        <w:t>通过</w:t>
      </w:r>
      <w:r>
        <w:rPr>
          <w:rFonts w:hint="eastAsia"/>
        </w:rPr>
        <w:t>2014</w:t>
      </w:r>
      <w:r>
        <w:rPr>
          <w:rFonts w:hint="eastAsia"/>
        </w:rPr>
        <w:t>年</w:t>
      </w:r>
      <w:r>
        <w:rPr>
          <w:rFonts w:hint="eastAsia"/>
        </w:rPr>
        <w:t>2</w:t>
      </w:r>
      <w:r>
        <w:rPr>
          <w:rFonts w:hint="eastAsia"/>
        </w:rPr>
        <w:t>月</w:t>
      </w:r>
      <w:r>
        <w:rPr>
          <w:rFonts w:hint="eastAsia"/>
        </w:rPr>
        <w:t>1</w:t>
      </w:r>
      <w:r>
        <w:rPr>
          <w:rFonts w:hint="eastAsia"/>
        </w:rPr>
        <w:t>日在亚的斯亚贝巴举行捐助方会议、</w:t>
      </w:r>
      <w:r>
        <w:rPr>
          <w:rFonts w:hint="eastAsia"/>
        </w:rPr>
        <w:t>2015</w:t>
      </w:r>
      <w:r>
        <w:rPr>
          <w:rFonts w:hint="eastAsia"/>
        </w:rPr>
        <w:t>年</w:t>
      </w:r>
      <w:r>
        <w:rPr>
          <w:rFonts w:hint="eastAsia"/>
        </w:rPr>
        <w:t>5</w:t>
      </w:r>
      <w:r>
        <w:rPr>
          <w:rFonts w:hint="eastAsia"/>
        </w:rPr>
        <w:t>月</w:t>
      </w:r>
      <w:r>
        <w:rPr>
          <w:rFonts w:hint="eastAsia"/>
        </w:rPr>
        <w:t>26</w:t>
      </w:r>
      <w:r>
        <w:rPr>
          <w:rFonts w:hint="eastAsia"/>
        </w:rPr>
        <w:t>日举行布鲁塞尔会议以及关于中非共和国境内人道主义行动的数次高级别会议，国际社会已动员起来向受危机影响的中非共和国人民提供人道主义援助，</w:t>
      </w:r>
    </w:p>
    <w:p w:rsidR="00885461" w:rsidRDefault="00885461" w:rsidP="002D0BD6">
      <w:pPr>
        <w:pStyle w:val="SingleTxt"/>
        <w:spacing w:line="320" w:lineRule="exact"/>
      </w:pPr>
      <w:r>
        <w:rPr>
          <w:rFonts w:eastAsia="楷体_GB2312" w:hint="eastAsia"/>
          <w:snapToGrid w:val="0"/>
        </w:rPr>
        <w:tab/>
      </w:r>
      <w:r w:rsidRPr="00DB0027">
        <w:rPr>
          <w:rFonts w:eastAsia="楷体_GB2312" w:hint="eastAsia"/>
          <w:snapToGrid w:val="0"/>
        </w:rPr>
        <w:t>回顾</w:t>
      </w:r>
      <w:r w:rsidRPr="00D7409B">
        <w:rPr>
          <w:rFonts w:hint="eastAsia"/>
        </w:rPr>
        <w:t>过渡当局</w:t>
      </w:r>
      <w:r>
        <w:rPr>
          <w:rFonts w:hint="eastAsia"/>
        </w:rPr>
        <w:t>、</w:t>
      </w:r>
      <w:r w:rsidRPr="00D7409B">
        <w:rPr>
          <w:rFonts w:hint="eastAsia"/>
        </w:rPr>
        <w:t>国际社会和人道主义行为体</w:t>
      </w:r>
      <w:r>
        <w:rPr>
          <w:rFonts w:hint="eastAsia"/>
        </w:rPr>
        <w:t>必须支助</w:t>
      </w:r>
      <w:r w:rsidRPr="00D7409B">
        <w:rPr>
          <w:rFonts w:hint="eastAsia"/>
        </w:rPr>
        <w:t>境内流离失所者和难民自愿</w:t>
      </w:r>
      <w:r>
        <w:rPr>
          <w:rFonts w:hint="eastAsia"/>
        </w:rPr>
        <w:t>回归，</w:t>
      </w:r>
      <w:r w:rsidRPr="00D7409B">
        <w:rPr>
          <w:rFonts w:hint="eastAsia"/>
        </w:rPr>
        <w:t>并确保</w:t>
      </w:r>
      <w:r>
        <w:rPr>
          <w:rFonts w:hint="eastAsia"/>
        </w:rPr>
        <w:t>此种回归可以</w:t>
      </w:r>
      <w:r w:rsidRPr="00D7409B">
        <w:rPr>
          <w:rFonts w:hint="eastAsia"/>
        </w:rPr>
        <w:t>持续，</w:t>
      </w:r>
    </w:p>
    <w:p w:rsidR="00885461" w:rsidRDefault="00885461" w:rsidP="002D0BD6">
      <w:pPr>
        <w:pStyle w:val="SingleTxt"/>
        <w:spacing w:line="320" w:lineRule="exact"/>
        <w:rPr>
          <w:rStyle w:val="preferred"/>
        </w:rPr>
      </w:pPr>
      <w:r>
        <w:rPr>
          <w:rFonts w:eastAsia="楷体_GB2312" w:hint="eastAsia"/>
        </w:rPr>
        <w:tab/>
      </w:r>
      <w:r w:rsidRPr="003A7D2D">
        <w:rPr>
          <w:rFonts w:eastAsia="楷体_GB2312" w:hint="eastAsia"/>
        </w:rPr>
        <w:t>欢迎</w:t>
      </w:r>
      <w:r>
        <w:rPr>
          <w:rFonts w:hint="eastAsia"/>
        </w:rPr>
        <w:t>中非共和国国际支助团、法国开展的“</w:t>
      </w:r>
      <w:r>
        <w:rPr>
          <w:rStyle w:val="preferred"/>
        </w:rPr>
        <w:t>红蝴蝶行动</w:t>
      </w:r>
      <w:r>
        <w:rPr>
          <w:rStyle w:val="preferred"/>
          <w:rFonts w:hint="eastAsia"/>
        </w:rPr>
        <w:t>”、</w:t>
      </w:r>
      <w:r w:rsidRPr="000B57A2">
        <w:rPr>
          <w:rStyle w:val="preferred"/>
          <w:rFonts w:hint="eastAsia"/>
        </w:rPr>
        <w:t>欧洲联盟</w:t>
      </w:r>
      <w:r>
        <w:rPr>
          <w:rStyle w:val="preferred"/>
        </w:rPr>
        <w:t>中非共和国部队</w:t>
      </w:r>
      <w:r>
        <w:rPr>
          <w:rStyle w:val="preferred"/>
          <w:rFonts w:hint="eastAsia"/>
        </w:rPr>
        <w:t>、</w:t>
      </w:r>
      <w:r>
        <w:t>欧洲联盟中非共和国军事顾问团</w:t>
      </w:r>
      <w:r>
        <w:rPr>
          <w:rFonts w:hint="eastAsia"/>
        </w:rPr>
        <w:t>和</w:t>
      </w:r>
      <w:r>
        <w:rPr>
          <w:rStyle w:val="preferred"/>
        </w:rPr>
        <w:t>联合国中非共和国多层面综合稳定团</w:t>
      </w:r>
      <w:r>
        <w:rPr>
          <w:rStyle w:val="preferred"/>
          <w:rFonts w:hint="eastAsia"/>
        </w:rPr>
        <w:t>努力保护平民并推动改善治安，</w:t>
      </w:r>
    </w:p>
    <w:p w:rsidR="00885461" w:rsidRDefault="00885461" w:rsidP="002D0BD6">
      <w:pPr>
        <w:pStyle w:val="SingleTxt"/>
        <w:spacing w:line="320" w:lineRule="exact"/>
      </w:pPr>
      <w:r>
        <w:rPr>
          <w:rFonts w:eastAsia="楷体_GB2312" w:hint="eastAsia"/>
          <w:snapToGrid w:val="0"/>
        </w:rPr>
        <w:tab/>
      </w:r>
      <w:r w:rsidRPr="00DB0027">
        <w:rPr>
          <w:rFonts w:eastAsia="楷体_GB2312"/>
          <w:snapToGrid w:val="0"/>
        </w:rPr>
        <w:t>回顾</w:t>
      </w:r>
      <w:r>
        <w:t>驻扎在中非共和国</w:t>
      </w:r>
      <w:r>
        <w:rPr>
          <w:rFonts w:hint="eastAsia"/>
        </w:rPr>
        <w:t>的</w:t>
      </w:r>
      <w:r>
        <w:t>国际部队</w:t>
      </w:r>
      <w:r>
        <w:rPr>
          <w:rFonts w:hint="eastAsia"/>
        </w:rPr>
        <w:t>在</w:t>
      </w:r>
      <w:r>
        <w:t>采取行动履行职责</w:t>
      </w:r>
      <w:r>
        <w:rPr>
          <w:rFonts w:hint="eastAsia"/>
        </w:rPr>
        <w:t>时必须</w:t>
      </w:r>
      <w:r>
        <w:t>充分尊重适用的国际人道主义法</w:t>
      </w:r>
      <w:r>
        <w:rPr>
          <w:rFonts w:hint="eastAsia"/>
        </w:rPr>
        <w:t>、</w:t>
      </w:r>
      <w:r>
        <w:t>国际人权法和国际难民法</w:t>
      </w:r>
      <w:r>
        <w:rPr>
          <w:rFonts w:hint="eastAsia"/>
        </w:rPr>
        <w:t>的各项规定；对驻</w:t>
      </w:r>
      <w:r>
        <w:t>中非共和国</w:t>
      </w:r>
      <w:r>
        <w:rPr>
          <w:rFonts w:hint="eastAsia"/>
        </w:rPr>
        <w:t>国际部队人员可能犯下</w:t>
      </w:r>
      <w:r>
        <w:t>性虐待和其他侵犯人权行为</w:t>
      </w:r>
      <w:r>
        <w:rPr>
          <w:rFonts w:hint="eastAsia"/>
        </w:rPr>
        <w:t>的指控表示关切；并回顾必须深入调查这些指控，并且必须将应对这些行为负责的人</w:t>
      </w:r>
      <w:r>
        <w:t>绳之以法</w:t>
      </w:r>
      <w:r>
        <w:rPr>
          <w:rFonts w:hint="eastAsia"/>
        </w:rPr>
        <w:t>，</w:t>
      </w:r>
    </w:p>
    <w:p w:rsidR="00885461" w:rsidRDefault="00885461" w:rsidP="002D0BD6">
      <w:pPr>
        <w:pStyle w:val="SingleTxt"/>
        <w:spacing w:line="320" w:lineRule="exact"/>
        <w:rPr>
          <w:i/>
        </w:rPr>
      </w:pPr>
      <w:r>
        <w:rPr>
          <w:rFonts w:eastAsia="楷体_GB2312" w:hint="eastAsia"/>
          <w:snapToGrid w:val="0"/>
        </w:rPr>
        <w:tab/>
      </w:r>
      <w:r w:rsidRPr="00DB0027">
        <w:rPr>
          <w:rFonts w:eastAsia="楷体_GB2312"/>
          <w:snapToGrid w:val="0"/>
        </w:rPr>
        <w:t>强调</w:t>
      </w:r>
      <w:r>
        <w:t>迫切需要并必须结束中非共和国</w:t>
      </w:r>
      <w:r>
        <w:rPr>
          <w:rFonts w:hint="eastAsia"/>
        </w:rPr>
        <w:t>的</w:t>
      </w:r>
      <w:r>
        <w:t>有罪不罚现象</w:t>
      </w:r>
      <w:r>
        <w:rPr>
          <w:rFonts w:hint="eastAsia"/>
        </w:rPr>
        <w:t>，</w:t>
      </w:r>
      <w:r>
        <w:t>将侵犯和</w:t>
      </w:r>
      <w:r>
        <w:rPr>
          <w:rFonts w:hint="eastAsia"/>
        </w:rPr>
        <w:t>践踏</w:t>
      </w:r>
      <w:r>
        <w:t>国际人道主义法和人权</w:t>
      </w:r>
      <w:r>
        <w:rPr>
          <w:rFonts w:hint="eastAsia"/>
        </w:rPr>
        <w:t>的罪犯</w:t>
      </w:r>
      <w:r>
        <w:t>绳之以法，并强调</w:t>
      </w:r>
      <w:r>
        <w:rPr>
          <w:rFonts w:hint="eastAsia"/>
        </w:rPr>
        <w:t>必须</w:t>
      </w:r>
      <w:r>
        <w:t>加强确保问责</w:t>
      </w:r>
      <w:r>
        <w:rPr>
          <w:rFonts w:hint="eastAsia"/>
        </w:rPr>
        <w:t>的</w:t>
      </w:r>
      <w:r>
        <w:t>国家机制，</w:t>
      </w:r>
    </w:p>
    <w:p w:rsidR="00885461" w:rsidRDefault="00885461" w:rsidP="002D0BD6">
      <w:pPr>
        <w:pStyle w:val="SingleTxt"/>
        <w:spacing w:line="320" w:lineRule="exact"/>
      </w:pPr>
      <w:r>
        <w:rPr>
          <w:rFonts w:eastAsia="楷体_GB2312" w:hint="eastAsia"/>
        </w:rPr>
        <w:tab/>
      </w:r>
      <w:r>
        <w:rPr>
          <w:rFonts w:eastAsia="楷体_GB2312" w:hint="eastAsia"/>
        </w:rPr>
        <w:t>欢迎</w:t>
      </w:r>
      <w:r>
        <w:rPr>
          <w:rFonts w:hint="eastAsia"/>
        </w:rPr>
        <w:t>中非共和国当局承诺恢复法治、结束有罪不罚现象并根据中非共和国加入的《国际刑事法院罗马规约》将罪犯绳之以法，并注意到该法院检察官</w:t>
      </w:r>
      <w:r>
        <w:rPr>
          <w:rFonts w:hint="eastAsia"/>
        </w:rPr>
        <w:t>2014</w:t>
      </w:r>
      <w:r>
        <w:rPr>
          <w:rFonts w:hint="eastAsia"/>
        </w:rPr>
        <w:t>年</w:t>
      </w:r>
      <w:r>
        <w:rPr>
          <w:rFonts w:hint="eastAsia"/>
        </w:rPr>
        <w:t>2</w:t>
      </w:r>
      <w:r>
        <w:rPr>
          <w:rFonts w:hint="eastAsia"/>
        </w:rPr>
        <w:t>月</w:t>
      </w:r>
      <w:r>
        <w:rPr>
          <w:rFonts w:hint="eastAsia"/>
        </w:rPr>
        <w:t>7</w:t>
      </w:r>
      <w:r>
        <w:rPr>
          <w:rFonts w:hint="eastAsia"/>
        </w:rPr>
        <w:t>日决定对中非共和国的局势进行初步审查，并应过渡当局的要求于</w:t>
      </w:r>
      <w:r>
        <w:rPr>
          <w:rFonts w:hint="eastAsia"/>
        </w:rPr>
        <w:t>2014</w:t>
      </w:r>
      <w:r>
        <w:rPr>
          <w:rFonts w:hint="eastAsia"/>
        </w:rPr>
        <w:t>年</w:t>
      </w:r>
      <w:r>
        <w:rPr>
          <w:rFonts w:hint="eastAsia"/>
        </w:rPr>
        <w:t>9</w:t>
      </w:r>
      <w:r>
        <w:rPr>
          <w:rFonts w:hint="eastAsia"/>
        </w:rPr>
        <w:t>月</w:t>
      </w:r>
      <w:r>
        <w:rPr>
          <w:rFonts w:hint="eastAsia"/>
        </w:rPr>
        <w:t>24</w:t>
      </w:r>
      <w:r>
        <w:rPr>
          <w:rFonts w:hint="eastAsia"/>
        </w:rPr>
        <w:t>日开始进行调查，</w:t>
      </w:r>
    </w:p>
    <w:p w:rsidR="00885461" w:rsidRPr="000623FA" w:rsidRDefault="00885461" w:rsidP="002D0BD6">
      <w:pPr>
        <w:pStyle w:val="SingleTxt"/>
        <w:spacing w:line="320" w:lineRule="exact"/>
        <w:rPr>
          <w:bCs/>
        </w:rPr>
      </w:pPr>
      <w:r>
        <w:rPr>
          <w:rFonts w:eastAsia="楷体_GB2312" w:hint="eastAsia"/>
          <w:snapToGrid w:val="0"/>
        </w:rPr>
        <w:tab/>
      </w:r>
      <w:r w:rsidRPr="00DB0027">
        <w:rPr>
          <w:rFonts w:eastAsia="楷体_GB2312"/>
          <w:snapToGrid w:val="0"/>
        </w:rPr>
        <w:t>还欢迎</w:t>
      </w:r>
      <w:r>
        <w:rPr>
          <w:rFonts w:hint="eastAsia"/>
        </w:rPr>
        <w:t>关于对</w:t>
      </w:r>
      <w:r>
        <w:t>中非共和国</w:t>
      </w:r>
      <w:r>
        <w:rPr>
          <w:rFonts w:hint="eastAsia"/>
        </w:rPr>
        <w:t>境内</w:t>
      </w:r>
      <w:r>
        <w:t>侵犯和践踏国际人道主义法和国际人权法</w:t>
      </w:r>
      <w:r>
        <w:rPr>
          <w:rFonts w:hint="eastAsia"/>
        </w:rPr>
        <w:t>行为的指控进行调查的</w:t>
      </w:r>
      <w:r>
        <w:t>国际调查委员会</w:t>
      </w:r>
      <w:r>
        <w:rPr>
          <w:rFonts w:hint="eastAsia"/>
        </w:rPr>
        <w:t>的报告，</w:t>
      </w:r>
      <w:r>
        <w:t>并关切地注意到</w:t>
      </w:r>
      <w:r>
        <w:rPr>
          <w:rFonts w:hint="eastAsia"/>
        </w:rPr>
        <w:t>报告的</w:t>
      </w:r>
      <w:r>
        <w:t>结论，即自</w:t>
      </w:r>
      <w:r w:rsidR="00EF73D3">
        <w:t>2013</w:t>
      </w:r>
      <w:r>
        <w:lastRenderedPageBreak/>
        <w:t>年</w:t>
      </w:r>
      <w:r>
        <w:t>1</w:t>
      </w:r>
      <w:r>
        <w:t>月以来</w:t>
      </w:r>
      <w:r>
        <w:rPr>
          <w:rFonts w:hint="eastAsia"/>
        </w:rPr>
        <w:t>，</w:t>
      </w:r>
      <w:r>
        <w:t>冲突主要当事方都</w:t>
      </w:r>
      <w:r>
        <w:rPr>
          <w:rFonts w:hint="eastAsia"/>
        </w:rPr>
        <w:t>犯下了可能</w:t>
      </w:r>
      <w:r>
        <w:t>构成战争罪和危害人类罪</w:t>
      </w:r>
      <w:r>
        <w:rPr>
          <w:rFonts w:hint="eastAsia"/>
        </w:rPr>
        <w:t>的</w:t>
      </w:r>
      <w:r>
        <w:t>侵犯和践踏人权行为</w:t>
      </w:r>
      <w:r>
        <w:rPr>
          <w:rFonts w:hint="eastAsia"/>
        </w:rPr>
        <w:t>，</w:t>
      </w:r>
    </w:p>
    <w:p w:rsidR="00885461" w:rsidRDefault="00885461" w:rsidP="002D0BD6">
      <w:pPr>
        <w:pStyle w:val="SingleTxt"/>
        <w:spacing w:line="320" w:lineRule="exact"/>
        <w:rPr>
          <w:i/>
          <w:iCs/>
          <w:color w:val="1D1C1C"/>
        </w:rPr>
      </w:pPr>
      <w:r>
        <w:rPr>
          <w:iCs/>
          <w:color w:val="1D1C1C"/>
        </w:rPr>
        <w:t>1.</w:t>
      </w:r>
      <w:r>
        <w:rPr>
          <w:rFonts w:hint="eastAsia"/>
          <w:iCs/>
          <w:color w:val="1D1C1C"/>
        </w:rPr>
        <w:t xml:space="preserve">  </w:t>
      </w:r>
      <w:r w:rsidRPr="00DB0027">
        <w:rPr>
          <w:rFonts w:eastAsia="楷体_GB2312"/>
          <w:snapToGrid w:val="0"/>
        </w:rPr>
        <w:t>强烈谴责</w:t>
      </w:r>
      <w:r>
        <w:t>所有</w:t>
      </w:r>
      <w:r>
        <w:rPr>
          <w:rFonts w:hint="eastAsia"/>
        </w:rPr>
        <w:t>利益攸关方继续</w:t>
      </w:r>
      <w:r>
        <w:t>侵犯</w:t>
      </w:r>
      <w:r>
        <w:rPr>
          <w:rFonts w:hint="eastAsia"/>
        </w:rPr>
        <w:t>和</w:t>
      </w:r>
      <w:r>
        <w:t>践踏人权的行为；强调必须追究</w:t>
      </w:r>
      <w:r>
        <w:rPr>
          <w:rFonts w:hint="eastAsia"/>
        </w:rPr>
        <w:t>应对</w:t>
      </w:r>
      <w:r>
        <w:t>这些侵犯人权行为</w:t>
      </w:r>
      <w:r>
        <w:rPr>
          <w:rFonts w:hint="eastAsia"/>
        </w:rPr>
        <w:t>负责</w:t>
      </w:r>
      <w:r>
        <w:t>者的责任，</w:t>
      </w:r>
      <w:r>
        <w:rPr>
          <w:rFonts w:hint="eastAsia"/>
        </w:rPr>
        <w:t>并</w:t>
      </w:r>
      <w:r>
        <w:t>将其绳之以法；</w:t>
      </w:r>
    </w:p>
    <w:p w:rsidR="00885461" w:rsidRPr="00B45B85" w:rsidRDefault="00885461" w:rsidP="002D0BD6">
      <w:pPr>
        <w:pStyle w:val="SingleTxt"/>
        <w:spacing w:line="320" w:lineRule="exact"/>
      </w:pPr>
      <w:r>
        <w:rPr>
          <w:iCs/>
          <w:color w:val="1D1C1C"/>
        </w:rPr>
        <w:t>2.</w:t>
      </w:r>
      <w:r>
        <w:rPr>
          <w:rFonts w:hint="eastAsia"/>
          <w:iCs/>
          <w:color w:val="1D1C1C"/>
        </w:rPr>
        <w:t xml:space="preserve">  </w:t>
      </w:r>
      <w:r w:rsidRPr="00DB0027">
        <w:rPr>
          <w:rFonts w:eastAsia="楷体_GB2312" w:hint="eastAsia"/>
          <w:snapToGrid w:val="0"/>
        </w:rPr>
        <w:t>再次要求</w:t>
      </w:r>
      <w:r>
        <w:rPr>
          <w:rFonts w:hint="eastAsia"/>
        </w:rPr>
        <w:t>所有各方立即停止一切践踏和侵犯人权的行为和非法暴力行为；要求严格遵守各项人权和基本自由以及重建该国法治；并在这方面提醒所有各方注意他们根据</w:t>
      </w:r>
      <w:r>
        <w:t>国际人权法</w:t>
      </w:r>
      <w:r>
        <w:rPr>
          <w:rFonts w:hint="eastAsia"/>
        </w:rPr>
        <w:t>和</w:t>
      </w:r>
      <w:r>
        <w:t>国际人道主义法</w:t>
      </w:r>
      <w:r>
        <w:rPr>
          <w:rFonts w:hint="eastAsia"/>
        </w:rPr>
        <w:t>所承担的义务；</w:t>
      </w:r>
    </w:p>
    <w:p w:rsidR="00885461" w:rsidRPr="00B45B85" w:rsidRDefault="00885461" w:rsidP="002D0BD6">
      <w:pPr>
        <w:pStyle w:val="SingleTxt"/>
        <w:spacing w:line="320" w:lineRule="exact"/>
      </w:pPr>
      <w:r>
        <w:rPr>
          <w:iCs/>
          <w:color w:val="1D1C1C"/>
        </w:rPr>
        <w:t>3.</w:t>
      </w:r>
      <w:r>
        <w:rPr>
          <w:rFonts w:hint="eastAsia"/>
          <w:iCs/>
          <w:color w:val="1D1C1C"/>
        </w:rPr>
        <w:t xml:space="preserve">  </w:t>
      </w:r>
      <w:r w:rsidRPr="00DB0027">
        <w:rPr>
          <w:rFonts w:eastAsia="楷体_GB2312" w:hint="eastAsia"/>
          <w:snapToGrid w:val="0"/>
        </w:rPr>
        <w:t>赞赏地注意到</w:t>
      </w:r>
      <w:r w:rsidRPr="00860A1C">
        <w:rPr>
          <w:rFonts w:hint="eastAsia"/>
          <w:iCs/>
          <w:color w:val="1D1C1C"/>
        </w:rPr>
        <w:t>中非共和国人权状况独立专家的报告</w:t>
      </w:r>
      <w:r w:rsidRPr="00885461">
        <w:rPr>
          <w:rStyle w:val="a3"/>
          <w:color w:val="1D1C1C"/>
          <w:lang w:eastAsia="fr-CH"/>
        </w:rPr>
        <w:footnoteReference w:id="2"/>
      </w:r>
      <w:r w:rsidR="00EF73D3">
        <w:rPr>
          <w:rFonts w:hint="eastAsia"/>
          <w:iCs/>
          <w:color w:val="1D1C1C"/>
        </w:rPr>
        <w:t xml:space="preserve"> </w:t>
      </w:r>
      <w:r w:rsidRPr="00860A1C">
        <w:rPr>
          <w:rFonts w:hint="eastAsia"/>
          <w:iCs/>
          <w:color w:val="1D1C1C"/>
        </w:rPr>
        <w:t>和其中所</w:t>
      </w:r>
      <w:r>
        <w:rPr>
          <w:rFonts w:hint="eastAsia"/>
          <w:iCs/>
          <w:color w:val="1D1C1C"/>
        </w:rPr>
        <w:t>载</w:t>
      </w:r>
      <w:r w:rsidRPr="00860A1C">
        <w:rPr>
          <w:rFonts w:hint="eastAsia"/>
          <w:iCs/>
          <w:color w:val="1D1C1C"/>
        </w:rPr>
        <w:t>的建议；</w:t>
      </w:r>
    </w:p>
    <w:p w:rsidR="00885461" w:rsidRDefault="00885461" w:rsidP="002D0BD6">
      <w:pPr>
        <w:pStyle w:val="SingleTxt"/>
        <w:spacing w:line="320" w:lineRule="exact"/>
        <w:rPr>
          <w:i/>
          <w:iCs/>
          <w:color w:val="1D1C1C"/>
        </w:rPr>
      </w:pPr>
      <w:r>
        <w:rPr>
          <w:iCs/>
          <w:color w:val="1D1C1C"/>
        </w:rPr>
        <w:t>4.</w:t>
      </w:r>
      <w:r>
        <w:rPr>
          <w:rFonts w:hint="eastAsia"/>
          <w:iCs/>
          <w:color w:val="1D1C1C"/>
        </w:rPr>
        <w:t xml:space="preserve">  </w:t>
      </w:r>
      <w:r w:rsidRPr="00DB0027">
        <w:rPr>
          <w:rFonts w:eastAsia="楷体_GB2312" w:hint="eastAsia"/>
          <w:snapToGrid w:val="0"/>
        </w:rPr>
        <w:t>敦促</w:t>
      </w:r>
      <w:r>
        <w:rPr>
          <w:rFonts w:hint="eastAsia"/>
        </w:rPr>
        <w:t>中非共和国所有各方保护所有平民，尤其是妇女和儿童免遭性暴力和基于性别的暴力；</w:t>
      </w:r>
    </w:p>
    <w:p w:rsidR="00885461" w:rsidRDefault="00885461" w:rsidP="002D0BD6">
      <w:pPr>
        <w:pStyle w:val="SingleTxt"/>
        <w:spacing w:line="320" w:lineRule="exact"/>
        <w:rPr>
          <w:i/>
        </w:rPr>
      </w:pPr>
      <w:r>
        <w:t>5.</w:t>
      </w:r>
      <w:r>
        <w:rPr>
          <w:rFonts w:hint="eastAsia"/>
        </w:rPr>
        <w:t xml:space="preserve">  </w:t>
      </w:r>
      <w:r w:rsidRPr="00DB0027">
        <w:rPr>
          <w:rFonts w:eastAsia="楷体_GB2312" w:hint="eastAsia"/>
          <w:snapToGrid w:val="0"/>
        </w:rPr>
        <w:t>欣见</w:t>
      </w:r>
      <w:r>
        <w:t>一些武装团体</w:t>
      </w:r>
      <w:r>
        <w:rPr>
          <w:rFonts w:hint="eastAsia"/>
        </w:rPr>
        <w:t>于</w:t>
      </w:r>
      <w:r w:rsidR="00EF73D3">
        <w:t>2015</w:t>
      </w:r>
      <w:r>
        <w:t>年</w:t>
      </w:r>
      <w:r w:rsidR="00EF73D3">
        <w:t>5</w:t>
      </w:r>
      <w:r>
        <w:t>月</w:t>
      </w:r>
      <w:r w:rsidR="002D0BD6">
        <w:t>5</w:t>
      </w:r>
      <w:r>
        <w:t>日承诺从其队伍中释放儿童</w:t>
      </w:r>
      <w:r>
        <w:rPr>
          <w:rFonts w:hint="eastAsia"/>
        </w:rPr>
        <w:t>并</w:t>
      </w:r>
      <w:r>
        <w:t>停止和防止招募和</w:t>
      </w:r>
      <w:r>
        <w:rPr>
          <w:rFonts w:hint="eastAsia"/>
        </w:rPr>
        <w:t>使用</w:t>
      </w:r>
      <w:r>
        <w:t>儿童</w:t>
      </w:r>
      <w:r>
        <w:rPr>
          <w:rFonts w:hint="eastAsia"/>
        </w:rPr>
        <w:t>；</w:t>
      </w:r>
      <w:r>
        <w:t>在这方面呼吁</w:t>
      </w:r>
      <w:r>
        <w:rPr>
          <w:rFonts w:hint="eastAsia"/>
        </w:rPr>
        <w:t>它们</w:t>
      </w:r>
      <w:r>
        <w:t>履行承诺；</w:t>
      </w:r>
    </w:p>
    <w:p w:rsidR="00885461" w:rsidRPr="00DC24A8" w:rsidRDefault="00885461" w:rsidP="002D0BD6">
      <w:pPr>
        <w:pStyle w:val="SingleTxt"/>
        <w:spacing w:line="320" w:lineRule="exact"/>
      </w:pPr>
      <w:r>
        <w:t>6.</w:t>
      </w:r>
      <w:r>
        <w:rPr>
          <w:rFonts w:hint="eastAsia"/>
        </w:rPr>
        <w:t xml:space="preserve">  </w:t>
      </w:r>
      <w:r w:rsidRPr="00DB0027">
        <w:rPr>
          <w:rFonts w:eastAsia="楷体_GB2312" w:hint="eastAsia"/>
          <w:snapToGrid w:val="0"/>
        </w:rPr>
        <w:t>敦促</w:t>
      </w:r>
      <w:r>
        <w:t>所有各方保护</w:t>
      </w:r>
      <w:r w:rsidRPr="00756135">
        <w:rPr>
          <w:rFonts w:hint="eastAsia"/>
        </w:rPr>
        <w:t>武装部队和武装团体</w:t>
      </w:r>
      <w:r>
        <w:rPr>
          <w:rFonts w:hint="eastAsia"/>
        </w:rPr>
        <w:t>释放或</w:t>
      </w:r>
      <w:r w:rsidRPr="00756135">
        <w:rPr>
          <w:rFonts w:hint="eastAsia"/>
        </w:rPr>
        <w:t>以其他方式离开武装部队和武装团体</w:t>
      </w:r>
      <w:r>
        <w:rPr>
          <w:rFonts w:hint="eastAsia"/>
        </w:rPr>
        <w:t>的儿童并将其视为受害者；强调必须</w:t>
      </w:r>
      <w:r>
        <w:t>特别注意与武装部队和武装团体有关联的所有儿童</w:t>
      </w:r>
      <w:r>
        <w:rPr>
          <w:rFonts w:hint="eastAsia"/>
        </w:rPr>
        <w:t>的保护、释放和重返社会工作；</w:t>
      </w:r>
    </w:p>
    <w:p w:rsidR="00885461" w:rsidRPr="00B45B85" w:rsidRDefault="00885461" w:rsidP="002D0BD6">
      <w:pPr>
        <w:pStyle w:val="SingleTxt"/>
        <w:spacing w:line="320" w:lineRule="exact"/>
      </w:pPr>
      <w:r>
        <w:rPr>
          <w:iCs/>
          <w:color w:val="1D1C1C"/>
        </w:rPr>
        <w:t>7.</w:t>
      </w:r>
      <w:r>
        <w:rPr>
          <w:rFonts w:hint="eastAsia"/>
          <w:iCs/>
          <w:color w:val="1D1C1C"/>
        </w:rPr>
        <w:t xml:space="preserve">  </w:t>
      </w:r>
      <w:r w:rsidRPr="003A7D2D">
        <w:rPr>
          <w:rFonts w:eastAsia="楷体_GB2312" w:hint="eastAsia"/>
        </w:rPr>
        <w:t>呼吁</w:t>
      </w:r>
      <w:r>
        <w:rPr>
          <w:rFonts w:hint="eastAsia"/>
        </w:rPr>
        <w:t>中非共和国当局确保尊重全体人民的人权和基本自由，</w:t>
      </w:r>
      <w:r>
        <w:t>并采取一切必要措施，包括通过加强司法系统和</w:t>
      </w:r>
      <w:r>
        <w:rPr>
          <w:rFonts w:hint="eastAsia"/>
        </w:rPr>
        <w:t>确保</w:t>
      </w:r>
      <w:r>
        <w:t>问责</w:t>
      </w:r>
      <w:r>
        <w:rPr>
          <w:rFonts w:hint="eastAsia"/>
        </w:rPr>
        <w:t>的</w:t>
      </w:r>
      <w:r>
        <w:t>国家机制，</w:t>
      </w:r>
      <w:r>
        <w:rPr>
          <w:rFonts w:hint="eastAsia"/>
        </w:rPr>
        <w:t>终止</w:t>
      </w:r>
      <w:r>
        <w:t>对暴力行为和其他侵犯</w:t>
      </w:r>
      <w:r>
        <w:rPr>
          <w:rFonts w:hint="eastAsia"/>
        </w:rPr>
        <w:t>和践踏</w:t>
      </w:r>
      <w:r>
        <w:t>人权行为的</w:t>
      </w:r>
      <w:r>
        <w:rPr>
          <w:rFonts w:hint="eastAsia"/>
        </w:rPr>
        <w:t>犯罪人</w:t>
      </w:r>
      <w:r>
        <w:t>有罪不罚的现象；</w:t>
      </w:r>
    </w:p>
    <w:p w:rsidR="00885461" w:rsidRPr="00B45B85" w:rsidRDefault="00885461" w:rsidP="002D0BD6">
      <w:pPr>
        <w:pStyle w:val="SingleTxt"/>
        <w:spacing w:line="320" w:lineRule="exact"/>
      </w:pPr>
      <w:r>
        <w:rPr>
          <w:iCs/>
          <w:color w:val="1D1C1C"/>
        </w:rPr>
        <w:t>8.</w:t>
      </w:r>
      <w:r>
        <w:rPr>
          <w:rFonts w:hint="eastAsia"/>
          <w:iCs/>
          <w:color w:val="1D1C1C"/>
        </w:rPr>
        <w:t xml:space="preserve">  </w:t>
      </w:r>
      <w:r w:rsidRPr="00DB0027">
        <w:rPr>
          <w:rFonts w:eastAsia="楷体_GB2312"/>
          <w:snapToGrid w:val="0"/>
        </w:rPr>
        <w:t>注意到</w:t>
      </w:r>
      <w:r>
        <w:t>中非当局决定请国际刑事法院检察官对中非共和国境内</w:t>
      </w:r>
      <w:r>
        <w:rPr>
          <w:rFonts w:hint="eastAsia"/>
        </w:rPr>
        <w:t>据称犯下的可能属于该法院管辖范围的罪行</w:t>
      </w:r>
      <w:r>
        <w:t>展开调查；</w:t>
      </w:r>
    </w:p>
    <w:p w:rsidR="00885461" w:rsidRPr="00B45B85" w:rsidRDefault="00885461" w:rsidP="002D0BD6">
      <w:pPr>
        <w:pStyle w:val="SingleTxt"/>
        <w:spacing w:line="320" w:lineRule="exact"/>
      </w:pPr>
      <w:r>
        <w:rPr>
          <w:color w:val="1D1C1C"/>
        </w:rPr>
        <w:t>9.</w:t>
      </w:r>
      <w:r>
        <w:rPr>
          <w:rFonts w:hint="eastAsia"/>
          <w:color w:val="1D1C1C"/>
        </w:rPr>
        <w:t xml:space="preserve">  </w:t>
      </w:r>
      <w:r w:rsidRPr="00DB0027">
        <w:rPr>
          <w:rFonts w:eastAsia="楷体_GB2312" w:hint="eastAsia"/>
          <w:snapToGrid w:val="0"/>
        </w:rPr>
        <w:t>欢迎</w:t>
      </w:r>
      <w:r>
        <w:t>过渡当局</w:t>
      </w:r>
      <w:r>
        <w:rPr>
          <w:rFonts w:hint="eastAsia"/>
        </w:rPr>
        <w:t>作出努力，包括</w:t>
      </w:r>
      <w:r>
        <w:t>通过和颁布相关立法，在</w:t>
      </w:r>
      <w:r>
        <w:rPr>
          <w:rFonts w:hint="eastAsia"/>
        </w:rPr>
        <w:t>国家司法</w:t>
      </w:r>
      <w:r>
        <w:t>系统</w:t>
      </w:r>
      <w:r>
        <w:rPr>
          <w:rFonts w:hint="eastAsia"/>
        </w:rPr>
        <w:t>内设立</w:t>
      </w:r>
      <w:r>
        <w:t>对严重违反人权和国际人道主义法</w:t>
      </w:r>
      <w:r>
        <w:rPr>
          <w:rFonts w:hint="eastAsia"/>
        </w:rPr>
        <w:t>行为具有管辖权的特别</w:t>
      </w:r>
      <w:r>
        <w:t>刑事</w:t>
      </w:r>
      <w:r>
        <w:rPr>
          <w:rFonts w:hint="eastAsia"/>
        </w:rPr>
        <w:t>法庭；</w:t>
      </w:r>
      <w:r>
        <w:t>敦促</w:t>
      </w:r>
      <w:r>
        <w:rPr>
          <w:rFonts w:hint="eastAsia"/>
        </w:rPr>
        <w:t>该国</w:t>
      </w:r>
      <w:r>
        <w:t>当局采取一切适当措施，落实</w:t>
      </w:r>
      <w:r>
        <w:rPr>
          <w:rFonts w:hint="eastAsia"/>
        </w:rPr>
        <w:t>关于</w:t>
      </w:r>
      <w:r>
        <w:t>设立特别刑事法庭</w:t>
      </w:r>
      <w:r>
        <w:rPr>
          <w:rFonts w:hint="eastAsia"/>
        </w:rPr>
        <w:t>的该项法律</w:t>
      </w:r>
      <w:r>
        <w:t>；</w:t>
      </w:r>
    </w:p>
    <w:p w:rsidR="00885461" w:rsidRPr="00B45B85" w:rsidRDefault="00885461" w:rsidP="002D0BD6">
      <w:pPr>
        <w:pStyle w:val="SingleTxt"/>
        <w:spacing w:line="320" w:lineRule="exact"/>
      </w:pPr>
      <w:r>
        <w:rPr>
          <w:iCs/>
          <w:color w:val="1D1C1C"/>
        </w:rPr>
        <w:t>10.</w:t>
      </w:r>
      <w:r>
        <w:rPr>
          <w:rFonts w:hint="eastAsia"/>
          <w:iCs/>
          <w:color w:val="1D1C1C"/>
        </w:rPr>
        <w:t xml:space="preserve">  </w:t>
      </w:r>
      <w:r w:rsidRPr="00DB0027">
        <w:rPr>
          <w:rFonts w:eastAsia="楷体_GB2312"/>
          <w:snapToGrid w:val="0"/>
        </w:rPr>
        <w:t>支持</w:t>
      </w:r>
      <w:r>
        <w:t>中部非洲国家经济共同体调解员以及非洲联盟和中非共和国所有其他合作伙伴根据</w:t>
      </w:r>
      <w:r>
        <w:t>2013</w:t>
      </w:r>
      <w:r>
        <w:t>年</w:t>
      </w:r>
      <w:r>
        <w:t>1</w:t>
      </w:r>
      <w:r>
        <w:t>月</w:t>
      </w:r>
      <w:r>
        <w:t>11</w:t>
      </w:r>
      <w:r>
        <w:t>日在利伯维尔签署</w:t>
      </w:r>
      <w:r>
        <w:rPr>
          <w:rFonts w:hint="eastAsia"/>
        </w:rPr>
        <w:t>的</w:t>
      </w:r>
      <w:r>
        <w:t>政治协议、</w:t>
      </w:r>
      <w:r>
        <w:t>2013</w:t>
      </w:r>
      <w:r>
        <w:t>年</w:t>
      </w:r>
      <w:r>
        <w:t>4</w:t>
      </w:r>
      <w:r>
        <w:t>月</w:t>
      </w:r>
      <w:r>
        <w:t>18</w:t>
      </w:r>
      <w:r>
        <w:t>日的《恩贾梅纳宣言》和</w:t>
      </w:r>
      <w:r>
        <w:t>2013</w:t>
      </w:r>
      <w:r>
        <w:t>年</w:t>
      </w:r>
      <w:r>
        <w:t>7</w:t>
      </w:r>
      <w:r>
        <w:t>月</w:t>
      </w:r>
      <w:r>
        <w:t>18</w:t>
      </w:r>
      <w:r>
        <w:t>日的《过渡宪章》，</w:t>
      </w:r>
      <w:r>
        <w:rPr>
          <w:rFonts w:hint="eastAsia"/>
        </w:rPr>
        <w:t>为解决危机并</w:t>
      </w:r>
      <w:r>
        <w:t>最终恢复宪政秩序、和平与安全所作的努力</w:t>
      </w:r>
      <w:r>
        <w:rPr>
          <w:rFonts w:hint="eastAsia"/>
        </w:rPr>
        <w:t>；</w:t>
      </w:r>
    </w:p>
    <w:p w:rsidR="00885461" w:rsidRPr="00B45B85" w:rsidRDefault="00885461" w:rsidP="002D0BD6">
      <w:pPr>
        <w:pStyle w:val="SingleTxt"/>
        <w:spacing w:line="320" w:lineRule="exact"/>
      </w:pPr>
      <w:r>
        <w:rPr>
          <w:iCs/>
        </w:rPr>
        <w:t>11.</w:t>
      </w:r>
      <w:r>
        <w:rPr>
          <w:rFonts w:hint="eastAsia"/>
          <w:iCs/>
        </w:rPr>
        <w:t xml:space="preserve">  </w:t>
      </w:r>
      <w:r w:rsidRPr="00DB0027">
        <w:rPr>
          <w:rFonts w:eastAsia="楷体_GB2312" w:hint="eastAsia"/>
          <w:snapToGrid w:val="0"/>
        </w:rPr>
        <w:t>欢迎</w:t>
      </w:r>
      <w:r>
        <w:t>过渡当局</w:t>
      </w:r>
      <w:r>
        <w:rPr>
          <w:rFonts w:hint="eastAsia"/>
        </w:rPr>
        <w:t>努力</w:t>
      </w:r>
      <w:r>
        <w:t>执行过渡进程，包括与和解有关的</w:t>
      </w:r>
      <w:r>
        <w:rPr>
          <w:rFonts w:hint="eastAsia"/>
        </w:rPr>
        <w:t>规定；</w:t>
      </w:r>
      <w:r>
        <w:t>敦促过渡当局</w:t>
      </w:r>
      <w:r>
        <w:rPr>
          <w:rFonts w:hint="eastAsia"/>
        </w:rPr>
        <w:t>以包容方式落实</w:t>
      </w:r>
      <w:r>
        <w:t>班吉论坛</w:t>
      </w:r>
      <w:r>
        <w:rPr>
          <w:rFonts w:hint="eastAsia"/>
        </w:rPr>
        <w:t>提出</w:t>
      </w:r>
      <w:r>
        <w:t>的</w:t>
      </w:r>
      <w:r>
        <w:rPr>
          <w:rFonts w:hint="eastAsia"/>
        </w:rPr>
        <w:t>各项</w:t>
      </w:r>
      <w:r>
        <w:t>建议</w:t>
      </w:r>
      <w:r>
        <w:rPr>
          <w:rFonts w:hint="eastAsia"/>
        </w:rPr>
        <w:t>，以实现</w:t>
      </w:r>
      <w:r>
        <w:t>真正</w:t>
      </w:r>
      <w:r>
        <w:rPr>
          <w:rFonts w:hint="eastAsia"/>
        </w:rPr>
        <w:t>与</w:t>
      </w:r>
      <w:r>
        <w:t>持久</w:t>
      </w:r>
      <w:r>
        <w:rPr>
          <w:rFonts w:hint="eastAsia"/>
        </w:rPr>
        <w:t>的</w:t>
      </w:r>
      <w:r>
        <w:t>和解；</w:t>
      </w:r>
    </w:p>
    <w:p w:rsidR="00885461" w:rsidRPr="00B45B85" w:rsidRDefault="00885461" w:rsidP="002D0BD6">
      <w:pPr>
        <w:pStyle w:val="SingleTxt"/>
        <w:spacing w:line="320" w:lineRule="exact"/>
      </w:pPr>
      <w:r>
        <w:rPr>
          <w:iCs/>
          <w:color w:val="1D1C1C"/>
        </w:rPr>
        <w:t>12.</w:t>
      </w:r>
      <w:r>
        <w:rPr>
          <w:rFonts w:hint="eastAsia"/>
          <w:iCs/>
          <w:color w:val="1D1C1C"/>
        </w:rPr>
        <w:t xml:space="preserve">  </w:t>
      </w:r>
      <w:r w:rsidRPr="00DB0027">
        <w:rPr>
          <w:rFonts w:eastAsia="楷体_GB2312"/>
          <w:snapToGrid w:val="0"/>
        </w:rPr>
        <w:t>请</w:t>
      </w:r>
      <w:r>
        <w:t>过渡当局和国家选举当局按照</w:t>
      </w:r>
      <w:r>
        <w:rPr>
          <w:rFonts w:hint="eastAsia"/>
        </w:rPr>
        <w:t>《</w:t>
      </w:r>
      <w:r>
        <w:t>过渡宪章</w:t>
      </w:r>
      <w:r>
        <w:rPr>
          <w:rFonts w:hint="eastAsia"/>
        </w:rPr>
        <w:t>》</w:t>
      </w:r>
      <w:r>
        <w:t>采取必要步骤，加快</w:t>
      </w:r>
      <w:r>
        <w:rPr>
          <w:rFonts w:hint="eastAsia"/>
        </w:rPr>
        <w:t>选举</w:t>
      </w:r>
      <w:r>
        <w:t>筹备进程</w:t>
      </w:r>
      <w:r>
        <w:rPr>
          <w:rFonts w:hint="eastAsia"/>
        </w:rPr>
        <w:t>，以便在</w:t>
      </w:r>
      <w:r>
        <w:t xml:space="preserve">2015 </w:t>
      </w:r>
      <w:r>
        <w:t>年</w:t>
      </w:r>
      <w:r>
        <w:rPr>
          <w:rFonts w:hint="eastAsia"/>
        </w:rPr>
        <w:t>年</w:t>
      </w:r>
      <w:r>
        <w:t>底之前举行自由</w:t>
      </w:r>
      <w:r>
        <w:rPr>
          <w:rFonts w:hint="eastAsia"/>
        </w:rPr>
        <w:t>、</w:t>
      </w:r>
      <w:r>
        <w:t>开放</w:t>
      </w:r>
      <w:r>
        <w:rPr>
          <w:rFonts w:hint="eastAsia"/>
        </w:rPr>
        <w:t>、</w:t>
      </w:r>
      <w:r>
        <w:t>透明和包容各方的选举</w:t>
      </w:r>
      <w:r>
        <w:rPr>
          <w:rFonts w:hint="eastAsia"/>
        </w:rPr>
        <w:t>，</w:t>
      </w:r>
      <w:r>
        <w:t>包括允许难民和</w:t>
      </w:r>
      <w:r>
        <w:rPr>
          <w:rFonts w:hint="eastAsia"/>
        </w:rPr>
        <w:t>境内</w:t>
      </w:r>
      <w:r>
        <w:t>流离失所者</w:t>
      </w:r>
      <w:r>
        <w:rPr>
          <w:rFonts w:hint="eastAsia"/>
        </w:rPr>
        <w:t>参加</w:t>
      </w:r>
      <w:r>
        <w:t>；</w:t>
      </w:r>
    </w:p>
    <w:p w:rsidR="00885461" w:rsidRPr="000623FA" w:rsidRDefault="00885461" w:rsidP="002D0BD6">
      <w:pPr>
        <w:pStyle w:val="SingleTxt"/>
        <w:spacing w:line="300" w:lineRule="exact"/>
        <w:rPr>
          <w:color w:val="1D1C1C"/>
        </w:rPr>
      </w:pPr>
      <w:r>
        <w:rPr>
          <w:bCs/>
          <w:color w:val="1D1C1C"/>
        </w:rPr>
        <w:lastRenderedPageBreak/>
        <w:t>13.</w:t>
      </w:r>
      <w:r>
        <w:rPr>
          <w:rFonts w:hint="eastAsia"/>
          <w:color w:val="1D1C1C"/>
        </w:rPr>
        <w:t xml:space="preserve">  </w:t>
      </w:r>
      <w:r w:rsidRPr="00DB0027">
        <w:rPr>
          <w:rFonts w:eastAsia="楷体_GB2312"/>
          <w:snapToGrid w:val="0"/>
        </w:rPr>
        <w:t>敦促</w:t>
      </w:r>
      <w:r>
        <w:t>国际社会继续提供</w:t>
      </w:r>
      <w:r>
        <w:rPr>
          <w:rFonts w:hint="eastAsia"/>
        </w:rPr>
        <w:t>举行选举所需的</w:t>
      </w:r>
      <w:r>
        <w:t>一切必要协助</w:t>
      </w:r>
      <w:r>
        <w:rPr>
          <w:rFonts w:hint="eastAsia"/>
        </w:rPr>
        <w:t>，同时</w:t>
      </w:r>
      <w:r>
        <w:t>考虑到</w:t>
      </w:r>
      <w:r>
        <w:rPr>
          <w:rFonts w:hint="eastAsia"/>
        </w:rPr>
        <w:t>国际社会</w:t>
      </w:r>
      <w:r>
        <w:t>已经提供的财政支助</w:t>
      </w:r>
      <w:r>
        <w:rPr>
          <w:rFonts w:hint="eastAsia"/>
        </w:rPr>
        <w:t>；</w:t>
      </w:r>
      <w:bookmarkStart w:id="2" w:name="graphic0F"/>
      <w:bookmarkStart w:id="3" w:name="graphic10"/>
      <w:bookmarkEnd w:id="2"/>
      <w:bookmarkEnd w:id="3"/>
    </w:p>
    <w:p w:rsidR="00885461" w:rsidRPr="00B45B85" w:rsidRDefault="00885461" w:rsidP="002D0BD6">
      <w:pPr>
        <w:pStyle w:val="SingleTxt"/>
        <w:spacing w:line="300" w:lineRule="exact"/>
      </w:pPr>
      <w:r w:rsidRPr="00F210C6">
        <w:rPr>
          <w:iCs/>
        </w:rPr>
        <w:t>1</w:t>
      </w:r>
      <w:r>
        <w:rPr>
          <w:iCs/>
        </w:rPr>
        <w:t>4</w:t>
      </w:r>
      <w:r w:rsidRPr="00F210C6">
        <w:rPr>
          <w:iCs/>
        </w:rPr>
        <w:t>.</w:t>
      </w:r>
      <w:r>
        <w:rPr>
          <w:rFonts w:hint="eastAsia"/>
          <w:iCs/>
        </w:rPr>
        <w:t xml:space="preserve">  </w:t>
      </w:r>
      <w:r w:rsidRPr="003A7D2D">
        <w:rPr>
          <w:rFonts w:eastAsia="楷体_GB2312" w:hint="eastAsia"/>
        </w:rPr>
        <w:t>欢迎</w:t>
      </w:r>
      <w:r>
        <w:rPr>
          <w:rFonts w:hint="eastAsia"/>
        </w:rPr>
        <w:t>中非共和国的安全局势得到改善；呼吁所有各方尊重《停止敌对行动协议》的条款，该协议是朝着解决危机方向迈出的重要一步；</w:t>
      </w:r>
    </w:p>
    <w:p w:rsidR="00885461" w:rsidRPr="00B45B85" w:rsidRDefault="00885461" w:rsidP="002D0BD6">
      <w:pPr>
        <w:pStyle w:val="SingleTxt"/>
        <w:spacing w:line="300" w:lineRule="exact"/>
      </w:pPr>
      <w:r w:rsidRPr="00F210C6">
        <w:rPr>
          <w:iCs/>
        </w:rPr>
        <w:t>1</w:t>
      </w:r>
      <w:r>
        <w:rPr>
          <w:iCs/>
        </w:rPr>
        <w:t>5</w:t>
      </w:r>
      <w:r w:rsidRPr="00F210C6">
        <w:rPr>
          <w:iCs/>
        </w:rPr>
        <w:t>.</w:t>
      </w:r>
      <w:r>
        <w:rPr>
          <w:rFonts w:hint="eastAsia"/>
          <w:iCs/>
        </w:rPr>
        <w:t xml:space="preserve">  </w:t>
      </w:r>
      <w:r w:rsidRPr="00DB0027">
        <w:rPr>
          <w:rFonts w:eastAsia="楷体_GB2312"/>
          <w:snapToGrid w:val="0"/>
        </w:rPr>
        <w:t>鼓励</w:t>
      </w:r>
      <w:r>
        <w:t>中非共和国当局采取一切必要措施，巩固</w:t>
      </w:r>
      <w:r>
        <w:rPr>
          <w:rFonts w:hint="eastAsia"/>
        </w:rPr>
        <w:t>该国</w:t>
      </w:r>
      <w:r>
        <w:t>领土</w:t>
      </w:r>
      <w:r>
        <w:rPr>
          <w:rFonts w:hint="eastAsia"/>
        </w:rPr>
        <w:t>上的</w:t>
      </w:r>
      <w:r>
        <w:t>安全局势</w:t>
      </w:r>
      <w:r>
        <w:rPr>
          <w:rFonts w:hint="eastAsia"/>
        </w:rPr>
        <w:t>，包括按照在班吉论坛上达成的相关协议，落实</w:t>
      </w:r>
      <w:r>
        <w:t>解除武装、复员、重返社会和</w:t>
      </w:r>
      <w:r>
        <w:rPr>
          <w:rFonts w:hint="eastAsia"/>
        </w:rPr>
        <w:t>遣返方案；</w:t>
      </w:r>
    </w:p>
    <w:p w:rsidR="00885461" w:rsidRPr="00B45B85" w:rsidRDefault="00885461" w:rsidP="002D0BD6">
      <w:pPr>
        <w:pStyle w:val="SingleTxt"/>
        <w:spacing w:line="300" w:lineRule="exact"/>
      </w:pPr>
      <w:r w:rsidRPr="00F210C6">
        <w:t>1</w:t>
      </w:r>
      <w:r>
        <w:t>6</w:t>
      </w:r>
      <w:r w:rsidRPr="00F210C6">
        <w:t>.</w:t>
      </w:r>
      <w:r>
        <w:rPr>
          <w:rFonts w:hint="eastAsia"/>
        </w:rPr>
        <w:t xml:space="preserve">  </w:t>
      </w:r>
      <w:r w:rsidRPr="00DB0027">
        <w:rPr>
          <w:rFonts w:eastAsia="楷体_GB2312"/>
          <w:snapToGrid w:val="0"/>
        </w:rPr>
        <w:t>仍然</w:t>
      </w:r>
      <w:r w:rsidRPr="00DB0027">
        <w:rPr>
          <w:rFonts w:eastAsia="楷体_GB2312" w:hint="eastAsia"/>
          <w:snapToGrid w:val="0"/>
        </w:rPr>
        <w:t>深切</w:t>
      </w:r>
      <w:r w:rsidRPr="00DB0027">
        <w:rPr>
          <w:rFonts w:eastAsia="楷体_GB2312"/>
          <w:snapToGrid w:val="0"/>
        </w:rPr>
        <w:t>关注</w:t>
      </w:r>
      <w:r>
        <w:t>流离失所者和难民的处境；鼓励国际社会支持国家当局和收容国</w:t>
      </w:r>
      <w:r>
        <w:rPr>
          <w:rFonts w:hint="eastAsia"/>
        </w:rPr>
        <w:t>确保</w:t>
      </w:r>
      <w:r>
        <w:t>向暴力行为受害者，尤其是向妇女、儿童和残疾人提供适当的保护和</w:t>
      </w:r>
      <w:r>
        <w:rPr>
          <w:rFonts w:hint="eastAsia"/>
        </w:rPr>
        <w:t>支助</w:t>
      </w:r>
      <w:r>
        <w:t>；</w:t>
      </w:r>
    </w:p>
    <w:p w:rsidR="00885461" w:rsidRPr="0045745A" w:rsidRDefault="00885461" w:rsidP="002D0BD6">
      <w:pPr>
        <w:pStyle w:val="SingleTxt"/>
        <w:spacing w:line="300" w:lineRule="exact"/>
      </w:pPr>
      <w:r w:rsidRPr="00F210C6">
        <w:rPr>
          <w:iCs/>
        </w:rPr>
        <w:t>1</w:t>
      </w:r>
      <w:r>
        <w:rPr>
          <w:iCs/>
        </w:rPr>
        <w:t>7</w:t>
      </w:r>
      <w:r w:rsidRPr="00F210C6">
        <w:rPr>
          <w:iCs/>
        </w:rPr>
        <w:t>.</w:t>
      </w:r>
      <w:r>
        <w:rPr>
          <w:rFonts w:hint="eastAsia"/>
          <w:iCs/>
        </w:rPr>
        <w:t xml:space="preserve">  </w:t>
      </w:r>
      <w:r w:rsidRPr="00DB0027">
        <w:rPr>
          <w:rFonts w:eastAsia="楷体_GB2312"/>
          <w:snapToGrid w:val="0"/>
        </w:rPr>
        <w:t>吁请</w:t>
      </w:r>
      <w:r>
        <w:t>过渡当局</w:t>
      </w:r>
      <w:r>
        <w:rPr>
          <w:rFonts w:hint="eastAsia"/>
        </w:rPr>
        <w:t>不加区别地</w:t>
      </w:r>
      <w:r>
        <w:t>继续努力</w:t>
      </w:r>
      <w:r>
        <w:rPr>
          <w:rFonts w:hint="eastAsia"/>
        </w:rPr>
        <w:t>保护和</w:t>
      </w:r>
      <w:r>
        <w:t>增进</w:t>
      </w:r>
      <w:r>
        <w:rPr>
          <w:rFonts w:hint="eastAsia"/>
        </w:rPr>
        <w:t>所有的人、</w:t>
      </w:r>
      <w:r>
        <w:t>包括流离失所者</w:t>
      </w:r>
      <w:r>
        <w:rPr>
          <w:rFonts w:hint="eastAsia"/>
        </w:rPr>
        <w:t>的</w:t>
      </w:r>
      <w:r>
        <w:t>迁徙自由权</w:t>
      </w:r>
      <w:r>
        <w:rPr>
          <w:rFonts w:hint="eastAsia"/>
        </w:rPr>
        <w:t>，</w:t>
      </w:r>
      <w:r>
        <w:t>并尊重其选择居住地</w:t>
      </w:r>
      <w:r>
        <w:rPr>
          <w:rFonts w:hint="eastAsia"/>
        </w:rPr>
        <w:t>、</w:t>
      </w:r>
      <w:r>
        <w:t>返回家园或在其他地方寻求保护</w:t>
      </w:r>
      <w:r>
        <w:rPr>
          <w:rFonts w:hint="eastAsia"/>
        </w:rPr>
        <w:t>的权利；</w:t>
      </w:r>
    </w:p>
    <w:p w:rsidR="00885461" w:rsidRPr="00B45B85" w:rsidRDefault="00885461" w:rsidP="002D0BD6">
      <w:pPr>
        <w:pStyle w:val="SingleTxt"/>
        <w:spacing w:line="300" w:lineRule="exact"/>
      </w:pPr>
      <w:r w:rsidRPr="00F210C6">
        <w:rPr>
          <w:iCs/>
        </w:rPr>
        <w:t>1</w:t>
      </w:r>
      <w:r>
        <w:rPr>
          <w:iCs/>
        </w:rPr>
        <w:t>8</w:t>
      </w:r>
      <w:r w:rsidRPr="00F210C6">
        <w:rPr>
          <w:iCs/>
        </w:rPr>
        <w:t>.</w:t>
      </w:r>
      <w:r>
        <w:rPr>
          <w:rFonts w:hint="eastAsia"/>
          <w:iCs/>
        </w:rPr>
        <w:t xml:space="preserve">  </w:t>
      </w:r>
      <w:r w:rsidRPr="00DB0027">
        <w:rPr>
          <w:rFonts w:eastAsia="楷体_GB2312"/>
          <w:snapToGrid w:val="0"/>
        </w:rPr>
        <w:t>请</w:t>
      </w:r>
      <w:r>
        <w:t>所有利益攸关方和国际社会继续动员起来，应对中非共和国确定的紧急情况和优先事项，包括财政和技术</w:t>
      </w:r>
      <w:r>
        <w:rPr>
          <w:rFonts w:hint="eastAsia"/>
        </w:rPr>
        <w:t>支助，并支付</w:t>
      </w:r>
      <w:r>
        <w:t>受危机影响的人的心理创伤治疗</w:t>
      </w:r>
      <w:r>
        <w:rPr>
          <w:rFonts w:hint="eastAsia"/>
        </w:rPr>
        <w:t>费用</w:t>
      </w:r>
      <w:r>
        <w:t>；</w:t>
      </w:r>
    </w:p>
    <w:p w:rsidR="00885461" w:rsidRPr="00B45B85" w:rsidRDefault="00885461" w:rsidP="002D0BD6">
      <w:pPr>
        <w:pStyle w:val="SingleTxt"/>
        <w:spacing w:line="300" w:lineRule="exact"/>
      </w:pPr>
      <w:r>
        <w:rPr>
          <w:bCs/>
        </w:rPr>
        <w:t>19.</w:t>
      </w:r>
      <w:r>
        <w:rPr>
          <w:rFonts w:hint="eastAsia"/>
        </w:rPr>
        <w:t xml:space="preserve">  </w:t>
      </w:r>
      <w:r w:rsidRPr="00DB0027">
        <w:rPr>
          <w:rFonts w:eastAsia="楷体_GB2312"/>
          <w:snapToGrid w:val="0"/>
        </w:rPr>
        <w:t>敦促</w:t>
      </w:r>
      <w:r>
        <w:t>国际社会提供援助，</w:t>
      </w:r>
      <w:r>
        <w:rPr>
          <w:rFonts w:hint="eastAsia"/>
        </w:rPr>
        <w:t>帮助</w:t>
      </w:r>
      <w:r>
        <w:t>中非当局设立一</w:t>
      </w:r>
      <w:r>
        <w:rPr>
          <w:rFonts w:hint="eastAsia"/>
        </w:rPr>
        <w:t>种</w:t>
      </w:r>
      <w:r>
        <w:t>机制，</w:t>
      </w:r>
      <w:r>
        <w:rPr>
          <w:rFonts w:hint="eastAsia"/>
        </w:rPr>
        <w:t>以</w:t>
      </w:r>
      <w:r>
        <w:t>协助创伤</w:t>
      </w:r>
      <w:r>
        <w:rPr>
          <w:rFonts w:hint="eastAsia"/>
        </w:rPr>
        <w:t>和</w:t>
      </w:r>
      <w:r>
        <w:t>创伤后应激障碍受害者，包括儿童和性暴力受害者；</w:t>
      </w:r>
    </w:p>
    <w:p w:rsidR="00885461" w:rsidRPr="00B45B85" w:rsidRDefault="00885461" w:rsidP="002D0BD6">
      <w:pPr>
        <w:pStyle w:val="SingleTxt"/>
        <w:spacing w:line="300" w:lineRule="exact"/>
      </w:pPr>
      <w:r>
        <w:rPr>
          <w:iCs/>
        </w:rPr>
        <w:t>20</w:t>
      </w:r>
      <w:r w:rsidRPr="00F210C6">
        <w:rPr>
          <w:iCs/>
        </w:rPr>
        <w:t>.</w:t>
      </w:r>
      <w:r>
        <w:rPr>
          <w:rFonts w:hint="eastAsia"/>
          <w:iCs/>
        </w:rPr>
        <w:t xml:space="preserve">  </w:t>
      </w:r>
      <w:r w:rsidRPr="00DB0027">
        <w:rPr>
          <w:rFonts w:eastAsia="楷体_GB2312" w:hint="eastAsia"/>
          <w:snapToGrid w:val="0"/>
        </w:rPr>
        <w:t>请</w:t>
      </w:r>
      <w:r>
        <w:t>所有各方</w:t>
      </w:r>
      <w:r>
        <w:rPr>
          <w:rFonts w:hint="eastAsia"/>
        </w:rPr>
        <w:t>通过加强道路安全，</w:t>
      </w:r>
      <w:r>
        <w:t>为受害者获得人道主义援助以及人道主义工作者进入整个国家领土提供便利；</w:t>
      </w:r>
    </w:p>
    <w:p w:rsidR="00885461" w:rsidRPr="00B45B85" w:rsidRDefault="00885461" w:rsidP="002D0BD6">
      <w:pPr>
        <w:pStyle w:val="SingleTxt"/>
        <w:spacing w:line="300" w:lineRule="exact"/>
      </w:pPr>
      <w:r>
        <w:rPr>
          <w:iCs/>
        </w:rPr>
        <w:t>2</w:t>
      </w:r>
      <w:r w:rsidRPr="00F210C6">
        <w:rPr>
          <w:iCs/>
        </w:rPr>
        <w:t>1.</w:t>
      </w:r>
      <w:r>
        <w:rPr>
          <w:rFonts w:hint="eastAsia"/>
          <w:iCs/>
        </w:rPr>
        <w:t xml:space="preserve">  </w:t>
      </w:r>
      <w:r w:rsidRPr="00DB0027">
        <w:rPr>
          <w:rFonts w:eastAsia="楷体_GB2312"/>
          <w:snapToGrid w:val="0"/>
        </w:rPr>
        <w:t>鼓励</w:t>
      </w:r>
      <w:r>
        <w:t>联合国会员国在国际合作框架内，并鼓励联合国有关机构、国际金融机构和其他有关国际组织和捐助方，向中非共和国提供技术援助和能力建设，以促进尊重人权</w:t>
      </w:r>
      <w:r>
        <w:rPr>
          <w:rFonts w:hint="eastAsia"/>
        </w:rPr>
        <w:t>及进行</w:t>
      </w:r>
      <w:r>
        <w:t>司法</w:t>
      </w:r>
      <w:r>
        <w:rPr>
          <w:rFonts w:hint="eastAsia"/>
        </w:rPr>
        <w:t>和</w:t>
      </w:r>
      <w:r>
        <w:t>安全部门改革；</w:t>
      </w:r>
    </w:p>
    <w:p w:rsidR="00885461" w:rsidRPr="00B45B85" w:rsidRDefault="00885461" w:rsidP="002D0BD6">
      <w:pPr>
        <w:pStyle w:val="SingleTxt"/>
        <w:spacing w:line="300" w:lineRule="exact"/>
      </w:pPr>
      <w:r>
        <w:t>22</w:t>
      </w:r>
      <w:r w:rsidRPr="00F210C6">
        <w:t>.</w:t>
      </w:r>
      <w:r>
        <w:rPr>
          <w:rFonts w:hint="eastAsia"/>
        </w:rPr>
        <w:t xml:space="preserve">  </w:t>
      </w:r>
      <w:r w:rsidRPr="00DB0027">
        <w:rPr>
          <w:rFonts w:eastAsia="楷体_GB2312"/>
          <w:snapToGrid w:val="0"/>
        </w:rPr>
        <w:t>鼓励</w:t>
      </w:r>
      <w:r>
        <w:t>联合国中非共和国多层面综合稳定团按照其任务规定，公布中非共和国人权状况</w:t>
      </w:r>
      <w:r>
        <w:rPr>
          <w:rFonts w:hint="eastAsia"/>
        </w:rPr>
        <w:t>报告</w:t>
      </w:r>
      <w:r>
        <w:t>，</w:t>
      </w:r>
      <w:r>
        <w:rPr>
          <w:rFonts w:hint="eastAsia"/>
        </w:rPr>
        <w:t>以便</w:t>
      </w:r>
      <w:r>
        <w:t>国际社会</w:t>
      </w:r>
      <w:r>
        <w:rPr>
          <w:rFonts w:hint="eastAsia"/>
        </w:rPr>
        <w:t>加以监督</w:t>
      </w:r>
      <w:r>
        <w:t>；</w:t>
      </w:r>
    </w:p>
    <w:p w:rsidR="00885461" w:rsidRPr="00B45B85" w:rsidRDefault="00885461" w:rsidP="002D0BD6">
      <w:pPr>
        <w:pStyle w:val="SingleTxt"/>
        <w:spacing w:line="300" w:lineRule="exact"/>
      </w:pPr>
      <w:r>
        <w:rPr>
          <w:iCs/>
        </w:rPr>
        <w:t>23</w:t>
      </w:r>
      <w:r w:rsidRPr="00F210C6">
        <w:rPr>
          <w:iCs/>
        </w:rPr>
        <w:t>.</w:t>
      </w:r>
      <w:r>
        <w:rPr>
          <w:rFonts w:hint="eastAsia"/>
          <w:iCs/>
        </w:rPr>
        <w:t xml:space="preserve">  </w:t>
      </w:r>
      <w:r w:rsidRPr="003A7D2D">
        <w:rPr>
          <w:rFonts w:eastAsia="楷体_GB2312" w:hint="eastAsia"/>
        </w:rPr>
        <w:t>决定</w:t>
      </w:r>
      <w:r>
        <w:rPr>
          <w:rFonts w:hint="eastAsia"/>
        </w:rPr>
        <w:t>将评估、监测和报告中非共和国人权状况独立专家的任期延长一年，以便提出有关人权领域技术援助和能力建设的建议；</w:t>
      </w:r>
    </w:p>
    <w:p w:rsidR="00885461" w:rsidRPr="00B45B85" w:rsidRDefault="00885461" w:rsidP="002D0BD6">
      <w:pPr>
        <w:pStyle w:val="SingleTxt"/>
        <w:spacing w:line="300" w:lineRule="exact"/>
      </w:pPr>
      <w:r w:rsidRPr="00F210C6">
        <w:rPr>
          <w:iCs/>
        </w:rPr>
        <w:t>2</w:t>
      </w:r>
      <w:r>
        <w:rPr>
          <w:iCs/>
        </w:rPr>
        <w:t>4</w:t>
      </w:r>
      <w:r w:rsidRPr="00F210C6">
        <w:rPr>
          <w:iCs/>
        </w:rPr>
        <w:t>.</w:t>
      </w:r>
      <w:r>
        <w:rPr>
          <w:rFonts w:hint="eastAsia"/>
          <w:iCs/>
        </w:rPr>
        <w:t xml:space="preserve">  </w:t>
      </w:r>
      <w:r w:rsidRPr="003A7D2D">
        <w:rPr>
          <w:rFonts w:eastAsia="楷体_GB2312" w:hint="eastAsia"/>
        </w:rPr>
        <w:t>请</w:t>
      </w:r>
      <w:r>
        <w:rPr>
          <w:rFonts w:hint="eastAsia"/>
        </w:rPr>
        <w:t>所有各方在独立专家执行任务时与其充分合作；</w:t>
      </w:r>
    </w:p>
    <w:p w:rsidR="00885461" w:rsidRPr="00B45B85" w:rsidRDefault="00885461" w:rsidP="002D0BD6">
      <w:pPr>
        <w:pStyle w:val="SingleTxt"/>
        <w:spacing w:line="300" w:lineRule="exact"/>
      </w:pPr>
      <w:r w:rsidRPr="00F210C6">
        <w:rPr>
          <w:iCs/>
        </w:rPr>
        <w:t>2</w:t>
      </w:r>
      <w:r>
        <w:rPr>
          <w:iCs/>
        </w:rPr>
        <w:t>5</w:t>
      </w:r>
      <w:r w:rsidRPr="00F210C6">
        <w:rPr>
          <w:iCs/>
        </w:rPr>
        <w:t>.</w:t>
      </w:r>
      <w:r>
        <w:rPr>
          <w:rFonts w:hint="eastAsia"/>
          <w:iCs/>
        </w:rPr>
        <w:t xml:space="preserve">  </w:t>
      </w:r>
      <w:r w:rsidRPr="003A7D2D">
        <w:rPr>
          <w:rFonts w:eastAsia="楷体_GB2312" w:hint="eastAsia"/>
        </w:rPr>
        <w:t>请</w:t>
      </w:r>
      <w:r>
        <w:rPr>
          <w:rFonts w:hint="eastAsia"/>
        </w:rPr>
        <w:t>独立专家与所有联合国机构、非洲联盟、中部非洲国家经济共同体以及其他相关国际组织、民间社会和所有相关人权机制密切合作；</w:t>
      </w:r>
    </w:p>
    <w:p w:rsidR="00885461" w:rsidRPr="00B45B85" w:rsidRDefault="00885461" w:rsidP="002D0BD6">
      <w:pPr>
        <w:pStyle w:val="SingleTxt"/>
        <w:spacing w:line="300" w:lineRule="exact"/>
      </w:pPr>
      <w:r w:rsidRPr="00F210C6">
        <w:rPr>
          <w:iCs/>
        </w:rPr>
        <w:t>2</w:t>
      </w:r>
      <w:r>
        <w:rPr>
          <w:iCs/>
        </w:rPr>
        <w:t>6</w:t>
      </w:r>
      <w:r w:rsidRPr="00F210C6">
        <w:rPr>
          <w:iCs/>
        </w:rPr>
        <w:t>.</w:t>
      </w:r>
      <w:r>
        <w:rPr>
          <w:rFonts w:hint="eastAsia"/>
          <w:iCs/>
        </w:rPr>
        <w:t xml:space="preserve">  </w:t>
      </w:r>
      <w:r w:rsidRPr="00BD4333">
        <w:rPr>
          <w:rFonts w:eastAsia="楷体_GB2312" w:hint="eastAsia"/>
          <w:snapToGrid w:val="0"/>
        </w:rPr>
        <w:t>还请</w:t>
      </w:r>
      <w:r>
        <w:rPr>
          <w:rFonts w:hint="eastAsia"/>
        </w:rPr>
        <w:t>独立专家在人权理事会第三十一届会议上口头报告中非共和国人权领域技术援助和能力建设的最新情况并向理事会第三十三届会议提交一份书面报告；</w:t>
      </w:r>
    </w:p>
    <w:p w:rsidR="00885461" w:rsidRPr="00B45B85" w:rsidRDefault="00885461" w:rsidP="002D0BD6">
      <w:pPr>
        <w:pStyle w:val="SingleTxt"/>
        <w:spacing w:line="300" w:lineRule="exact"/>
      </w:pPr>
      <w:r w:rsidRPr="00F210C6">
        <w:t>2</w:t>
      </w:r>
      <w:r>
        <w:t>7</w:t>
      </w:r>
      <w:r w:rsidRPr="00F210C6">
        <w:t>.</w:t>
      </w:r>
      <w:r>
        <w:rPr>
          <w:rFonts w:hint="eastAsia"/>
        </w:rPr>
        <w:t xml:space="preserve">  </w:t>
      </w:r>
      <w:r w:rsidRPr="00316EA2">
        <w:rPr>
          <w:rFonts w:ascii="楷体" w:eastAsia="楷体" w:hAnsi="楷体" w:hint="eastAsia"/>
        </w:rPr>
        <w:t>欣见</w:t>
      </w:r>
      <w:r w:rsidRPr="00316EA2">
        <w:rPr>
          <w:rFonts w:hint="eastAsia"/>
        </w:rPr>
        <w:t>在其</w:t>
      </w:r>
      <w:r w:rsidRPr="00316EA2">
        <w:t>第二十九届会议</w:t>
      </w:r>
      <w:r w:rsidRPr="00316EA2">
        <w:rPr>
          <w:rFonts w:hint="eastAsia"/>
        </w:rPr>
        <w:t>上</w:t>
      </w:r>
      <w:r w:rsidRPr="00316EA2">
        <w:t>举行</w:t>
      </w:r>
      <w:r w:rsidRPr="00316EA2">
        <w:rPr>
          <w:rFonts w:hint="eastAsia"/>
        </w:rPr>
        <w:t>了</w:t>
      </w:r>
      <w:r w:rsidRPr="00316EA2">
        <w:t>互动对话</w:t>
      </w:r>
      <w:r w:rsidRPr="00316EA2">
        <w:rPr>
          <w:rFonts w:hint="eastAsia"/>
        </w:rPr>
        <w:t>，</w:t>
      </w:r>
      <w:r w:rsidRPr="00316EA2">
        <w:t>司法部长和</w:t>
      </w:r>
      <w:r w:rsidRPr="00316EA2">
        <w:rPr>
          <w:rFonts w:hint="eastAsia"/>
        </w:rPr>
        <w:t>民族和解</w:t>
      </w:r>
      <w:r w:rsidRPr="00316EA2">
        <w:t>部长</w:t>
      </w:r>
      <w:r w:rsidRPr="00316EA2">
        <w:rPr>
          <w:rFonts w:hint="eastAsia"/>
        </w:rPr>
        <w:t>参加了</w:t>
      </w:r>
      <w:r w:rsidRPr="00316EA2">
        <w:t>关于打击中非共和国有罪不罚现象</w:t>
      </w:r>
      <w:r w:rsidRPr="00316EA2">
        <w:rPr>
          <w:rFonts w:hint="eastAsia"/>
        </w:rPr>
        <w:t>的辩论；决定在理事会第三十二届会议上在独立专家和其他相关利益攸关方在场的情况下举行一次互动对话，评估当地人权状况的变化情况，尤其着重于</w:t>
      </w:r>
      <w:r w:rsidRPr="00316EA2">
        <w:t>过渡时期司法</w:t>
      </w:r>
      <w:r w:rsidRPr="00316EA2">
        <w:rPr>
          <w:rFonts w:hint="eastAsia"/>
        </w:rPr>
        <w:t>；</w:t>
      </w:r>
    </w:p>
    <w:p w:rsidR="00885461" w:rsidRPr="00B45B85" w:rsidRDefault="00885461" w:rsidP="002D0BD6">
      <w:pPr>
        <w:pStyle w:val="SingleTxt"/>
        <w:spacing w:line="300" w:lineRule="exact"/>
      </w:pPr>
      <w:r w:rsidRPr="00F210C6">
        <w:rPr>
          <w:iCs/>
        </w:rPr>
        <w:t>2</w:t>
      </w:r>
      <w:r>
        <w:rPr>
          <w:iCs/>
        </w:rPr>
        <w:t>8</w:t>
      </w:r>
      <w:r w:rsidRPr="00F210C6">
        <w:rPr>
          <w:iCs/>
        </w:rPr>
        <w:t>.</w:t>
      </w:r>
      <w:r>
        <w:rPr>
          <w:rFonts w:hint="eastAsia"/>
          <w:iCs/>
        </w:rPr>
        <w:t xml:space="preserve">  </w:t>
      </w:r>
      <w:r w:rsidRPr="00BD4333">
        <w:rPr>
          <w:rFonts w:eastAsia="楷体_GB2312" w:hint="eastAsia"/>
          <w:snapToGrid w:val="0"/>
        </w:rPr>
        <w:t>请</w:t>
      </w:r>
      <w:r>
        <w:rPr>
          <w:rFonts w:hint="eastAsia"/>
        </w:rPr>
        <w:t>联合国人权事务高级专员</w:t>
      </w:r>
      <w:r w:rsidRPr="002D0BD6">
        <w:rPr>
          <w:rFonts w:ascii="楷体" w:eastAsia="楷体" w:hAnsi="楷体" w:hint="eastAsia"/>
        </w:rPr>
        <w:t>继续</w:t>
      </w:r>
      <w:r>
        <w:rPr>
          <w:rFonts w:hint="eastAsia"/>
        </w:rPr>
        <w:t>向独立专家提供一切必要的财政和人力资源，使其能够充分履行任务；</w:t>
      </w:r>
    </w:p>
    <w:p w:rsidR="009A4A6B" w:rsidRPr="002D0BD6" w:rsidRDefault="00885461" w:rsidP="002D0BD6">
      <w:pPr>
        <w:pStyle w:val="SingleTxt"/>
        <w:spacing w:line="320" w:lineRule="exact"/>
      </w:pPr>
      <w:r w:rsidRPr="00F210C6">
        <w:rPr>
          <w:iCs/>
        </w:rPr>
        <w:t>2</w:t>
      </w:r>
      <w:r>
        <w:rPr>
          <w:iCs/>
        </w:rPr>
        <w:t>9</w:t>
      </w:r>
      <w:r w:rsidRPr="00F210C6">
        <w:rPr>
          <w:iCs/>
        </w:rPr>
        <w:t>.</w:t>
      </w:r>
      <w:r>
        <w:rPr>
          <w:rFonts w:hint="eastAsia"/>
          <w:iCs/>
        </w:rPr>
        <w:t xml:space="preserve">  </w:t>
      </w:r>
      <w:r w:rsidRPr="003A7D2D">
        <w:rPr>
          <w:rFonts w:eastAsia="楷体_GB2312" w:hint="eastAsia"/>
        </w:rPr>
        <w:t>决定</w:t>
      </w:r>
      <w:r>
        <w:rPr>
          <w:rFonts w:hint="eastAsia"/>
        </w:rPr>
        <w:t>继续审议该事项。</w:t>
      </w:r>
      <w:r w:rsidR="00EF73D3">
        <w:rPr>
          <w:noProof/>
          <w:sz w:val="20"/>
        </w:rPr>
        <mc:AlternateContent>
          <mc:Choice Requires="wps">
            <w:drawing>
              <wp:anchor distT="0" distB="0" distL="114300" distR="114300" simplePos="0" relativeHeight="251659264" behindDoc="0" locked="0" layoutInCell="1" allowOverlap="1" wp14:anchorId="6099CE22" wp14:editId="0785C9EB">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9A4A6B" w:rsidRPr="002D0BD6" w:rsidSect="009A4A6B">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6:40:00Z" w:initials="Start">
    <w:p w:rsidR="009A4A6B" w:rsidRDefault="009A4A6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NO&gt;&gt;N1522455C&lt;&lt;ODS JOB NO&gt;&gt;</w:t>
      </w:r>
    </w:p>
    <w:p w:rsidR="009A4A6B" w:rsidRDefault="009A4A6B">
      <w:pPr>
        <w:pStyle w:val="a7"/>
      </w:pPr>
      <w:r>
        <w:t>&lt;&lt;ODS DOC SYMBOL1&gt;&gt;A/HRC/30/L.6&lt;&lt;ODS DOC SYMBOL1&gt;&gt;</w:t>
      </w:r>
    </w:p>
    <w:p w:rsidR="009A4A6B" w:rsidRDefault="009A4A6B">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501" w:rsidRDefault="00083501">
      <w:r>
        <w:separator/>
      </w:r>
    </w:p>
  </w:endnote>
  <w:endnote w:type="continuationSeparator" w:id="0">
    <w:p w:rsidR="00083501" w:rsidRDefault="0008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A4A6B" w:rsidTr="009A4A6B">
      <w:trPr>
        <w:jc w:val="center"/>
      </w:trPr>
      <w:tc>
        <w:tcPr>
          <w:tcW w:w="5126" w:type="dxa"/>
          <w:shd w:val="clear" w:color="auto" w:fill="auto"/>
        </w:tcPr>
        <w:p w:rsidR="009A4A6B" w:rsidRPr="009A4A6B" w:rsidRDefault="009A4A6B" w:rsidP="009A4A6B">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7E90">
            <w:rPr>
              <w:b w:val="0"/>
              <w:w w:val="103"/>
              <w:sz w:val="14"/>
            </w:rPr>
            <w:t>GE.15-16563 (C)</w:t>
          </w:r>
          <w:r>
            <w:rPr>
              <w:b w:val="0"/>
              <w:w w:val="103"/>
              <w:sz w:val="14"/>
            </w:rPr>
            <w:fldChar w:fldCharType="end"/>
          </w:r>
        </w:p>
      </w:tc>
      <w:tc>
        <w:tcPr>
          <w:tcW w:w="5127" w:type="dxa"/>
          <w:shd w:val="clear" w:color="auto" w:fill="auto"/>
        </w:tcPr>
        <w:p w:rsidR="009A4A6B" w:rsidRPr="009A4A6B" w:rsidRDefault="009A4A6B" w:rsidP="009A4A6B">
          <w:pPr>
            <w:pStyle w:val="ac"/>
            <w:jc w:val="left"/>
            <w:rPr>
              <w:w w:val="103"/>
            </w:rPr>
          </w:pPr>
          <w:r>
            <w:rPr>
              <w:w w:val="103"/>
            </w:rPr>
            <w:fldChar w:fldCharType="begin"/>
          </w:r>
          <w:r>
            <w:rPr>
              <w:w w:val="103"/>
            </w:rPr>
            <w:instrText xml:space="preserve"> PAGE  \* Arabic  \* MERGEFORMAT </w:instrText>
          </w:r>
          <w:r>
            <w:rPr>
              <w:w w:val="103"/>
            </w:rPr>
            <w:fldChar w:fldCharType="separate"/>
          </w:r>
          <w:r w:rsidR="00C27E90">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7E90">
            <w:rPr>
              <w:w w:val="103"/>
            </w:rPr>
            <w:t>4</w:t>
          </w:r>
          <w:r>
            <w:rPr>
              <w:w w:val="103"/>
            </w:rPr>
            <w:fldChar w:fldCharType="end"/>
          </w:r>
        </w:p>
      </w:tc>
    </w:tr>
  </w:tbl>
  <w:p w:rsidR="009A4A6B" w:rsidRPr="009A4A6B" w:rsidRDefault="009A4A6B" w:rsidP="009A4A6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A4A6B" w:rsidTr="009A4A6B">
      <w:trPr>
        <w:jc w:val="center"/>
      </w:trPr>
      <w:tc>
        <w:tcPr>
          <w:tcW w:w="5126" w:type="dxa"/>
          <w:shd w:val="clear" w:color="auto" w:fill="auto"/>
        </w:tcPr>
        <w:p w:rsidR="009A4A6B" w:rsidRPr="009A4A6B" w:rsidRDefault="009A4A6B" w:rsidP="009A4A6B">
          <w:pPr>
            <w:pStyle w:val="ac"/>
            <w:jc w:val="right"/>
          </w:pPr>
          <w:r>
            <w:fldChar w:fldCharType="begin"/>
          </w:r>
          <w:r>
            <w:instrText xml:space="preserve"> PAGE  \* Arabic  \* MERGEFORMAT </w:instrText>
          </w:r>
          <w:r>
            <w:fldChar w:fldCharType="separate"/>
          </w:r>
          <w:r w:rsidR="00C27E90">
            <w:t>3</w:t>
          </w:r>
          <w:r>
            <w:fldChar w:fldCharType="end"/>
          </w:r>
          <w:r>
            <w:t>/</w:t>
          </w:r>
          <w:fldSimple w:instr=" NUMPAGES  \* Arabic  \* MERGEFORMAT ">
            <w:r w:rsidR="00C27E90">
              <w:t>4</w:t>
            </w:r>
          </w:fldSimple>
        </w:p>
      </w:tc>
      <w:tc>
        <w:tcPr>
          <w:tcW w:w="5127" w:type="dxa"/>
          <w:shd w:val="clear" w:color="auto" w:fill="auto"/>
        </w:tcPr>
        <w:p w:rsidR="009A4A6B" w:rsidRPr="009A4A6B" w:rsidRDefault="009A4A6B" w:rsidP="009A4A6B">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7E90">
            <w:rPr>
              <w:b w:val="0"/>
              <w:w w:val="103"/>
              <w:sz w:val="14"/>
            </w:rPr>
            <w:t>GE.15-16563 (C)</w:t>
          </w:r>
          <w:r>
            <w:rPr>
              <w:b w:val="0"/>
              <w:w w:val="103"/>
              <w:sz w:val="14"/>
            </w:rPr>
            <w:fldChar w:fldCharType="end"/>
          </w:r>
        </w:p>
      </w:tc>
    </w:tr>
  </w:tbl>
  <w:p w:rsidR="009A4A6B" w:rsidRPr="009A4A6B" w:rsidRDefault="009A4A6B" w:rsidP="009A4A6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9A4A6B" w:rsidTr="009A4A6B">
      <w:tc>
        <w:tcPr>
          <w:tcW w:w="3873" w:type="dxa"/>
        </w:tcPr>
        <w:p w:rsidR="009A4A6B" w:rsidRDefault="009A4A6B" w:rsidP="00C91FC8">
          <w:pPr>
            <w:pStyle w:val="Release"/>
          </w:pPr>
          <w:r>
            <w:rPr>
              <w:noProof/>
            </w:rPr>
            <w:drawing>
              <wp:anchor distT="0" distB="0" distL="114300" distR="114300" simplePos="0" relativeHeight="251658240" behindDoc="0" locked="0" layoutInCell="1" allowOverlap="1" wp14:anchorId="6BE59CC7" wp14:editId="62BC6970">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A/HRC/30/L.6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0/L.6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C27E90">
              <w:t>GE.15-16563 (C)</w:t>
            </w:r>
          </w:fldSimple>
          <w:r>
            <w:t xml:space="preserve">    011015    0</w:t>
          </w:r>
          <w:r w:rsidR="00C91FC8">
            <w:rPr>
              <w:rFonts w:hint="eastAsia"/>
            </w:rPr>
            <w:t>2</w:t>
          </w:r>
          <w:r>
            <w:t>1015</w:t>
          </w:r>
        </w:p>
        <w:p w:rsidR="009A4A6B" w:rsidRPr="009A4A6B" w:rsidRDefault="009A4A6B" w:rsidP="009A4A6B">
          <w:pPr>
            <w:spacing w:before="80" w:line="210" w:lineRule="exact"/>
            <w:rPr>
              <w:rFonts w:ascii="Barcode 3 of 9 by request" w:hAnsi="Barcode 3 of 9 by request"/>
              <w:sz w:val="24"/>
            </w:rPr>
          </w:pPr>
          <w:r>
            <w:rPr>
              <w:rFonts w:ascii="Barcode 3 of 9 by request" w:hAnsi="Barcode 3 of 9 by request"/>
              <w:sz w:val="24"/>
            </w:rPr>
            <w:t>*1516563*</w:t>
          </w:r>
        </w:p>
      </w:tc>
      <w:tc>
        <w:tcPr>
          <w:tcW w:w="5127" w:type="dxa"/>
        </w:tcPr>
        <w:p w:rsidR="009A4A6B" w:rsidRDefault="009A4A6B" w:rsidP="009A4A6B">
          <w:pPr>
            <w:pStyle w:val="ac"/>
            <w:jc w:val="right"/>
            <w:rPr>
              <w:b w:val="0"/>
              <w:sz w:val="21"/>
            </w:rPr>
          </w:pPr>
          <w:r>
            <w:rPr>
              <w:b w:val="0"/>
              <w:sz w:val="21"/>
            </w:rPr>
            <w:drawing>
              <wp:inline distT="0" distB="0" distL="0" distR="0" wp14:anchorId="0E3ACA40" wp14:editId="006DA80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A4A6B" w:rsidRPr="009A4A6B" w:rsidRDefault="009A4A6B" w:rsidP="009A4A6B">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501" w:rsidRPr="00885461" w:rsidRDefault="00885461" w:rsidP="00885461">
      <w:pPr>
        <w:pStyle w:val="ac"/>
        <w:spacing w:after="80"/>
        <w:ind w:left="792"/>
        <w:rPr>
          <w:sz w:val="16"/>
        </w:rPr>
      </w:pPr>
      <w:r w:rsidRPr="00885461">
        <w:rPr>
          <w:sz w:val="16"/>
        </w:rPr>
        <w:t>__________________</w:t>
      </w:r>
    </w:p>
  </w:footnote>
  <w:footnote w:type="continuationSeparator" w:id="0">
    <w:p w:rsidR="00083501" w:rsidRPr="00885461" w:rsidRDefault="00885461" w:rsidP="00885461">
      <w:pPr>
        <w:pStyle w:val="ac"/>
        <w:spacing w:after="80"/>
        <w:ind w:left="792"/>
        <w:rPr>
          <w:sz w:val="16"/>
        </w:rPr>
      </w:pPr>
      <w:r w:rsidRPr="00885461">
        <w:rPr>
          <w:sz w:val="16"/>
        </w:rPr>
        <w:t>__________________</w:t>
      </w:r>
    </w:p>
  </w:footnote>
  <w:footnote w:id="1">
    <w:p w:rsidR="00885461" w:rsidRPr="00A00A62" w:rsidRDefault="00885461" w:rsidP="00885461">
      <w:pPr>
        <w:pStyle w:val="a5"/>
        <w:tabs>
          <w:tab w:val="clear" w:pos="418"/>
          <w:tab w:val="right" w:pos="1195"/>
          <w:tab w:val="left" w:pos="1264"/>
          <w:tab w:val="left" w:pos="1695"/>
          <w:tab w:val="left" w:pos="2126"/>
          <w:tab w:val="left" w:pos="2557"/>
        </w:tabs>
        <w:ind w:left="1264" w:right="1264" w:hanging="432"/>
      </w:pPr>
      <w:r w:rsidRPr="00323759">
        <w:rPr>
          <w:rStyle w:val="a3"/>
        </w:rPr>
        <w:tab/>
      </w:r>
      <w:r w:rsidRPr="00323759">
        <w:rPr>
          <w:rStyle w:val="a3"/>
          <w:sz w:val="20"/>
        </w:rPr>
        <w:t>*</w:t>
      </w:r>
      <w:r>
        <w:rPr>
          <w:rStyle w:val="a3"/>
          <w:sz w:val="20"/>
        </w:rPr>
        <w:tab/>
      </w:r>
      <w:r>
        <w:rPr>
          <w:rFonts w:hint="eastAsia"/>
        </w:rPr>
        <w:t>非人权理事会成员国。</w:t>
      </w:r>
    </w:p>
  </w:footnote>
  <w:footnote w:id="2">
    <w:p w:rsidR="00885461" w:rsidRDefault="00885461" w:rsidP="00885461">
      <w:pPr>
        <w:pStyle w:val="a5"/>
        <w:tabs>
          <w:tab w:val="clear" w:pos="418"/>
          <w:tab w:val="right" w:pos="1195"/>
          <w:tab w:val="left" w:pos="1264"/>
          <w:tab w:val="left" w:pos="1695"/>
          <w:tab w:val="left" w:pos="2126"/>
          <w:tab w:val="left" w:pos="2557"/>
        </w:tabs>
        <w:ind w:left="1264" w:right="1264" w:hanging="432"/>
      </w:pPr>
      <w:r>
        <w:tab/>
      </w:r>
      <w:r>
        <w:rPr>
          <w:rStyle w:val="a3"/>
        </w:rPr>
        <w:footnoteRef/>
      </w:r>
      <w:r>
        <w:tab/>
        <w:t>A/HRC/30/59</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A4A6B" w:rsidTr="009A4A6B">
      <w:trPr>
        <w:trHeight w:hRule="exact" w:val="864"/>
        <w:jc w:val="center"/>
      </w:trPr>
      <w:tc>
        <w:tcPr>
          <w:tcW w:w="4882" w:type="dxa"/>
          <w:shd w:val="clear" w:color="auto" w:fill="auto"/>
          <w:vAlign w:val="bottom"/>
        </w:tcPr>
        <w:p w:rsidR="009A4A6B" w:rsidRPr="009A4A6B" w:rsidRDefault="009A4A6B" w:rsidP="009A4A6B">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27E90">
            <w:rPr>
              <w:b/>
              <w:sz w:val="17"/>
            </w:rPr>
            <w:t>A/HRC/30/L.6</w:t>
          </w:r>
          <w:r>
            <w:rPr>
              <w:b/>
              <w:sz w:val="17"/>
            </w:rPr>
            <w:fldChar w:fldCharType="end"/>
          </w:r>
        </w:p>
      </w:tc>
      <w:tc>
        <w:tcPr>
          <w:tcW w:w="5127" w:type="dxa"/>
          <w:shd w:val="clear" w:color="auto" w:fill="auto"/>
          <w:vAlign w:val="bottom"/>
        </w:tcPr>
        <w:p w:rsidR="009A4A6B" w:rsidRDefault="009A4A6B" w:rsidP="009A4A6B">
          <w:pPr>
            <w:pStyle w:val="ab"/>
          </w:pPr>
        </w:p>
      </w:tc>
    </w:tr>
  </w:tbl>
  <w:p w:rsidR="009A4A6B" w:rsidRPr="009A4A6B" w:rsidRDefault="009A4A6B" w:rsidP="009A4A6B">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A4A6B" w:rsidTr="009A4A6B">
      <w:trPr>
        <w:trHeight w:hRule="exact" w:val="864"/>
        <w:jc w:val="center"/>
      </w:trPr>
      <w:tc>
        <w:tcPr>
          <w:tcW w:w="4882" w:type="dxa"/>
          <w:shd w:val="clear" w:color="auto" w:fill="auto"/>
          <w:vAlign w:val="bottom"/>
        </w:tcPr>
        <w:p w:rsidR="009A4A6B" w:rsidRDefault="009A4A6B" w:rsidP="009A4A6B">
          <w:pPr>
            <w:pStyle w:val="ab"/>
          </w:pPr>
        </w:p>
      </w:tc>
      <w:tc>
        <w:tcPr>
          <w:tcW w:w="5127" w:type="dxa"/>
          <w:shd w:val="clear" w:color="auto" w:fill="auto"/>
          <w:vAlign w:val="bottom"/>
        </w:tcPr>
        <w:p w:rsidR="009A4A6B" w:rsidRPr="009A4A6B" w:rsidRDefault="009A4A6B" w:rsidP="009A4A6B">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27E90">
            <w:rPr>
              <w:b/>
              <w:sz w:val="17"/>
            </w:rPr>
            <w:t>A/HRC/30/L.6</w:t>
          </w:r>
          <w:r>
            <w:rPr>
              <w:b/>
              <w:sz w:val="17"/>
            </w:rPr>
            <w:fldChar w:fldCharType="end"/>
          </w:r>
        </w:p>
      </w:tc>
    </w:tr>
  </w:tbl>
  <w:p w:rsidR="009A4A6B" w:rsidRPr="009A4A6B" w:rsidRDefault="009A4A6B" w:rsidP="009A4A6B">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A4A6B" w:rsidTr="009A4A6B">
      <w:trPr>
        <w:trHeight w:hRule="exact" w:val="864"/>
      </w:trPr>
      <w:tc>
        <w:tcPr>
          <w:tcW w:w="1267" w:type="dxa"/>
          <w:tcBorders>
            <w:bottom w:val="single" w:sz="4" w:space="0" w:color="auto"/>
          </w:tcBorders>
          <w:shd w:val="clear" w:color="auto" w:fill="auto"/>
          <w:vAlign w:val="bottom"/>
        </w:tcPr>
        <w:p w:rsidR="009A4A6B" w:rsidRDefault="009A4A6B" w:rsidP="009A4A6B">
          <w:pPr>
            <w:pStyle w:val="ab"/>
            <w:spacing w:after="120"/>
          </w:pPr>
        </w:p>
      </w:tc>
      <w:tc>
        <w:tcPr>
          <w:tcW w:w="1872" w:type="dxa"/>
          <w:tcBorders>
            <w:bottom w:val="single" w:sz="4" w:space="0" w:color="auto"/>
          </w:tcBorders>
          <w:shd w:val="clear" w:color="auto" w:fill="auto"/>
          <w:vAlign w:val="bottom"/>
        </w:tcPr>
        <w:p w:rsidR="009A4A6B" w:rsidRPr="009A4A6B" w:rsidRDefault="009A4A6B" w:rsidP="009A4A6B">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A4A6B" w:rsidRDefault="009A4A6B" w:rsidP="009A4A6B">
          <w:pPr>
            <w:pStyle w:val="ab"/>
            <w:spacing w:after="120"/>
          </w:pPr>
        </w:p>
      </w:tc>
      <w:tc>
        <w:tcPr>
          <w:tcW w:w="6653" w:type="dxa"/>
          <w:gridSpan w:val="4"/>
          <w:tcBorders>
            <w:bottom w:val="single" w:sz="4" w:space="0" w:color="auto"/>
          </w:tcBorders>
          <w:shd w:val="clear" w:color="auto" w:fill="auto"/>
          <w:vAlign w:val="bottom"/>
        </w:tcPr>
        <w:p w:rsidR="009A4A6B" w:rsidRPr="009A4A6B" w:rsidRDefault="009A4A6B" w:rsidP="009A4A6B">
          <w:pPr>
            <w:spacing w:after="80"/>
            <w:jc w:val="right"/>
            <w:rPr>
              <w:position w:val="-4"/>
            </w:rPr>
          </w:pPr>
          <w:r>
            <w:rPr>
              <w:position w:val="-4"/>
              <w:sz w:val="40"/>
            </w:rPr>
            <w:t>A</w:t>
          </w:r>
          <w:r>
            <w:rPr>
              <w:position w:val="-4"/>
            </w:rPr>
            <w:t>/HRC/30/L.6</w:t>
          </w:r>
        </w:p>
      </w:tc>
    </w:tr>
    <w:tr w:rsidR="009A4A6B" w:rsidRPr="009A4A6B" w:rsidTr="009A4A6B">
      <w:trPr>
        <w:gridAfter w:val="1"/>
        <w:wAfter w:w="18" w:type="dxa"/>
        <w:trHeight w:hRule="exact" w:val="2880"/>
      </w:trPr>
      <w:tc>
        <w:tcPr>
          <w:tcW w:w="1267" w:type="dxa"/>
          <w:tcBorders>
            <w:top w:val="single" w:sz="4" w:space="0" w:color="auto"/>
            <w:bottom w:val="single" w:sz="12" w:space="0" w:color="auto"/>
          </w:tcBorders>
          <w:shd w:val="clear" w:color="auto" w:fill="auto"/>
        </w:tcPr>
        <w:p w:rsidR="009A4A6B" w:rsidRPr="009A4A6B" w:rsidRDefault="009A4A6B" w:rsidP="009A4A6B">
          <w:pPr>
            <w:pStyle w:val="ab"/>
            <w:spacing w:before="109"/>
            <w:ind w:left="-72"/>
          </w:pPr>
          <w:r>
            <w:t xml:space="preserve"> </w:t>
          </w:r>
          <w:r>
            <w:drawing>
              <wp:inline distT="0" distB="0" distL="0" distR="0" wp14:anchorId="2A16BC25" wp14:editId="453C9CA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4A6B" w:rsidRPr="009A4A6B" w:rsidRDefault="009A4A6B" w:rsidP="009A4A6B">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9A4A6B" w:rsidRPr="009A4A6B" w:rsidRDefault="009A4A6B" w:rsidP="009A4A6B">
          <w:pPr>
            <w:pStyle w:val="ab"/>
            <w:spacing w:before="109"/>
          </w:pPr>
        </w:p>
      </w:tc>
      <w:tc>
        <w:tcPr>
          <w:tcW w:w="3280" w:type="dxa"/>
          <w:tcBorders>
            <w:top w:val="single" w:sz="4" w:space="0" w:color="auto"/>
            <w:bottom w:val="single" w:sz="12" w:space="0" w:color="auto"/>
          </w:tcBorders>
          <w:shd w:val="clear" w:color="auto" w:fill="auto"/>
        </w:tcPr>
        <w:p w:rsidR="009A4A6B" w:rsidRDefault="009A4A6B" w:rsidP="009A4A6B">
          <w:pPr>
            <w:pStyle w:val="Distr"/>
          </w:pPr>
          <w:r>
            <w:t>Distr.: Limited</w:t>
          </w:r>
        </w:p>
        <w:p w:rsidR="009A4A6B" w:rsidRDefault="009A4A6B" w:rsidP="009A4A6B">
          <w:pPr>
            <w:pStyle w:val="Publication"/>
          </w:pPr>
          <w:r>
            <w:t>30 September 2015</w:t>
          </w:r>
        </w:p>
        <w:p w:rsidR="009A4A6B" w:rsidRDefault="009A4A6B" w:rsidP="009A4A6B">
          <w:pPr>
            <w:spacing w:line="240" w:lineRule="exact"/>
          </w:pPr>
          <w:r>
            <w:t>Chinese</w:t>
          </w:r>
        </w:p>
        <w:p w:rsidR="009A4A6B" w:rsidRDefault="009A4A6B" w:rsidP="009A4A6B">
          <w:pPr>
            <w:pStyle w:val="Original"/>
          </w:pPr>
          <w:r>
            <w:t>Original: English</w:t>
          </w:r>
        </w:p>
        <w:p w:rsidR="009A4A6B" w:rsidRPr="009A4A6B" w:rsidRDefault="009A4A6B" w:rsidP="009A4A6B"/>
      </w:tc>
    </w:tr>
  </w:tbl>
  <w:p w:rsidR="009A4A6B" w:rsidRPr="009A4A6B" w:rsidRDefault="009A4A6B" w:rsidP="009A4A6B">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63*"/>
    <w:docVar w:name="CreationDt" w:val="01/10/2015 16:40:02"/>
    <w:docVar w:name="DocCategory" w:val="Doc"/>
    <w:docVar w:name="DocType" w:val="Final"/>
    <w:docVar w:name="DutyStation" w:val="Geneva"/>
    <w:docVar w:name="FooterJN" w:val="GE.15-16563 (C)"/>
    <w:docVar w:name="jobn" w:val="GE.15-16563 (C)"/>
    <w:docVar w:name="jobnDT" w:val="15-16563 (C)   011015"/>
    <w:docVar w:name="jobnDTDT" w:val="15-16563 (C)   011015   011015"/>
    <w:docVar w:name="JobNo" w:val="GE.1516563C"/>
    <w:docVar w:name="LocalDrive" w:val="0"/>
    <w:docVar w:name="OandT" w:val="mlu"/>
    <w:docVar w:name="PaperSize" w:val="A4"/>
    <w:docVar w:name="sss1" w:val="A/HRC/30/L.6"/>
    <w:docVar w:name="sss2" w:val="-"/>
    <w:docVar w:name="Symbol1" w:val="A/HRC/30/L.6"/>
    <w:docVar w:name="Symbol2" w:val="-"/>
  </w:docVars>
  <w:rsids>
    <w:rsidRoot w:val="00083501"/>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501"/>
    <w:rsid w:val="00083CAB"/>
    <w:rsid w:val="00084D46"/>
    <w:rsid w:val="000863AD"/>
    <w:rsid w:val="00095C67"/>
    <w:rsid w:val="000A31F9"/>
    <w:rsid w:val="000C1786"/>
    <w:rsid w:val="000C4C08"/>
    <w:rsid w:val="000C4DDE"/>
    <w:rsid w:val="000C5208"/>
    <w:rsid w:val="000D00CE"/>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263B5"/>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3BC9"/>
    <w:rsid w:val="002C4439"/>
    <w:rsid w:val="002C48C3"/>
    <w:rsid w:val="002C54DB"/>
    <w:rsid w:val="002D039F"/>
    <w:rsid w:val="002D0694"/>
    <w:rsid w:val="002D0B62"/>
    <w:rsid w:val="002D0BD6"/>
    <w:rsid w:val="002D4ACE"/>
    <w:rsid w:val="002D5503"/>
    <w:rsid w:val="002D65A8"/>
    <w:rsid w:val="002D76B6"/>
    <w:rsid w:val="002E66D5"/>
    <w:rsid w:val="002F41E2"/>
    <w:rsid w:val="002F746E"/>
    <w:rsid w:val="00301C97"/>
    <w:rsid w:val="003063F6"/>
    <w:rsid w:val="00316EA2"/>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A5CC7"/>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4D37"/>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85461"/>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4278"/>
    <w:rsid w:val="00986132"/>
    <w:rsid w:val="00986C04"/>
    <w:rsid w:val="009932F9"/>
    <w:rsid w:val="009A11E3"/>
    <w:rsid w:val="009A2F76"/>
    <w:rsid w:val="009A4A6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3F41"/>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27E90"/>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1FC8"/>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00F2"/>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EF73D3"/>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885461"/>
    <w:pPr>
      <w:suppressAutoHyphens/>
      <w:spacing w:after="120" w:line="240" w:lineRule="atLeast"/>
      <w:ind w:left="1134" w:right="1134"/>
    </w:pPr>
    <w:rPr>
      <w:kern w:val="0"/>
      <w:sz w:val="20"/>
      <w:lang w:val="en-GB" w:eastAsia="en-US"/>
    </w:rPr>
  </w:style>
  <w:style w:type="paragraph" w:customStyle="1" w:styleId="H1G">
    <w:name w:val="_ H_1_G"/>
    <w:basedOn w:val="a"/>
    <w:next w:val="a"/>
    <w:link w:val="H1GChar"/>
    <w:rsid w:val="00885461"/>
    <w:pPr>
      <w:keepNext/>
      <w:keepLines/>
      <w:tabs>
        <w:tab w:val="right" w:pos="851"/>
      </w:tabs>
      <w:suppressAutoHyphens/>
      <w:spacing w:before="360" w:after="240" w:line="270" w:lineRule="exact"/>
      <w:ind w:left="1134" w:right="1134" w:hanging="1134"/>
    </w:pPr>
    <w:rPr>
      <w:b/>
      <w:kern w:val="0"/>
      <w:sz w:val="24"/>
      <w:lang w:val="en-GB" w:eastAsia="en-US"/>
    </w:rPr>
  </w:style>
  <w:style w:type="paragraph" w:customStyle="1" w:styleId="H23G">
    <w:name w:val="_ H_2/3_G"/>
    <w:basedOn w:val="a"/>
    <w:next w:val="a"/>
    <w:rsid w:val="00885461"/>
    <w:pPr>
      <w:keepNext/>
      <w:keepLines/>
      <w:tabs>
        <w:tab w:val="right" w:pos="851"/>
      </w:tabs>
      <w:suppressAutoHyphens/>
      <w:spacing w:before="240" w:after="120" w:line="240" w:lineRule="exact"/>
      <w:ind w:left="1134" w:right="1134" w:hanging="1134"/>
    </w:pPr>
    <w:rPr>
      <w:b/>
      <w:kern w:val="0"/>
      <w:sz w:val="20"/>
      <w:lang w:val="en-GB" w:eastAsia="en-US"/>
    </w:rPr>
  </w:style>
  <w:style w:type="character" w:customStyle="1" w:styleId="H1GChar">
    <w:name w:val="_ H_1_G Char"/>
    <w:link w:val="H1G"/>
    <w:rsid w:val="00885461"/>
    <w:rPr>
      <w:rFonts w:eastAsia="宋体"/>
      <w:b/>
      <w:sz w:val="24"/>
      <w:lang w:eastAsia="en-US"/>
    </w:rPr>
  </w:style>
  <w:style w:type="character" w:customStyle="1" w:styleId="SingleTxtGChar">
    <w:name w:val="_ Single Txt_G Char"/>
    <w:link w:val="SingleTxtG"/>
    <w:rsid w:val="00885461"/>
    <w:rPr>
      <w:rFonts w:eastAsia="宋体"/>
      <w:lang w:eastAsia="en-US"/>
    </w:rPr>
  </w:style>
  <w:style w:type="character" w:customStyle="1" w:styleId="preferred">
    <w:name w:val="preferred"/>
    <w:basedOn w:val="a0"/>
    <w:rsid w:val="008854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885461"/>
    <w:pPr>
      <w:suppressAutoHyphens/>
      <w:spacing w:after="120" w:line="240" w:lineRule="atLeast"/>
      <w:ind w:left="1134" w:right="1134"/>
    </w:pPr>
    <w:rPr>
      <w:kern w:val="0"/>
      <w:sz w:val="20"/>
      <w:lang w:val="en-GB" w:eastAsia="en-US"/>
    </w:rPr>
  </w:style>
  <w:style w:type="paragraph" w:customStyle="1" w:styleId="H1G">
    <w:name w:val="_ H_1_G"/>
    <w:basedOn w:val="a"/>
    <w:next w:val="a"/>
    <w:link w:val="H1GChar"/>
    <w:rsid w:val="00885461"/>
    <w:pPr>
      <w:keepNext/>
      <w:keepLines/>
      <w:tabs>
        <w:tab w:val="right" w:pos="851"/>
      </w:tabs>
      <w:suppressAutoHyphens/>
      <w:spacing w:before="360" w:after="240" w:line="270" w:lineRule="exact"/>
      <w:ind w:left="1134" w:right="1134" w:hanging="1134"/>
    </w:pPr>
    <w:rPr>
      <w:b/>
      <w:kern w:val="0"/>
      <w:sz w:val="24"/>
      <w:lang w:val="en-GB" w:eastAsia="en-US"/>
    </w:rPr>
  </w:style>
  <w:style w:type="paragraph" w:customStyle="1" w:styleId="H23G">
    <w:name w:val="_ H_2/3_G"/>
    <w:basedOn w:val="a"/>
    <w:next w:val="a"/>
    <w:rsid w:val="00885461"/>
    <w:pPr>
      <w:keepNext/>
      <w:keepLines/>
      <w:tabs>
        <w:tab w:val="right" w:pos="851"/>
      </w:tabs>
      <w:suppressAutoHyphens/>
      <w:spacing w:before="240" w:after="120" w:line="240" w:lineRule="exact"/>
      <w:ind w:left="1134" w:right="1134" w:hanging="1134"/>
    </w:pPr>
    <w:rPr>
      <w:b/>
      <w:kern w:val="0"/>
      <w:sz w:val="20"/>
      <w:lang w:val="en-GB" w:eastAsia="en-US"/>
    </w:rPr>
  </w:style>
  <w:style w:type="character" w:customStyle="1" w:styleId="H1GChar">
    <w:name w:val="_ H_1_G Char"/>
    <w:link w:val="H1G"/>
    <w:rsid w:val="00885461"/>
    <w:rPr>
      <w:rFonts w:eastAsia="宋体"/>
      <w:b/>
      <w:sz w:val="24"/>
      <w:lang w:eastAsia="en-US"/>
    </w:rPr>
  </w:style>
  <w:style w:type="character" w:customStyle="1" w:styleId="SingleTxtGChar">
    <w:name w:val="_ Single Txt_G Char"/>
    <w:link w:val="SingleTxtG"/>
    <w:rsid w:val="00885461"/>
    <w:rPr>
      <w:rFonts w:eastAsia="宋体"/>
      <w:lang w:eastAsia="en-US"/>
    </w:rPr>
  </w:style>
  <w:style w:type="character" w:customStyle="1" w:styleId="preferred">
    <w:name w:val="preferred"/>
    <w:basedOn w:val="a0"/>
    <w:rsid w:val="00885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562</Words>
  <Characters>3209</Characters>
  <Application>Microsoft Office Word</Application>
  <DocSecurity>0</DocSecurity>
  <Lines>26</Lines>
  <Paragraphs>7</Paragraphs>
  <ScaleCrop>false</ScaleCrop>
  <Company>DCM</Company>
  <LinksUpToDate>false</LinksUpToDate>
  <CharactersWithSpaces>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mlu</dc:creator>
  <cp:lastModifiedBy>mlu</cp:lastModifiedBy>
  <cp:revision>3</cp:revision>
  <cp:lastPrinted>2015-10-02T07:12:00Z</cp:lastPrinted>
  <dcterms:created xsi:type="dcterms:W3CDTF">2015-10-02T07:12:00Z</dcterms:created>
  <dcterms:modified xsi:type="dcterms:W3CDTF">2015-10-02T07:12:00Z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1516563</vt:lpwstr>
  </property>
  <property fmtid="{D5CDD505-2E9C-101B-9397-08002B2CF9AE}" pid="3" name="ODSRefJobNo">
    <vt:lpwstr>1522455C</vt:lpwstr>
  </property>
  <property fmtid="{D5CDD505-2E9C-101B-9397-08002B2CF9AE}" pid="4" name="Symbol1">
    <vt:lpwstr>A/HRC/30/L.6</vt:lpwstr>
  </property>
  <property fmtid="{D5CDD505-2E9C-101B-9397-08002B2CF9AE}" pid="5" name="Symbol2">
    <vt:lpwstr/>
  </property>
  <property fmtid="{D5CDD505-2E9C-101B-9397-08002B2CF9AE}" pid="6" name="Translator">
    <vt:lpwstr/>
  </property>
  <property fmtid="{D5CDD505-2E9C-101B-9397-08002B2CF9AE}" pid="7" name="Operator">
    <vt:lpwstr>mlu</vt:lpwstr>
  </property>
  <property fmtid="{D5CDD505-2E9C-101B-9397-08002B2CF9AE}" pid="8" name="DraftPages">
    <vt:lpwstr> </vt:lpwstr>
  </property>
  <property fmtid="{D5CDD505-2E9C-101B-9397-08002B2CF9AE}" pid="9" name="Comment">
    <vt:lpwstr/>
  </property>
  <property fmtid="{D5CDD505-2E9C-101B-9397-08002B2CF9AE}" pid="10" name="Distribution">
    <vt:lpwstr>Limited</vt:lpwstr>
  </property>
  <property fmtid="{D5CDD505-2E9C-101B-9397-08002B2CF9AE}" pid="11" name="Publication Date">
    <vt:lpwstr>30 September 2015</vt:lpwstr>
  </property>
  <property fmtid="{D5CDD505-2E9C-101B-9397-08002B2CF9AE}" pid="12" name="Original">
    <vt:lpwstr>English</vt:lpwstr>
  </property>
  <property fmtid="{D5CDD505-2E9C-101B-9397-08002B2CF9AE}" pid="13" name="Release Date">
    <vt:lpwstr>011015</vt:lpwstr>
  </property>
</Properties>
</file>