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A8B8C91" w14:textId="77777777" w:rsidTr="00C01462">
        <w:trPr>
          <w:cantSplit/>
          <w:trHeight w:hRule="exact" w:val="851"/>
        </w:trPr>
        <w:tc>
          <w:tcPr>
            <w:tcW w:w="1276" w:type="dxa"/>
            <w:tcBorders>
              <w:bottom w:val="single" w:sz="4" w:space="0" w:color="auto"/>
            </w:tcBorders>
            <w:vAlign w:val="bottom"/>
          </w:tcPr>
          <w:p w14:paraId="2AE486C4" w14:textId="77777777" w:rsidR="00307688" w:rsidRPr="007233F9" w:rsidRDefault="00307688" w:rsidP="007233F9">
            <w:pPr>
              <w:pStyle w:val="SingleTxtG"/>
            </w:pPr>
          </w:p>
        </w:tc>
        <w:tc>
          <w:tcPr>
            <w:tcW w:w="2268" w:type="dxa"/>
            <w:tcBorders>
              <w:bottom w:val="single" w:sz="4" w:space="0" w:color="auto"/>
            </w:tcBorders>
            <w:vAlign w:val="bottom"/>
          </w:tcPr>
          <w:p w14:paraId="1C12DB5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A75F6D8" w14:textId="4ADA732F" w:rsidR="00307688" w:rsidRPr="002E51B7" w:rsidRDefault="00D97D68" w:rsidP="00D97D68">
            <w:pPr>
              <w:suppressAutoHyphens w:val="0"/>
              <w:spacing w:after="20"/>
              <w:jc w:val="right"/>
            </w:pPr>
            <w:r w:rsidRPr="00D97D68">
              <w:rPr>
                <w:sz w:val="40"/>
              </w:rPr>
              <w:t>CERD</w:t>
            </w:r>
            <w:r>
              <w:t>/C/CYP/Q/25</w:t>
            </w:r>
          </w:p>
        </w:tc>
      </w:tr>
      <w:tr w:rsidR="00307688" w14:paraId="07BC2662" w14:textId="77777777" w:rsidTr="00C01462">
        <w:trPr>
          <w:cantSplit/>
          <w:trHeight w:hRule="exact" w:val="2835"/>
        </w:trPr>
        <w:tc>
          <w:tcPr>
            <w:tcW w:w="1276" w:type="dxa"/>
            <w:tcBorders>
              <w:top w:val="single" w:sz="4" w:space="0" w:color="auto"/>
              <w:bottom w:val="single" w:sz="12" w:space="0" w:color="auto"/>
            </w:tcBorders>
          </w:tcPr>
          <w:p w14:paraId="169C7730" w14:textId="77777777" w:rsidR="00307688" w:rsidRDefault="00307688" w:rsidP="00C01462">
            <w:pPr>
              <w:spacing w:before="120"/>
              <w:jc w:val="center"/>
            </w:pPr>
            <w:r>
              <w:rPr>
                <w:noProof/>
                <w:lang w:val="fr-CH" w:eastAsia="fr-CH"/>
              </w:rPr>
              <w:drawing>
                <wp:inline distT="0" distB="0" distL="0" distR="0" wp14:anchorId="59967CC6" wp14:editId="7D3D929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951E1E"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2B128C8"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2F5B49C" w14:textId="172BED91" w:rsidR="00307688" w:rsidRDefault="00D97D68" w:rsidP="00D97D68">
            <w:pPr>
              <w:spacing w:before="240"/>
            </w:pPr>
            <w:r>
              <w:t>Distr.: General</w:t>
            </w:r>
          </w:p>
          <w:p w14:paraId="2C968C12" w14:textId="77777777" w:rsidR="00D97D68" w:rsidRDefault="00D97D68" w:rsidP="00D97D68">
            <w:pPr>
              <w:suppressAutoHyphens w:val="0"/>
            </w:pPr>
            <w:r>
              <w:t>25 March 2026</w:t>
            </w:r>
          </w:p>
          <w:p w14:paraId="26885D97" w14:textId="77777777" w:rsidR="00D97D68" w:rsidRDefault="00D97D68" w:rsidP="00D97D68">
            <w:pPr>
              <w:suppressAutoHyphens w:val="0"/>
            </w:pPr>
          </w:p>
          <w:p w14:paraId="587B3588" w14:textId="77777777" w:rsidR="00D97D68" w:rsidRDefault="00D97D68" w:rsidP="00D97D68">
            <w:pPr>
              <w:suppressAutoHyphens w:val="0"/>
            </w:pPr>
            <w:r>
              <w:t>Original: English</w:t>
            </w:r>
          </w:p>
          <w:p w14:paraId="1176703A" w14:textId="09C18DC8" w:rsidR="00D97D68" w:rsidRDefault="00D97D68" w:rsidP="00D97D68">
            <w:pPr>
              <w:suppressAutoHyphens w:val="0"/>
            </w:pPr>
            <w:r>
              <w:t>English, French and Spanish only</w:t>
            </w:r>
          </w:p>
        </w:tc>
      </w:tr>
    </w:tbl>
    <w:p w14:paraId="24A04D90" w14:textId="77777777" w:rsidR="00D97D68" w:rsidRPr="00D97D68" w:rsidRDefault="00D97D68" w:rsidP="00D97D68">
      <w:pPr>
        <w:spacing w:before="120"/>
        <w:rPr>
          <w:b/>
          <w:bCs/>
          <w:color w:val="000000" w:themeColor="text1"/>
          <w:sz w:val="24"/>
          <w:szCs w:val="24"/>
          <w:shd w:val="clear" w:color="000000" w:fill="FFFFFF"/>
        </w:rPr>
      </w:pPr>
      <w:r w:rsidRPr="00D97D68">
        <w:rPr>
          <w:b/>
          <w:bCs/>
          <w:color w:val="000000" w:themeColor="text1"/>
          <w:sz w:val="24"/>
          <w:szCs w:val="24"/>
          <w:shd w:val="clear" w:color="000000" w:fill="FFFFFF"/>
        </w:rPr>
        <w:t>Committee on the Elimination of Racial Discrimination</w:t>
      </w:r>
    </w:p>
    <w:p w14:paraId="34CC443C" w14:textId="77777777" w:rsidR="00D97D68" w:rsidRPr="00D97D68" w:rsidRDefault="00D97D68" w:rsidP="00D97D68">
      <w:pPr>
        <w:rPr>
          <w:b/>
          <w:bCs/>
          <w:color w:val="000000" w:themeColor="text1"/>
          <w:shd w:val="clear" w:color="000000" w:fill="FFFFFF"/>
        </w:rPr>
      </w:pPr>
      <w:r w:rsidRPr="00D97D68">
        <w:rPr>
          <w:b/>
          <w:bCs/>
          <w:color w:val="000000" w:themeColor="text1"/>
          <w:shd w:val="clear" w:color="000000" w:fill="FFFFFF"/>
        </w:rPr>
        <w:t>117th session</w:t>
      </w:r>
    </w:p>
    <w:p w14:paraId="1B62911C" w14:textId="77777777" w:rsidR="00D97D68" w:rsidRPr="00C7586A" w:rsidRDefault="00D97D68" w:rsidP="00D97D68">
      <w:pPr>
        <w:rPr>
          <w:color w:val="000000" w:themeColor="text1"/>
          <w:shd w:val="clear" w:color="000000" w:fill="FFFFFF"/>
        </w:rPr>
      </w:pPr>
      <w:r w:rsidRPr="00C7586A">
        <w:rPr>
          <w:color w:val="000000" w:themeColor="text1"/>
          <w:shd w:val="clear" w:color="000000" w:fill="FFFFFF"/>
        </w:rPr>
        <w:t>Geneva, 13 April–1 May 2026</w:t>
      </w:r>
    </w:p>
    <w:p w14:paraId="2F659472" w14:textId="77777777" w:rsidR="00D97D68" w:rsidRPr="00C7586A" w:rsidRDefault="00D97D68" w:rsidP="00D97D68">
      <w:pPr>
        <w:rPr>
          <w:color w:val="000000" w:themeColor="text1"/>
          <w:shd w:val="clear" w:color="000000" w:fill="FFFFFF"/>
        </w:rPr>
      </w:pPr>
      <w:r w:rsidRPr="00C7586A">
        <w:rPr>
          <w:color w:val="000000" w:themeColor="text1"/>
          <w:shd w:val="clear" w:color="000000" w:fill="FFFFFF"/>
        </w:rPr>
        <w:t>Item 6 of the provisional agenda</w:t>
      </w:r>
    </w:p>
    <w:p w14:paraId="66FCB8DF" w14:textId="77777777" w:rsidR="00D97D68" w:rsidRPr="002C78D4" w:rsidRDefault="00D97D68" w:rsidP="00D97D68">
      <w:pPr>
        <w:rPr>
          <w:b/>
          <w:bCs/>
          <w:color w:val="000000" w:themeColor="text1"/>
          <w:shd w:val="clear" w:color="000000" w:fill="FFFFFF"/>
        </w:rPr>
      </w:pPr>
      <w:r w:rsidRPr="002C78D4">
        <w:rPr>
          <w:b/>
          <w:bCs/>
          <w:color w:val="000000" w:themeColor="text1"/>
          <w:shd w:val="clear" w:color="000000" w:fill="FFFFFF"/>
        </w:rPr>
        <w:t>Consideration of reports, comments and information submitted</w:t>
      </w:r>
    </w:p>
    <w:p w14:paraId="084D2C97" w14:textId="77777777" w:rsidR="00D97D68" w:rsidRPr="002C78D4" w:rsidRDefault="00D97D68" w:rsidP="00D97D68">
      <w:pPr>
        <w:rPr>
          <w:b/>
          <w:bCs/>
          <w:color w:val="000000" w:themeColor="text1"/>
          <w:shd w:val="clear" w:color="000000" w:fill="FFFFFF"/>
        </w:rPr>
      </w:pPr>
      <w:r w:rsidRPr="002C78D4">
        <w:rPr>
          <w:b/>
          <w:bCs/>
          <w:color w:val="000000" w:themeColor="text1"/>
          <w:shd w:val="clear" w:color="000000" w:fill="FFFFFF"/>
        </w:rPr>
        <w:t>by States Parties under article 9 of the Convention</w:t>
      </w:r>
    </w:p>
    <w:p w14:paraId="13B44DB6" w14:textId="77777777" w:rsidR="00D97D68" w:rsidRPr="00C7586A" w:rsidRDefault="00D97D68" w:rsidP="002C78D4">
      <w:pPr>
        <w:pStyle w:val="HChG"/>
        <w:rPr>
          <w:shd w:val="clear" w:color="000000" w:fill="FFFFFF"/>
        </w:rPr>
      </w:pPr>
      <w:r w:rsidRPr="00C7586A">
        <w:rPr>
          <w:shd w:val="clear" w:color="000000" w:fill="FFFFFF"/>
        </w:rPr>
        <w:tab/>
      </w:r>
      <w:r w:rsidRPr="00C7586A">
        <w:rPr>
          <w:shd w:val="clear" w:color="000000" w:fill="FFFFFF"/>
        </w:rPr>
        <w:tab/>
        <w:t>List of themes in relation to the twenty-fifth periodic report of Cyprus</w:t>
      </w:r>
    </w:p>
    <w:p w14:paraId="07160315" w14:textId="77777777" w:rsidR="00D97D68" w:rsidRPr="00C7586A" w:rsidRDefault="00D97D68" w:rsidP="002C78D4">
      <w:pPr>
        <w:pStyle w:val="H1G"/>
        <w:rPr>
          <w:shd w:val="clear" w:color="000000" w:fill="FFFFFF"/>
        </w:rPr>
      </w:pPr>
      <w:r w:rsidRPr="00C7586A">
        <w:rPr>
          <w:shd w:val="clear" w:color="000000" w:fill="FFFFFF"/>
        </w:rPr>
        <w:tab/>
      </w:r>
      <w:r w:rsidRPr="00C7586A">
        <w:rPr>
          <w:shd w:val="clear" w:color="000000" w:fill="FFFFFF"/>
        </w:rPr>
        <w:tab/>
        <w:t>Note by the Country Rapporteur</w:t>
      </w:r>
      <w:r w:rsidRPr="00CA0E53">
        <w:rPr>
          <w:b w:val="0"/>
          <w:bCs/>
          <w:sz w:val="20"/>
          <w:szCs w:val="16"/>
          <w:shd w:val="clear" w:color="000000" w:fill="FFFFFF"/>
        </w:rPr>
        <w:footnoteReference w:customMarkFollows="1" w:id="1"/>
        <w:t>*</w:t>
      </w:r>
    </w:p>
    <w:p w14:paraId="7280E670" w14:textId="0ADA6D41" w:rsidR="00D97D68" w:rsidRPr="00C7586A" w:rsidRDefault="00D97D68" w:rsidP="002C78D4">
      <w:pPr>
        <w:pStyle w:val="SingleTxtG"/>
        <w:rPr>
          <w:shd w:val="clear" w:color="000000" w:fill="FFFFFF"/>
        </w:rPr>
      </w:pPr>
      <w:r w:rsidRPr="00C7586A">
        <w:rPr>
          <w:shd w:val="clear" w:color="000000" w:fill="FFFFFF"/>
        </w:rPr>
        <w:t>1.</w:t>
      </w:r>
      <w:r w:rsidRPr="00C7586A">
        <w:rPr>
          <w:shd w:val="clear" w:color="000000" w:fill="FFFFFF"/>
        </w:rPr>
        <w:tab/>
        <w:t>The Committee on the Elimination of Racial Discrimination decided at its seventy</w:t>
      </w:r>
      <w:r w:rsidR="000A36B1">
        <w:rPr>
          <w:shd w:val="clear" w:color="000000" w:fill="FFFFFF"/>
        </w:rPr>
        <w:noBreakHyphen/>
      </w:r>
      <w:r w:rsidRPr="00C7586A">
        <w:rPr>
          <w:shd w:val="clear" w:color="000000" w:fill="FFFFFF"/>
        </w:rPr>
        <w:t>sixth session</w:t>
      </w:r>
      <w:r w:rsidRPr="002C78D4">
        <w:rPr>
          <w:rStyle w:val="FootnoteReference"/>
        </w:rPr>
        <w:footnoteReference w:id="2"/>
      </w:r>
      <w:r w:rsidRPr="00C7586A">
        <w:rPr>
          <w:shd w:val="clear" w:color="000000" w:fill="FFFFFF"/>
        </w:rPr>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w:t>
      </w:r>
      <w:proofErr w:type="gramStart"/>
      <w:r w:rsidRPr="00C7586A">
        <w:rPr>
          <w:shd w:val="clear" w:color="000000" w:fill="FFFFFF"/>
        </w:rPr>
        <w:t>in the course of</w:t>
      </w:r>
      <w:proofErr w:type="gramEnd"/>
      <w:r w:rsidRPr="00C7586A">
        <w:rPr>
          <w:shd w:val="clear" w:color="000000" w:fill="FFFFFF"/>
        </w:rPr>
        <w:t xml:space="preserve"> the dialogue. No written replies are required.</w:t>
      </w:r>
    </w:p>
    <w:p w14:paraId="56153E2A" w14:textId="1C62ECC6" w:rsidR="00D97D68" w:rsidRPr="00C7586A" w:rsidRDefault="00D97D68" w:rsidP="00A2298F">
      <w:pPr>
        <w:pStyle w:val="H23G"/>
        <w:rPr>
          <w:shd w:val="clear" w:color="000000" w:fill="FFFFFF"/>
        </w:rPr>
      </w:pPr>
      <w:r w:rsidRPr="00C7586A">
        <w:rPr>
          <w:shd w:val="clear" w:color="000000" w:fill="FFFFFF"/>
        </w:rPr>
        <w:tab/>
      </w:r>
      <w:r w:rsidRPr="00C7586A">
        <w:rPr>
          <w:shd w:val="clear" w:color="000000" w:fill="FFFFFF"/>
        </w:rPr>
        <w:tab/>
        <w:t>The Convention in domestic law and the institutional and policy framework for its implementation (arts. 1, 2, 4 and 6)</w:t>
      </w:r>
    </w:p>
    <w:p w14:paraId="07FEA542" w14:textId="77777777" w:rsidR="00D97D68" w:rsidRPr="00C7586A" w:rsidRDefault="00D97D68" w:rsidP="002C78D4">
      <w:pPr>
        <w:pStyle w:val="SingleTxtG"/>
        <w:rPr>
          <w:shd w:val="clear" w:color="000000" w:fill="FFFFFF"/>
        </w:rPr>
      </w:pPr>
      <w:r w:rsidRPr="00C7586A">
        <w:rPr>
          <w:shd w:val="clear" w:color="000000" w:fill="FFFFFF"/>
        </w:rPr>
        <w:t>2.</w:t>
      </w:r>
      <w:r w:rsidRPr="00C7586A">
        <w:rPr>
          <w:shd w:val="clear" w:color="000000" w:fill="FFFFFF"/>
        </w:rPr>
        <w:tab/>
        <w:t>Updated demographic data on the ethnic composition of the population. Information on the enjoyment of economic and social rights by ethnic groups, and on the representation of ethnic minorities in public administration and services.</w:t>
      </w:r>
      <w:r w:rsidRPr="002C78D4">
        <w:rPr>
          <w:rStyle w:val="FootnoteReference"/>
        </w:rPr>
        <w:footnoteReference w:id="3"/>
      </w:r>
      <w:r w:rsidRPr="00C7586A">
        <w:rPr>
          <w:shd w:val="clear" w:color="000000" w:fill="FFFFFF"/>
        </w:rPr>
        <w:t xml:space="preserve"> </w:t>
      </w:r>
    </w:p>
    <w:p w14:paraId="4F1679D7" w14:textId="77777777" w:rsidR="00D97D68" w:rsidRPr="00C7586A" w:rsidRDefault="00D97D68" w:rsidP="002C78D4">
      <w:pPr>
        <w:pStyle w:val="SingleTxtG"/>
        <w:rPr>
          <w:shd w:val="clear" w:color="000000" w:fill="FFFFFF"/>
        </w:rPr>
      </w:pPr>
      <w:r w:rsidRPr="00C7586A">
        <w:rPr>
          <w:shd w:val="clear" w:color="000000" w:fill="FFFFFF"/>
        </w:rPr>
        <w:t>3.</w:t>
      </w:r>
      <w:r w:rsidRPr="00C7586A">
        <w:rPr>
          <w:shd w:val="clear" w:color="000000" w:fill="FFFFFF"/>
        </w:rPr>
        <w:tab/>
        <w:t>Information on the measures taken to bring the definition of racial discrimination in national legislation</w:t>
      </w:r>
      <w:r w:rsidRPr="002C78D4">
        <w:rPr>
          <w:rStyle w:val="FootnoteReference"/>
        </w:rPr>
        <w:footnoteReference w:id="4"/>
      </w:r>
      <w:r w:rsidRPr="00C7586A">
        <w:rPr>
          <w:shd w:val="clear" w:color="000000" w:fill="FFFFFF"/>
        </w:rPr>
        <w:t xml:space="preserve"> into full conformity with the definition provided in article 1 (1) of the Convention. </w:t>
      </w:r>
    </w:p>
    <w:p w14:paraId="2C4D1508" w14:textId="77777777" w:rsidR="00D97D68" w:rsidRPr="00C7586A" w:rsidRDefault="00D97D68" w:rsidP="002C78D4">
      <w:pPr>
        <w:pStyle w:val="SingleTxtG"/>
        <w:rPr>
          <w:shd w:val="clear" w:color="000000" w:fill="FFFFFF"/>
        </w:rPr>
      </w:pPr>
      <w:r w:rsidRPr="00C7586A">
        <w:rPr>
          <w:shd w:val="clear" w:color="000000" w:fill="FFFFFF"/>
        </w:rPr>
        <w:t>4.</w:t>
      </w:r>
      <w:r w:rsidRPr="00C7586A">
        <w:rPr>
          <w:shd w:val="clear" w:color="000000" w:fill="FFFFFF"/>
        </w:rPr>
        <w:tab/>
        <w:t>Updated information on measures taken, and the impact thereof,</w:t>
      </w:r>
      <w:r w:rsidRPr="002C78D4">
        <w:rPr>
          <w:rStyle w:val="FootnoteReference"/>
        </w:rPr>
        <w:footnoteReference w:id="5"/>
      </w:r>
      <w:r w:rsidRPr="00C7586A">
        <w:rPr>
          <w:shd w:val="clear" w:color="000000" w:fill="FFFFFF"/>
        </w:rPr>
        <w:t xml:space="preserve"> to strengthen the legal framework on racial discrimination. </w:t>
      </w:r>
    </w:p>
    <w:p w14:paraId="242CAB46" w14:textId="77777777" w:rsidR="00D97D68" w:rsidRPr="00C7586A" w:rsidRDefault="00D97D68" w:rsidP="002C78D4">
      <w:pPr>
        <w:pStyle w:val="SingleTxtG"/>
        <w:rPr>
          <w:shd w:val="clear" w:color="000000" w:fill="FFFFFF"/>
        </w:rPr>
      </w:pPr>
      <w:r w:rsidRPr="00C7586A">
        <w:rPr>
          <w:shd w:val="clear" w:color="000000" w:fill="FFFFFF"/>
        </w:rPr>
        <w:t>5.</w:t>
      </w:r>
      <w:r w:rsidRPr="00C7586A">
        <w:rPr>
          <w:shd w:val="clear" w:color="000000" w:fill="FFFFFF"/>
        </w:rPr>
        <w:tab/>
        <w:t>Detailed information on cases in which legislation giving effect to the provisions of the Convention has been applied by the domestic courts, including updated data on the numbers of complaints of racial discrimination received, prosecutions and convictions of perpetrators.</w:t>
      </w:r>
      <w:r w:rsidRPr="002C78D4">
        <w:rPr>
          <w:rStyle w:val="FootnoteReference"/>
        </w:rPr>
        <w:footnoteReference w:id="6"/>
      </w:r>
      <w:r w:rsidRPr="00C7586A">
        <w:rPr>
          <w:shd w:val="clear" w:color="000000" w:fill="FFFFFF"/>
        </w:rPr>
        <w:t xml:space="preserve"> </w:t>
      </w:r>
    </w:p>
    <w:p w14:paraId="60B36E53" w14:textId="77777777" w:rsidR="00D97D68" w:rsidRPr="00C7586A" w:rsidRDefault="00D97D68" w:rsidP="002C78D4">
      <w:pPr>
        <w:pStyle w:val="SingleTxtG"/>
        <w:rPr>
          <w:shd w:val="clear" w:color="000000" w:fill="FFFFFF"/>
        </w:rPr>
      </w:pPr>
      <w:r w:rsidRPr="00C7586A">
        <w:rPr>
          <w:shd w:val="clear" w:color="000000" w:fill="FFFFFF"/>
        </w:rPr>
        <w:t>6.</w:t>
      </w:r>
      <w:r w:rsidRPr="00C7586A">
        <w:rPr>
          <w:shd w:val="clear" w:color="000000" w:fill="FFFFFF"/>
        </w:rPr>
        <w:tab/>
        <w:t xml:space="preserve">Updated information on the impact of policies and measures to implement the provisions of article 4 of the Convention and detailed information on acts of verbal violence and racist physical aggression committed against persons of foreign origin, including persons </w:t>
      </w:r>
      <w:r w:rsidRPr="00C7586A">
        <w:rPr>
          <w:shd w:val="clear" w:color="000000" w:fill="FFFFFF"/>
        </w:rPr>
        <w:lastRenderedPageBreak/>
        <w:t xml:space="preserve">of African descent, against human rights defenders and against Turkish Cypriots by extremist groups, including by right-wing activists and neo-Nazi groups. </w:t>
      </w:r>
    </w:p>
    <w:p w14:paraId="5E9C5472" w14:textId="77777777" w:rsidR="00D97D68" w:rsidRPr="00C7586A" w:rsidRDefault="00D97D68" w:rsidP="002C78D4">
      <w:pPr>
        <w:pStyle w:val="SingleTxtG"/>
        <w:rPr>
          <w:shd w:val="clear" w:color="000000" w:fill="FFFFFF"/>
        </w:rPr>
      </w:pPr>
      <w:r w:rsidRPr="00C7586A">
        <w:rPr>
          <w:shd w:val="clear" w:color="000000" w:fill="FFFFFF"/>
        </w:rPr>
        <w:t>7.</w:t>
      </w:r>
      <w:r w:rsidRPr="00C7586A">
        <w:rPr>
          <w:shd w:val="clear" w:color="000000" w:fill="FFFFFF"/>
        </w:rPr>
        <w:tab/>
        <w:t>Measures taken to combat racist and xenophobic speech,</w:t>
      </w:r>
      <w:r w:rsidRPr="002C78D4">
        <w:rPr>
          <w:rStyle w:val="FootnoteReference"/>
        </w:rPr>
        <w:footnoteReference w:id="7"/>
      </w:r>
      <w:r w:rsidRPr="00C7586A">
        <w:rPr>
          <w:shd w:val="clear" w:color="000000" w:fill="FFFFFF"/>
        </w:rPr>
        <w:t xml:space="preserve"> and information on cases reported, prosecutions and convictions of perpetrators. </w:t>
      </w:r>
    </w:p>
    <w:p w14:paraId="2E6081A4" w14:textId="77777777" w:rsidR="00D97D68" w:rsidRPr="00C7586A" w:rsidRDefault="00D97D68" w:rsidP="002C78D4">
      <w:pPr>
        <w:pStyle w:val="SingleTxtG"/>
        <w:rPr>
          <w:shd w:val="clear" w:color="000000" w:fill="FFFFFF"/>
        </w:rPr>
      </w:pPr>
      <w:r w:rsidRPr="00C7586A">
        <w:rPr>
          <w:shd w:val="clear" w:color="000000" w:fill="FFFFFF"/>
        </w:rPr>
        <w:t>8.</w:t>
      </w:r>
      <w:r w:rsidRPr="00C7586A">
        <w:rPr>
          <w:shd w:val="clear" w:color="000000" w:fill="FFFFFF"/>
        </w:rPr>
        <w:tab/>
        <w:t>Information on any drafting and subsequent implementation of a national plan to combat racism, and on the implementation of relevant legislation.</w:t>
      </w:r>
    </w:p>
    <w:p w14:paraId="475A3D74" w14:textId="77777777" w:rsidR="00D97D68" w:rsidRPr="00C7586A" w:rsidRDefault="00D97D68" w:rsidP="002C78D4">
      <w:pPr>
        <w:pStyle w:val="SingleTxtG"/>
        <w:rPr>
          <w:shd w:val="clear" w:color="000000" w:fill="FFFFFF"/>
        </w:rPr>
      </w:pPr>
      <w:r w:rsidRPr="00C7586A">
        <w:rPr>
          <w:shd w:val="clear" w:color="000000" w:fill="FFFFFF"/>
        </w:rPr>
        <w:t>9.</w:t>
      </w:r>
      <w:r w:rsidRPr="00C7586A">
        <w:rPr>
          <w:shd w:val="clear" w:color="000000" w:fill="FFFFFF"/>
        </w:rPr>
        <w:tab/>
        <w:t>Measures taken to implement the recommendations made by the Committee and by the Global Alliance of National Human Rights Institutions to bring the national human rights institution into full compliance with the principles relating to the status of national institutions for the promotion and protection of human rights (the Paris Principles).</w:t>
      </w:r>
      <w:r w:rsidRPr="002C78D4">
        <w:rPr>
          <w:rStyle w:val="FootnoteReference"/>
        </w:rPr>
        <w:footnoteReference w:id="8"/>
      </w:r>
    </w:p>
    <w:p w14:paraId="6BF472EA" w14:textId="77777777" w:rsidR="00D97D68" w:rsidRPr="00C7586A" w:rsidRDefault="00D97D68" w:rsidP="002C78D4">
      <w:pPr>
        <w:pStyle w:val="SingleTxtG"/>
        <w:rPr>
          <w:shd w:val="clear" w:color="000000" w:fill="FFFFFF"/>
        </w:rPr>
      </w:pPr>
      <w:r w:rsidRPr="00C7586A">
        <w:rPr>
          <w:shd w:val="clear" w:color="000000" w:fill="FFFFFF"/>
        </w:rPr>
        <w:t>10.</w:t>
      </w:r>
      <w:r w:rsidRPr="00C7586A">
        <w:rPr>
          <w:shd w:val="clear" w:color="000000" w:fill="FFFFFF"/>
        </w:rPr>
        <w:tab/>
        <w:t>Updated and detailed information on training opportunities and workshops on human rights, the prevention of racial discrimination</w:t>
      </w:r>
      <w:r w:rsidRPr="002C78D4">
        <w:rPr>
          <w:rStyle w:val="FootnoteReference"/>
        </w:rPr>
        <w:footnoteReference w:id="9"/>
      </w:r>
      <w:r w:rsidRPr="00C7586A">
        <w:rPr>
          <w:shd w:val="clear" w:color="000000" w:fill="FFFFFF"/>
        </w:rPr>
        <w:t xml:space="preserve"> and the rights enshrined in the Convention organized for representatives of public bodies, local government departments and associations, and law enforcement officers, judges and lawyers, and the impact of such training </w:t>
      </w:r>
      <w:proofErr w:type="gramStart"/>
      <w:r w:rsidRPr="00C7586A">
        <w:rPr>
          <w:shd w:val="clear" w:color="000000" w:fill="FFFFFF"/>
        </w:rPr>
        <w:t>on the situation of</w:t>
      </w:r>
      <w:proofErr w:type="gramEnd"/>
      <w:r w:rsidRPr="00C7586A">
        <w:rPr>
          <w:shd w:val="clear" w:color="000000" w:fill="FFFFFF"/>
        </w:rPr>
        <w:t xml:space="preserve"> minorities. </w:t>
      </w:r>
    </w:p>
    <w:p w14:paraId="1BE96ACE" w14:textId="77777777" w:rsidR="00D97D68" w:rsidRPr="00C7586A" w:rsidRDefault="00D97D68" w:rsidP="007A797D">
      <w:pPr>
        <w:pStyle w:val="H23G"/>
        <w:rPr>
          <w:shd w:val="clear" w:color="000000" w:fill="FFFFFF"/>
        </w:rPr>
      </w:pPr>
      <w:r w:rsidRPr="00C7586A">
        <w:rPr>
          <w:shd w:val="clear" w:color="000000" w:fill="FFFFFF"/>
        </w:rPr>
        <w:tab/>
      </w:r>
      <w:r w:rsidRPr="00C7586A">
        <w:rPr>
          <w:shd w:val="clear" w:color="000000" w:fill="FFFFFF"/>
        </w:rPr>
        <w:tab/>
        <w:t xml:space="preserve">Situation of ethnic minorities (arts. 2 and 5) </w:t>
      </w:r>
    </w:p>
    <w:p w14:paraId="64B3149C" w14:textId="30B971AA" w:rsidR="00D97D68" w:rsidRPr="00C7586A" w:rsidRDefault="00D97D68" w:rsidP="002C78D4">
      <w:pPr>
        <w:pStyle w:val="SingleTxtG"/>
        <w:rPr>
          <w:shd w:val="clear" w:color="000000" w:fill="FFFFFF"/>
        </w:rPr>
      </w:pPr>
      <w:r w:rsidRPr="00C7586A">
        <w:rPr>
          <w:shd w:val="clear" w:color="000000" w:fill="FFFFFF"/>
        </w:rPr>
        <w:t>11.</w:t>
      </w:r>
      <w:r w:rsidRPr="00C7586A">
        <w:rPr>
          <w:shd w:val="clear" w:color="000000" w:fill="FFFFFF"/>
        </w:rPr>
        <w:tab/>
        <w:t>Information on intercommunal initiatives to promote tolerance, harmony and dialogue between the Greek Cypriot and Turkish Cypriot communities, and to raise awareness of the country’s history through impartial education in schools and other public institutions. Updated information on efforts made to reach a comprehensive settlement of the ongoing conflict in Cyprus and the division of the island, and to expand freedom of movement.</w:t>
      </w:r>
      <w:r w:rsidRPr="002C78D4">
        <w:rPr>
          <w:rStyle w:val="FootnoteReference"/>
        </w:rPr>
        <w:footnoteReference w:id="10"/>
      </w:r>
    </w:p>
    <w:p w14:paraId="452A9238" w14:textId="77777777" w:rsidR="00D97D68" w:rsidRPr="00C7586A" w:rsidRDefault="00D97D68" w:rsidP="002C78D4">
      <w:pPr>
        <w:pStyle w:val="SingleTxtG"/>
        <w:rPr>
          <w:shd w:val="clear" w:color="000000" w:fill="FFFFFF"/>
        </w:rPr>
      </w:pPr>
      <w:r w:rsidRPr="00C7586A">
        <w:rPr>
          <w:shd w:val="clear" w:color="000000" w:fill="FFFFFF"/>
        </w:rPr>
        <w:t>12.</w:t>
      </w:r>
      <w:r w:rsidRPr="00C7586A">
        <w:rPr>
          <w:shd w:val="clear" w:color="000000" w:fill="FFFFFF"/>
        </w:rPr>
        <w:tab/>
        <w:t xml:space="preserve">Updated information </w:t>
      </w:r>
      <w:proofErr w:type="gramStart"/>
      <w:r w:rsidRPr="00C7586A">
        <w:rPr>
          <w:shd w:val="clear" w:color="000000" w:fill="FFFFFF"/>
        </w:rPr>
        <w:t>on the situation of</w:t>
      </w:r>
      <w:proofErr w:type="gramEnd"/>
      <w:r w:rsidRPr="00C7586A">
        <w:rPr>
          <w:shd w:val="clear" w:color="000000" w:fill="FFFFFF"/>
        </w:rPr>
        <w:t xml:space="preserve"> Turkish Cypriots, including access to employment, education,</w:t>
      </w:r>
      <w:r w:rsidRPr="002C78D4">
        <w:rPr>
          <w:rStyle w:val="FootnoteReference"/>
        </w:rPr>
        <w:footnoteReference w:id="11"/>
      </w:r>
      <w:r w:rsidRPr="00C7586A">
        <w:rPr>
          <w:shd w:val="clear" w:color="000000" w:fill="FFFFFF"/>
        </w:rPr>
        <w:t xml:space="preserve"> housing and citizenship and the use of the Turkish language.</w:t>
      </w:r>
    </w:p>
    <w:p w14:paraId="0D383741" w14:textId="0CEE6586" w:rsidR="00D97D68" w:rsidRPr="00C7586A" w:rsidRDefault="00D97D68" w:rsidP="002C78D4">
      <w:pPr>
        <w:pStyle w:val="SingleTxtG"/>
        <w:rPr>
          <w:shd w:val="clear" w:color="000000" w:fill="FFFFFF"/>
        </w:rPr>
      </w:pPr>
      <w:r w:rsidRPr="00C7586A">
        <w:rPr>
          <w:shd w:val="clear" w:color="000000" w:fill="FFFFFF"/>
        </w:rPr>
        <w:t>13.</w:t>
      </w:r>
      <w:r w:rsidRPr="00C7586A">
        <w:rPr>
          <w:shd w:val="clear" w:color="000000" w:fill="FFFFFF"/>
        </w:rPr>
        <w:tab/>
        <w:t>Updated information on whether the Roma community is discriminated against in terms of access to education, employment and decent living conditions and on racist attacks against members of the Roma community, including by law enforcement officers.</w:t>
      </w:r>
      <w:r w:rsidRPr="002C78D4">
        <w:rPr>
          <w:rStyle w:val="FootnoteReference"/>
        </w:rPr>
        <w:footnoteReference w:id="12"/>
      </w:r>
    </w:p>
    <w:p w14:paraId="40AC61F9" w14:textId="79AD6AFD" w:rsidR="00D97D68" w:rsidRPr="00C7586A" w:rsidRDefault="00D97D68" w:rsidP="007A797D">
      <w:pPr>
        <w:pStyle w:val="H23G"/>
        <w:rPr>
          <w:highlight w:val="yellow"/>
          <w:shd w:val="clear" w:color="000000" w:fill="FFFFFF"/>
        </w:rPr>
      </w:pPr>
      <w:r w:rsidRPr="00C7586A">
        <w:rPr>
          <w:shd w:val="clear" w:color="000000" w:fill="FFFFFF"/>
        </w:rPr>
        <w:tab/>
      </w:r>
      <w:r w:rsidRPr="00C7586A">
        <w:rPr>
          <w:shd w:val="clear" w:color="000000" w:fill="FFFFFF"/>
        </w:rPr>
        <w:tab/>
        <w:t>Situation of non-citizens, including stateless persons, migrants, refugees and asylum</w:t>
      </w:r>
      <w:r w:rsidR="005F0D6B">
        <w:rPr>
          <w:shd w:val="clear" w:color="000000" w:fill="FFFFFF"/>
        </w:rPr>
        <w:noBreakHyphen/>
      </w:r>
      <w:r w:rsidRPr="00C7586A">
        <w:rPr>
          <w:shd w:val="clear" w:color="000000" w:fill="FFFFFF"/>
        </w:rPr>
        <w:t>seekers (arts. 5 and 7)</w:t>
      </w:r>
    </w:p>
    <w:p w14:paraId="3037717D" w14:textId="77777777" w:rsidR="00D97D68" w:rsidRPr="00C7586A" w:rsidRDefault="00D97D68" w:rsidP="002C78D4">
      <w:pPr>
        <w:pStyle w:val="SingleTxtG"/>
        <w:rPr>
          <w:shd w:val="clear" w:color="000000" w:fill="FFFFFF"/>
        </w:rPr>
      </w:pPr>
      <w:r w:rsidRPr="00C7586A">
        <w:rPr>
          <w:shd w:val="clear" w:color="000000" w:fill="FFFFFF"/>
        </w:rPr>
        <w:t>14.</w:t>
      </w:r>
      <w:r w:rsidRPr="00C7586A">
        <w:rPr>
          <w:shd w:val="clear" w:color="000000" w:fill="FFFFFF"/>
        </w:rPr>
        <w:tab/>
        <w:t>Updated statistical data on the number of stateless persons,</w:t>
      </w:r>
      <w:r w:rsidRPr="002C78D4">
        <w:rPr>
          <w:rStyle w:val="FootnoteReference"/>
        </w:rPr>
        <w:footnoteReference w:id="13"/>
      </w:r>
      <w:r w:rsidRPr="00C7586A">
        <w:rPr>
          <w:shd w:val="clear" w:color="000000" w:fill="FFFFFF"/>
        </w:rPr>
        <w:t xml:space="preserve"> migrants,</w:t>
      </w:r>
      <w:r w:rsidRPr="002C78D4">
        <w:rPr>
          <w:rStyle w:val="FootnoteReference"/>
        </w:rPr>
        <w:footnoteReference w:id="14"/>
      </w:r>
      <w:r w:rsidRPr="00C7586A">
        <w:rPr>
          <w:shd w:val="clear" w:color="000000" w:fill="FFFFFF"/>
        </w:rPr>
        <w:t xml:space="preserve"> refugees</w:t>
      </w:r>
      <w:r w:rsidRPr="002C78D4">
        <w:rPr>
          <w:rStyle w:val="FootnoteReference"/>
        </w:rPr>
        <w:footnoteReference w:id="15"/>
      </w:r>
      <w:r w:rsidRPr="00C7586A">
        <w:rPr>
          <w:shd w:val="clear" w:color="000000" w:fill="FFFFFF"/>
        </w:rPr>
        <w:t xml:space="preserve"> and asylum-seekers</w:t>
      </w:r>
      <w:r w:rsidRPr="002C78D4">
        <w:rPr>
          <w:rStyle w:val="FootnoteReference"/>
        </w:rPr>
        <w:footnoteReference w:id="16"/>
      </w:r>
      <w:r w:rsidRPr="00C7586A">
        <w:rPr>
          <w:shd w:val="clear" w:color="000000" w:fill="FFFFFF"/>
        </w:rPr>
        <w:t xml:space="preserve"> in the State Party and on applications for and decisions on naturalization, disaggregated by ethnic group, sex and length of stay in the State Party.</w:t>
      </w:r>
    </w:p>
    <w:p w14:paraId="5A098EB1" w14:textId="77777777" w:rsidR="00D97D68" w:rsidRPr="00C7586A" w:rsidRDefault="00D97D68" w:rsidP="002C78D4">
      <w:pPr>
        <w:pStyle w:val="SingleTxtG"/>
        <w:rPr>
          <w:shd w:val="clear" w:color="000000" w:fill="FFFFFF"/>
        </w:rPr>
      </w:pPr>
      <w:r w:rsidRPr="00C7586A">
        <w:rPr>
          <w:shd w:val="clear" w:color="000000" w:fill="FFFFFF"/>
        </w:rPr>
        <w:t>15.</w:t>
      </w:r>
      <w:r w:rsidRPr="00C7586A">
        <w:rPr>
          <w:shd w:val="clear" w:color="000000" w:fill="FFFFFF"/>
        </w:rPr>
        <w:tab/>
        <w:t>Updated information on revisions to the national action plan for the integration of third-country nationals legally residing in Cyprus, and information on how the Committee’s recommendations have been taken into account, including pertaining to the action plan developed for the period 2019–2022 on the education in Cyprus of pupils with a migrant background.</w:t>
      </w:r>
    </w:p>
    <w:p w14:paraId="3BB404AD" w14:textId="50D86266" w:rsidR="00D97D68" w:rsidRPr="00C7586A" w:rsidRDefault="00D97D68" w:rsidP="002C78D4">
      <w:pPr>
        <w:pStyle w:val="SingleTxtG"/>
        <w:rPr>
          <w:shd w:val="clear" w:color="000000" w:fill="FFFFFF"/>
        </w:rPr>
      </w:pPr>
      <w:r w:rsidRPr="00C7586A">
        <w:rPr>
          <w:shd w:val="clear" w:color="000000" w:fill="FFFFFF"/>
        </w:rPr>
        <w:t>16.</w:t>
      </w:r>
      <w:r w:rsidRPr="00C7586A">
        <w:rPr>
          <w:shd w:val="clear" w:color="000000" w:fill="FFFFFF"/>
        </w:rPr>
        <w:tab/>
        <w:t xml:space="preserve">Information </w:t>
      </w:r>
      <w:proofErr w:type="gramStart"/>
      <w:r w:rsidRPr="00C7586A">
        <w:rPr>
          <w:shd w:val="clear" w:color="000000" w:fill="FFFFFF"/>
        </w:rPr>
        <w:t>on the situation of</w:t>
      </w:r>
      <w:proofErr w:type="gramEnd"/>
      <w:r w:rsidRPr="00C7586A">
        <w:rPr>
          <w:shd w:val="clear" w:color="000000" w:fill="FFFFFF"/>
        </w:rPr>
        <w:t xml:space="preserve"> permanent residents from countries that are not members of the European Union,</w:t>
      </w:r>
      <w:r w:rsidRPr="002C78D4">
        <w:rPr>
          <w:rStyle w:val="FootnoteReference"/>
        </w:rPr>
        <w:footnoteReference w:id="17"/>
      </w:r>
      <w:r w:rsidRPr="00C7586A">
        <w:rPr>
          <w:shd w:val="clear" w:color="000000" w:fill="FFFFFF"/>
        </w:rPr>
        <w:t xml:space="preserve"> including with regard to access without discrimination to housing, education, healthcare and basic services.</w:t>
      </w:r>
    </w:p>
    <w:p w14:paraId="04243BAA" w14:textId="52BCDAC2" w:rsidR="00D97D68" w:rsidRPr="00C7586A" w:rsidRDefault="00D97D68" w:rsidP="002C78D4">
      <w:pPr>
        <w:pStyle w:val="SingleTxtG"/>
        <w:rPr>
          <w:shd w:val="clear" w:color="000000" w:fill="FFFFFF"/>
        </w:rPr>
      </w:pPr>
      <w:r w:rsidRPr="00C7586A">
        <w:rPr>
          <w:shd w:val="clear" w:color="000000" w:fill="FFFFFF"/>
        </w:rPr>
        <w:lastRenderedPageBreak/>
        <w:t>17.</w:t>
      </w:r>
      <w:r w:rsidRPr="00C7586A">
        <w:rPr>
          <w:shd w:val="clear" w:color="000000" w:fill="FFFFFF"/>
        </w:rPr>
        <w:tab/>
        <w:t>Information on measures taken, and the impact thereof, to end the prolonged detention of asylum-seekers and irregular migrants and on the use of alternatives to detention, and updated information on living conditions in detention centres,</w:t>
      </w:r>
      <w:r w:rsidRPr="002C78D4">
        <w:rPr>
          <w:rStyle w:val="FootnoteReference"/>
        </w:rPr>
        <w:footnoteReference w:id="18"/>
      </w:r>
      <w:r w:rsidRPr="00C7586A">
        <w:rPr>
          <w:shd w:val="clear" w:color="000000" w:fill="FFFFFF"/>
        </w:rPr>
        <w:t xml:space="preserve"> including the alleged separation of migrant mothers from their children.</w:t>
      </w:r>
    </w:p>
    <w:p w14:paraId="7D11A1ED" w14:textId="77777777" w:rsidR="00D97D68" w:rsidRPr="00C7586A" w:rsidRDefault="00D97D68" w:rsidP="002C78D4">
      <w:pPr>
        <w:pStyle w:val="SingleTxtG"/>
        <w:rPr>
          <w:shd w:val="clear" w:color="000000" w:fill="FFFFFF"/>
        </w:rPr>
      </w:pPr>
      <w:r w:rsidRPr="00C7586A">
        <w:rPr>
          <w:shd w:val="clear" w:color="000000" w:fill="FFFFFF"/>
        </w:rPr>
        <w:t>18.</w:t>
      </w:r>
      <w:r w:rsidRPr="00C7586A">
        <w:rPr>
          <w:shd w:val="clear" w:color="000000" w:fill="FFFFFF"/>
        </w:rPr>
        <w:tab/>
        <w:t>Information on measures taken, and the impact thereof, to ensure protection against refoulement.</w:t>
      </w:r>
      <w:r w:rsidRPr="002C78D4">
        <w:rPr>
          <w:rStyle w:val="FootnoteReference"/>
        </w:rPr>
        <w:footnoteReference w:id="19"/>
      </w:r>
      <w:r w:rsidRPr="00C7586A">
        <w:rPr>
          <w:shd w:val="clear" w:color="000000" w:fill="FFFFFF"/>
        </w:rPr>
        <w:t xml:space="preserve"> </w:t>
      </w:r>
    </w:p>
    <w:p w14:paraId="02ABF3D4" w14:textId="7D8F00DD" w:rsidR="00D97D68" w:rsidRDefault="00D97D68" w:rsidP="002C78D4">
      <w:pPr>
        <w:pStyle w:val="SingleTxtG"/>
        <w:rPr>
          <w:shd w:val="clear" w:color="000000" w:fill="FFFFFF"/>
        </w:rPr>
      </w:pPr>
      <w:r w:rsidRPr="00C7586A">
        <w:rPr>
          <w:shd w:val="clear" w:color="000000" w:fill="FFFFFF"/>
        </w:rPr>
        <w:t>19.</w:t>
      </w:r>
      <w:r w:rsidRPr="00C7586A">
        <w:rPr>
          <w:shd w:val="clear" w:color="000000" w:fill="FFFFFF"/>
        </w:rPr>
        <w:tab/>
        <w:t>Information on initiatives to protect victims of and put an end to trafficking in persons in the State Party,</w:t>
      </w:r>
      <w:r w:rsidRPr="002C78D4">
        <w:rPr>
          <w:rStyle w:val="FootnoteReference"/>
        </w:rPr>
        <w:footnoteReference w:id="20"/>
      </w:r>
      <w:r w:rsidRPr="00C7586A">
        <w:rPr>
          <w:shd w:val="clear" w:color="000000" w:fill="FFFFFF"/>
        </w:rPr>
        <w:t xml:space="preserve"> including in the areas of the State Party not under its effective control.</w:t>
      </w:r>
    </w:p>
    <w:p w14:paraId="78DB1D2C" w14:textId="2231CD5E" w:rsidR="007324AB" w:rsidRPr="007324AB" w:rsidRDefault="007324AB" w:rsidP="007324A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324AB" w:rsidRPr="007324AB"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90047" w14:textId="77777777" w:rsidR="00181BE4" w:rsidRPr="00A0297D" w:rsidRDefault="00181BE4" w:rsidP="00A0297D">
      <w:pPr>
        <w:pStyle w:val="Footer"/>
      </w:pPr>
    </w:p>
  </w:endnote>
  <w:endnote w:type="continuationSeparator" w:id="0">
    <w:p w14:paraId="21F7D9E6" w14:textId="77777777" w:rsidR="00181BE4" w:rsidRPr="00A0297D" w:rsidRDefault="00181BE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94D56" w14:textId="14AB2AFF" w:rsidR="00D97D68" w:rsidRDefault="00D97D68" w:rsidP="00D97D68">
    <w:pPr>
      <w:pStyle w:val="Footer"/>
      <w:tabs>
        <w:tab w:val="right" w:pos="9638"/>
      </w:tabs>
    </w:pPr>
    <w:r w:rsidRPr="00D97D68">
      <w:rPr>
        <w:b/>
        <w:bCs/>
        <w:sz w:val="18"/>
      </w:rPr>
      <w:fldChar w:fldCharType="begin"/>
    </w:r>
    <w:r w:rsidRPr="00D97D68">
      <w:rPr>
        <w:b/>
        <w:bCs/>
        <w:sz w:val="18"/>
      </w:rPr>
      <w:instrText xml:space="preserve"> PAGE  \* MERGEFORMAT </w:instrText>
    </w:r>
    <w:r w:rsidRPr="00D97D68">
      <w:rPr>
        <w:b/>
        <w:bCs/>
        <w:sz w:val="18"/>
      </w:rPr>
      <w:fldChar w:fldCharType="separate"/>
    </w:r>
    <w:r w:rsidRPr="00D97D68">
      <w:rPr>
        <w:b/>
        <w:bCs/>
        <w:noProof/>
        <w:sz w:val="18"/>
      </w:rPr>
      <w:t>2</w:t>
    </w:r>
    <w:r w:rsidRPr="00D97D68">
      <w:rPr>
        <w:b/>
        <w:bCs/>
        <w:sz w:val="18"/>
      </w:rPr>
      <w:fldChar w:fldCharType="end"/>
    </w:r>
    <w:r>
      <w:tab/>
      <w:t>GE.26-03938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482B" w14:textId="0F6A2EF5" w:rsidR="00D97D68" w:rsidRDefault="00D97D68" w:rsidP="00D97D68">
    <w:pPr>
      <w:pStyle w:val="Footer"/>
      <w:tabs>
        <w:tab w:val="right" w:pos="9638"/>
      </w:tabs>
    </w:pPr>
    <w:r>
      <w:t>GE.26-03938</w:t>
    </w:r>
    <w:r>
      <w:tab/>
    </w:r>
    <w:r w:rsidRPr="00D97D68">
      <w:rPr>
        <w:b/>
        <w:bCs/>
        <w:sz w:val="18"/>
      </w:rPr>
      <w:fldChar w:fldCharType="begin"/>
    </w:r>
    <w:r w:rsidRPr="00D97D68">
      <w:rPr>
        <w:b/>
        <w:bCs/>
        <w:sz w:val="18"/>
      </w:rPr>
      <w:instrText xml:space="preserve"> PAGE  \* MERGEFORMAT </w:instrText>
    </w:r>
    <w:r w:rsidRPr="00D97D68">
      <w:rPr>
        <w:b/>
        <w:bCs/>
        <w:sz w:val="18"/>
      </w:rPr>
      <w:fldChar w:fldCharType="separate"/>
    </w:r>
    <w:r w:rsidRPr="00D97D68">
      <w:rPr>
        <w:b/>
        <w:bCs/>
        <w:noProof/>
        <w:sz w:val="18"/>
      </w:rPr>
      <w:t>3</w:t>
    </w:r>
    <w:r w:rsidRPr="00D97D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F7913" w14:textId="4108BC4D" w:rsidR="00D97D68" w:rsidRDefault="00D97D68">
    <w:pPr>
      <w:pStyle w:val="Footer"/>
      <w:rPr>
        <w:sz w:val="20"/>
      </w:rPr>
    </w:pPr>
    <w:r w:rsidRPr="0027112F">
      <w:rPr>
        <w:noProof/>
        <w:lang w:val="en-US"/>
      </w:rPr>
      <w:drawing>
        <wp:anchor distT="0" distB="0" distL="114300" distR="114300" simplePos="0" relativeHeight="251658240" behindDoc="0" locked="1" layoutInCell="1" allowOverlap="1" wp14:anchorId="072C9FEE" wp14:editId="56002BA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A4BFAD" w14:textId="516A451D" w:rsidR="00D97D68" w:rsidRPr="00D97D68" w:rsidRDefault="00D97D68" w:rsidP="00D97D68">
    <w:pPr>
      <w:pStyle w:val="Footer"/>
      <w:rPr>
        <w:sz w:val="20"/>
      </w:rPr>
    </w:pPr>
    <w:r>
      <w:rPr>
        <w:sz w:val="20"/>
      </w:rPr>
      <w:t>GE.26-03938  (E)</w:t>
    </w:r>
    <w:r>
      <w:rPr>
        <w:noProof/>
        <w:sz w:val="20"/>
      </w:rPr>
      <w:drawing>
        <wp:anchor distT="0" distB="0" distL="114300" distR="114300" simplePos="0" relativeHeight="251658241" behindDoc="0" locked="0" layoutInCell="1" allowOverlap="1" wp14:anchorId="3F3E5874" wp14:editId="63CD0234">
          <wp:simplePos x="0" y="0"/>
          <wp:positionH relativeFrom="margin">
            <wp:posOffset>5583555</wp:posOffset>
          </wp:positionH>
          <wp:positionV relativeFrom="margin">
            <wp:posOffset>8981440</wp:posOffset>
          </wp:positionV>
          <wp:extent cx="571500" cy="571500"/>
          <wp:effectExtent l="0" t="0" r="0" b="0"/>
          <wp:wrapNone/>
          <wp:docPr id="100148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298F">
      <w:rPr>
        <w:sz w:val="20"/>
      </w:rPr>
      <w:t xml:space="preserve">    250326    250326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16B24" w14:textId="77777777" w:rsidR="00181BE4" w:rsidRPr="00A0297D" w:rsidRDefault="00181BE4" w:rsidP="00A0297D">
      <w:pPr>
        <w:tabs>
          <w:tab w:val="right" w:pos="2155"/>
        </w:tabs>
        <w:spacing w:after="80" w:line="240" w:lineRule="auto"/>
        <w:ind w:left="680"/>
      </w:pPr>
      <w:r>
        <w:rPr>
          <w:u w:val="single"/>
        </w:rPr>
        <w:tab/>
      </w:r>
    </w:p>
  </w:footnote>
  <w:footnote w:type="continuationSeparator" w:id="0">
    <w:p w14:paraId="79D9F3BC" w14:textId="77777777" w:rsidR="00181BE4" w:rsidRPr="00A0297D" w:rsidRDefault="00181BE4" w:rsidP="00A0297D">
      <w:pPr>
        <w:tabs>
          <w:tab w:val="right" w:pos="2155"/>
        </w:tabs>
        <w:spacing w:after="80" w:line="240" w:lineRule="auto"/>
        <w:ind w:left="680"/>
      </w:pPr>
      <w:r>
        <w:rPr>
          <w:u w:val="single"/>
        </w:rPr>
        <w:tab/>
      </w:r>
    </w:p>
  </w:footnote>
  <w:footnote w:id="1">
    <w:p w14:paraId="6B5DC382" w14:textId="77777777" w:rsidR="00D97D68" w:rsidRPr="00517019" w:rsidRDefault="00D97D68" w:rsidP="002C78D4">
      <w:pPr>
        <w:pStyle w:val="FootnoteText"/>
        <w:rPr>
          <w:szCs w:val="18"/>
        </w:rPr>
      </w:pPr>
      <w:r w:rsidRPr="00517019">
        <w:rPr>
          <w:szCs w:val="18"/>
        </w:rPr>
        <w:tab/>
      </w:r>
      <w:r w:rsidRPr="00CA0E53">
        <w:rPr>
          <w:sz w:val="20"/>
        </w:rPr>
        <w:t>*</w:t>
      </w:r>
      <w:r w:rsidRPr="00517019">
        <w:rPr>
          <w:szCs w:val="18"/>
        </w:rPr>
        <w:tab/>
        <w:t xml:space="preserve">The present report was submitted to the conference services for processing after the deadline </w:t>
      </w:r>
      <w:proofErr w:type="gramStart"/>
      <w:r w:rsidRPr="00517019">
        <w:rPr>
          <w:szCs w:val="18"/>
        </w:rPr>
        <w:t>so as to</w:t>
      </w:r>
      <w:proofErr w:type="gramEnd"/>
      <w:r w:rsidRPr="00517019">
        <w:rPr>
          <w:szCs w:val="18"/>
        </w:rPr>
        <w:t xml:space="preserve"> include the most recent information.</w:t>
      </w:r>
    </w:p>
  </w:footnote>
  <w:footnote w:id="2">
    <w:p w14:paraId="07223CDA" w14:textId="3FC82046" w:rsidR="00D97D68" w:rsidRPr="00517019" w:rsidRDefault="00D97D68" w:rsidP="002C78D4">
      <w:pPr>
        <w:pStyle w:val="FootnoteText"/>
        <w:rPr>
          <w:szCs w:val="18"/>
          <w:lang w:val="es-ES"/>
        </w:rPr>
      </w:pPr>
      <w:r w:rsidRPr="00517019">
        <w:rPr>
          <w:szCs w:val="18"/>
        </w:rPr>
        <w:tab/>
      </w:r>
      <w:r w:rsidRPr="00517019">
        <w:rPr>
          <w:rStyle w:val="FootnoteReference"/>
          <w:szCs w:val="18"/>
        </w:rPr>
        <w:footnoteRef/>
      </w:r>
      <w:r w:rsidRPr="00517019">
        <w:rPr>
          <w:szCs w:val="18"/>
          <w:lang w:val="es-ES"/>
        </w:rPr>
        <w:tab/>
      </w:r>
      <w:hyperlink r:id="rId1" w:history="1">
        <w:r w:rsidRPr="00517019">
          <w:rPr>
            <w:rStyle w:val="Hyperlink"/>
            <w:szCs w:val="18"/>
            <w:u w:val="none"/>
            <w:lang w:val="es-ES"/>
          </w:rPr>
          <w:t>A/65/18</w:t>
        </w:r>
      </w:hyperlink>
      <w:r w:rsidRPr="00517019">
        <w:rPr>
          <w:szCs w:val="18"/>
          <w:lang w:val="es-ES"/>
        </w:rPr>
        <w:t>, para. 85.</w:t>
      </w:r>
    </w:p>
  </w:footnote>
  <w:footnote w:id="3">
    <w:p w14:paraId="47853CF4" w14:textId="1C17AC9E"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r>
      <w:hyperlink r:id="rId2" w:history="1">
        <w:r w:rsidRPr="00517019">
          <w:rPr>
            <w:rStyle w:val="Hyperlink"/>
            <w:szCs w:val="18"/>
            <w:u w:val="none"/>
            <w:lang w:val="es-ES"/>
          </w:rPr>
          <w:t>CERD/C/CYP/CO/23-24</w:t>
        </w:r>
      </w:hyperlink>
      <w:r w:rsidRPr="00517019">
        <w:rPr>
          <w:szCs w:val="18"/>
          <w:lang w:val="es-ES"/>
        </w:rPr>
        <w:t>, para. 8.</w:t>
      </w:r>
    </w:p>
  </w:footnote>
  <w:footnote w:id="4">
    <w:p w14:paraId="5D803A99" w14:textId="386E84B4"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r>
      <w:hyperlink r:id="rId3" w:history="1">
        <w:r w:rsidRPr="00517019">
          <w:rPr>
            <w:rStyle w:val="Hyperlink"/>
            <w:szCs w:val="18"/>
            <w:u w:val="none"/>
            <w:lang w:val="es-ES"/>
          </w:rPr>
          <w:t>CERD/C/CYP/25</w:t>
        </w:r>
      </w:hyperlink>
      <w:r w:rsidRPr="00517019">
        <w:rPr>
          <w:szCs w:val="18"/>
          <w:lang w:val="es-ES"/>
        </w:rPr>
        <w:t>, para. 10.</w:t>
      </w:r>
    </w:p>
  </w:footnote>
  <w:footnote w:id="5">
    <w:p w14:paraId="1B54F73F" w14:textId="77777777" w:rsidR="00D97D68" w:rsidRPr="00517019" w:rsidRDefault="00D97D68" w:rsidP="002C78D4">
      <w:pPr>
        <w:pStyle w:val="FootnoteText"/>
        <w:rPr>
          <w:szCs w:val="18"/>
        </w:rPr>
      </w:pPr>
      <w:r w:rsidRPr="00517019">
        <w:rPr>
          <w:szCs w:val="18"/>
          <w:lang w:val="es-ES"/>
        </w:rPr>
        <w:tab/>
      </w:r>
      <w:r w:rsidRPr="00517019">
        <w:rPr>
          <w:rStyle w:val="FootnoteReference"/>
          <w:szCs w:val="18"/>
        </w:rPr>
        <w:footnoteRef/>
      </w:r>
      <w:r w:rsidRPr="00517019">
        <w:rPr>
          <w:szCs w:val="18"/>
          <w:lang w:val="es-ES"/>
        </w:rPr>
        <w:tab/>
        <w:t xml:space="preserve">Ibid., paras. </w:t>
      </w:r>
      <w:r w:rsidRPr="00517019">
        <w:rPr>
          <w:szCs w:val="18"/>
        </w:rPr>
        <w:t>11–32.</w:t>
      </w:r>
    </w:p>
  </w:footnote>
  <w:footnote w:id="6">
    <w:p w14:paraId="259DE270" w14:textId="77777777" w:rsidR="00D97D68" w:rsidRPr="00517019" w:rsidRDefault="00D97D68" w:rsidP="002C78D4">
      <w:pPr>
        <w:pStyle w:val="FootnoteText"/>
        <w:rPr>
          <w:szCs w:val="18"/>
        </w:rPr>
      </w:pPr>
      <w:r w:rsidRPr="00517019">
        <w:rPr>
          <w:szCs w:val="18"/>
        </w:rPr>
        <w:tab/>
      </w:r>
      <w:r w:rsidRPr="00517019">
        <w:rPr>
          <w:rStyle w:val="FootnoteReference"/>
          <w:szCs w:val="18"/>
        </w:rPr>
        <w:footnoteRef/>
      </w:r>
      <w:r w:rsidRPr="00517019">
        <w:rPr>
          <w:szCs w:val="18"/>
        </w:rPr>
        <w:tab/>
        <w:t>Ibid., annexes B and C.</w:t>
      </w:r>
    </w:p>
  </w:footnote>
  <w:footnote w:id="7">
    <w:p w14:paraId="35049F28" w14:textId="77777777" w:rsidR="00D97D68" w:rsidRPr="00517019" w:rsidRDefault="00D97D68" w:rsidP="002C78D4">
      <w:pPr>
        <w:pStyle w:val="FootnoteText"/>
        <w:rPr>
          <w:szCs w:val="18"/>
          <w:lang w:val="es-ES"/>
        </w:rPr>
      </w:pPr>
      <w:r w:rsidRPr="00517019">
        <w:rPr>
          <w:szCs w:val="18"/>
        </w:rPr>
        <w:tab/>
      </w:r>
      <w:r w:rsidRPr="00517019">
        <w:rPr>
          <w:rStyle w:val="FootnoteReference"/>
          <w:szCs w:val="18"/>
        </w:rPr>
        <w:footnoteRef/>
      </w:r>
      <w:r w:rsidRPr="00517019">
        <w:rPr>
          <w:szCs w:val="18"/>
          <w:lang w:val="es-ES"/>
        </w:rPr>
        <w:tab/>
        <w:t>Ibid., para. 87.</w:t>
      </w:r>
    </w:p>
  </w:footnote>
  <w:footnote w:id="8">
    <w:p w14:paraId="0D5A8B6A" w14:textId="77777777"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t>Ibid., paras. 39 and 40.</w:t>
      </w:r>
    </w:p>
  </w:footnote>
  <w:footnote w:id="9">
    <w:p w14:paraId="65A318BA" w14:textId="77777777"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t>Ibid., paras. 54 and 55.</w:t>
      </w:r>
    </w:p>
  </w:footnote>
  <w:footnote w:id="10">
    <w:p w14:paraId="3CF892C1" w14:textId="6768CE56"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r>
      <w:hyperlink r:id="rId4" w:history="1">
        <w:r w:rsidRPr="00517019">
          <w:rPr>
            <w:rStyle w:val="Hyperlink"/>
            <w:szCs w:val="18"/>
            <w:u w:val="none"/>
            <w:lang w:val="es-ES"/>
          </w:rPr>
          <w:t>HRI/CORE/CYP/2018</w:t>
        </w:r>
      </w:hyperlink>
      <w:r w:rsidRPr="00517019">
        <w:rPr>
          <w:szCs w:val="18"/>
          <w:lang w:val="es-ES"/>
        </w:rPr>
        <w:t>, paras. 47–50.</w:t>
      </w:r>
    </w:p>
  </w:footnote>
  <w:footnote w:id="11">
    <w:p w14:paraId="2722C145" w14:textId="0DE41332"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r>
      <w:hyperlink r:id="rId5" w:history="1">
        <w:r w:rsidRPr="00517019">
          <w:rPr>
            <w:rStyle w:val="Hyperlink"/>
            <w:szCs w:val="18"/>
            <w:u w:val="none"/>
            <w:lang w:val="es-ES"/>
          </w:rPr>
          <w:t>CERD/C/CYP/25</w:t>
        </w:r>
      </w:hyperlink>
      <w:r w:rsidRPr="00517019">
        <w:rPr>
          <w:szCs w:val="18"/>
          <w:lang w:val="es-ES"/>
        </w:rPr>
        <w:t>, para. 58.</w:t>
      </w:r>
    </w:p>
  </w:footnote>
  <w:footnote w:id="12">
    <w:p w14:paraId="7B5D2EA8" w14:textId="77777777"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t>Ibid., paras. 55–60.</w:t>
      </w:r>
    </w:p>
  </w:footnote>
  <w:footnote w:id="13">
    <w:p w14:paraId="40D3E4E2" w14:textId="77777777"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t>Ibid., para. 23.</w:t>
      </w:r>
    </w:p>
  </w:footnote>
  <w:footnote w:id="14">
    <w:p w14:paraId="1C0083B3" w14:textId="77777777"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t>Ibid., para. 123.</w:t>
      </w:r>
    </w:p>
  </w:footnote>
  <w:footnote w:id="15">
    <w:p w14:paraId="5AC93C72" w14:textId="77777777" w:rsidR="00D97D68" w:rsidRPr="00517019" w:rsidRDefault="00D97D68" w:rsidP="002C78D4">
      <w:pPr>
        <w:pStyle w:val="FootnoteText"/>
        <w:rPr>
          <w:szCs w:val="18"/>
          <w:lang w:val="es-ES"/>
        </w:rPr>
      </w:pPr>
      <w:r w:rsidRPr="00517019">
        <w:rPr>
          <w:szCs w:val="18"/>
          <w:lang w:val="es-ES"/>
        </w:rPr>
        <w:tab/>
      </w:r>
      <w:r w:rsidRPr="00517019">
        <w:rPr>
          <w:rStyle w:val="FootnoteReference"/>
          <w:szCs w:val="18"/>
        </w:rPr>
        <w:footnoteRef/>
      </w:r>
      <w:r w:rsidRPr="00517019">
        <w:rPr>
          <w:szCs w:val="18"/>
          <w:lang w:val="es-ES"/>
        </w:rPr>
        <w:tab/>
        <w:t>Ibid., para. 22.</w:t>
      </w:r>
    </w:p>
  </w:footnote>
  <w:footnote w:id="16">
    <w:p w14:paraId="7520DA1F" w14:textId="77777777" w:rsidR="00D97D68" w:rsidRPr="00517019" w:rsidRDefault="00D97D68" w:rsidP="002C78D4">
      <w:pPr>
        <w:pStyle w:val="FootnoteText"/>
        <w:rPr>
          <w:szCs w:val="18"/>
        </w:rPr>
      </w:pPr>
      <w:r w:rsidRPr="00517019">
        <w:rPr>
          <w:szCs w:val="18"/>
          <w:lang w:val="es-ES"/>
        </w:rPr>
        <w:tab/>
      </w:r>
      <w:r w:rsidRPr="00517019">
        <w:rPr>
          <w:rStyle w:val="FootnoteReference"/>
          <w:szCs w:val="18"/>
        </w:rPr>
        <w:footnoteRef/>
      </w:r>
      <w:r w:rsidRPr="00517019">
        <w:rPr>
          <w:szCs w:val="18"/>
          <w:lang w:val="es-ES"/>
        </w:rPr>
        <w:tab/>
        <w:t xml:space="preserve">Ibid., paras. </w:t>
      </w:r>
      <w:r w:rsidRPr="00517019">
        <w:rPr>
          <w:szCs w:val="18"/>
        </w:rPr>
        <w:t>96–99.</w:t>
      </w:r>
    </w:p>
  </w:footnote>
  <w:footnote w:id="17">
    <w:p w14:paraId="085CC902" w14:textId="77777777" w:rsidR="00D97D68" w:rsidRPr="00517019" w:rsidRDefault="00D97D68" w:rsidP="002C78D4">
      <w:pPr>
        <w:pStyle w:val="FootnoteText"/>
        <w:rPr>
          <w:szCs w:val="18"/>
        </w:rPr>
      </w:pPr>
      <w:r w:rsidRPr="00517019">
        <w:rPr>
          <w:szCs w:val="18"/>
        </w:rPr>
        <w:tab/>
      </w:r>
      <w:r w:rsidRPr="00517019">
        <w:rPr>
          <w:rStyle w:val="FootnoteReference"/>
          <w:szCs w:val="18"/>
        </w:rPr>
        <w:footnoteRef/>
      </w:r>
      <w:r w:rsidRPr="00517019">
        <w:rPr>
          <w:szCs w:val="18"/>
        </w:rPr>
        <w:tab/>
        <w:t>Ibid., paras. 47 and 50.</w:t>
      </w:r>
    </w:p>
  </w:footnote>
  <w:footnote w:id="18">
    <w:p w14:paraId="6A97FB03" w14:textId="01BEC09C" w:rsidR="00D97D68" w:rsidRPr="00517019" w:rsidRDefault="00D97D68" w:rsidP="002C78D4">
      <w:pPr>
        <w:pStyle w:val="FootnoteText"/>
        <w:rPr>
          <w:szCs w:val="18"/>
        </w:rPr>
      </w:pPr>
      <w:r w:rsidRPr="00517019">
        <w:rPr>
          <w:szCs w:val="18"/>
        </w:rPr>
        <w:tab/>
      </w:r>
      <w:r w:rsidRPr="00517019">
        <w:rPr>
          <w:rStyle w:val="FootnoteReference"/>
          <w:szCs w:val="18"/>
        </w:rPr>
        <w:footnoteRef/>
      </w:r>
      <w:r w:rsidRPr="00517019">
        <w:rPr>
          <w:szCs w:val="18"/>
        </w:rPr>
        <w:tab/>
      </w:r>
      <w:hyperlink r:id="rId6" w:history="1">
        <w:r w:rsidRPr="00517019">
          <w:rPr>
            <w:rStyle w:val="Hyperlink"/>
            <w:szCs w:val="18"/>
            <w:u w:val="none"/>
          </w:rPr>
          <w:t>HRI/CORE/CYP/2018</w:t>
        </w:r>
      </w:hyperlink>
      <w:r w:rsidRPr="00517019">
        <w:rPr>
          <w:szCs w:val="18"/>
        </w:rPr>
        <w:t>, paras. 115 and 116.</w:t>
      </w:r>
    </w:p>
  </w:footnote>
  <w:footnote w:id="19">
    <w:p w14:paraId="63857F26" w14:textId="111BE0A4" w:rsidR="00D97D68" w:rsidRPr="00517019" w:rsidRDefault="00D97D68" w:rsidP="002C78D4">
      <w:pPr>
        <w:pStyle w:val="FootnoteText"/>
        <w:rPr>
          <w:szCs w:val="18"/>
          <w:lang w:val="es-ES"/>
        </w:rPr>
      </w:pPr>
      <w:r w:rsidRPr="00517019">
        <w:rPr>
          <w:szCs w:val="18"/>
        </w:rPr>
        <w:tab/>
      </w:r>
      <w:r w:rsidRPr="00517019">
        <w:rPr>
          <w:rStyle w:val="FootnoteReference"/>
          <w:szCs w:val="18"/>
        </w:rPr>
        <w:footnoteRef/>
      </w:r>
      <w:r w:rsidRPr="00517019">
        <w:rPr>
          <w:szCs w:val="18"/>
          <w:lang w:val="es-ES"/>
        </w:rPr>
        <w:tab/>
      </w:r>
      <w:hyperlink r:id="rId7" w:history="1">
        <w:r w:rsidRPr="00517019">
          <w:rPr>
            <w:rStyle w:val="Hyperlink"/>
            <w:szCs w:val="18"/>
            <w:u w:val="none"/>
            <w:lang w:val="es-ES"/>
          </w:rPr>
          <w:t>CERD/C/CYP/25</w:t>
        </w:r>
      </w:hyperlink>
      <w:r w:rsidRPr="00517019">
        <w:rPr>
          <w:szCs w:val="18"/>
          <w:lang w:val="es-ES"/>
        </w:rPr>
        <w:t>, para. 22.</w:t>
      </w:r>
    </w:p>
  </w:footnote>
  <w:footnote w:id="20">
    <w:p w14:paraId="136BC593" w14:textId="77777777" w:rsidR="00D97D68" w:rsidRPr="00517019" w:rsidRDefault="00D97D68" w:rsidP="002C78D4">
      <w:pPr>
        <w:pStyle w:val="FootnoteText"/>
        <w:rPr>
          <w:szCs w:val="18"/>
        </w:rPr>
      </w:pPr>
      <w:r w:rsidRPr="00517019">
        <w:rPr>
          <w:szCs w:val="18"/>
          <w:lang w:val="es-ES"/>
        </w:rPr>
        <w:tab/>
      </w:r>
      <w:r w:rsidRPr="00517019">
        <w:rPr>
          <w:rStyle w:val="FootnoteReference"/>
          <w:szCs w:val="18"/>
        </w:rPr>
        <w:footnoteRef/>
      </w:r>
      <w:r w:rsidRPr="00517019">
        <w:rPr>
          <w:szCs w:val="18"/>
          <w:lang w:val="es-ES"/>
        </w:rPr>
        <w:tab/>
        <w:t xml:space="preserve">Ibid., paras. </w:t>
      </w:r>
      <w:r w:rsidRPr="00517019">
        <w:rPr>
          <w:szCs w:val="18"/>
        </w:rPr>
        <w:t>16 and 26.</w:t>
      </w:r>
    </w:p>
    <w:p w14:paraId="28875A0B" w14:textId="77777777" w:rsidR="00D97D68" w:rsidRPr="00517019" w:rsidRDefault="00D97D68" w:rsidP="002C78D4">
      <w:pPr>
        <w:pStyle w:val="FootnoteText"/>
        <w:rPr>
          <w:szCs w:val="18"/>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9E402" w14:textId="66089686" w:rsidR="00D97D68" w:rsidRDefault="00D97D68" w:rsidP="00D97D68">
    <w:pPr>
      <w:pStyle w:val="Header"/>
    </w:pPr>
    <w:r>
      <w:t>CERD/C/CYP/Q/25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408E" w14:textId="09760E31" w:rsidR="00D97D68" w:rsidRDefault="00D97D68" w:rsidP="00D97D68">
    <w:pPr>
      <w:pStyle w:val="Header"/>
      <w:jc w:val="right"/>
    </w:pPr>
    <w:r>
      <w:t>CERD/C/CYP/Q/25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BE4"/>
    <w:rsid w:val="00002CD0"/>
    <w:rsid w:val="00021C97"/>
    <w:rsid w:val="00046E92"/>
    <w:rsid w:val="000A36B1"/>
    <w:rsid w:val="00181BE4"/>
    <w:rsid w:val="001C3218"/>
    <w:rsid w:val="00247E2C"/>
    <w:rsid w:val="002C78D4"/>
    <w:rsid w:val="002C7D77"/>
    <w:rsid w:val="002D6C53"/>
    <w:rsid w:val="002F5595"/>
    <w:rsid w:val="00307688"/>
    <w:rsid w:val="00334F6A"/>
    <w:rsid w:val="00342AC8"/>
    <w:rsid w:val="003A444F"/>
    <w:rsid w:val="003B4550"/>
    <w:rsid w:val="003D3798"/>
    <w:rsid w:val="004541E5"/>
    <w:rsid w:val="00461253"/>
    <w:rsid w:val="00503230"/>
    <w:rsid w:val="005042C2"/>
    <w:rsid w:val="00517019"/>
    <w:rsid w:val="005201A3"/>
    <w:rsid w:val="00557F19"/>
    <w:rsid w:val="005B0945"/>
    <w:rsid w:val="005D46DB"/>
    <w:rsid w:val="005F0D6B"/>
    <w:rsid w:val="005F2E0B"/>
    <w:rsid w:val="00623690"/>
    <w:rsid w:val="00671529"/>
    <w:rsid w:val="007233F9"/>
    <w:rsid w:val="007268F9"/>
    <w:rsid w:val="007324AB"/>
    <w:rsid w:val="00735147"/>
    <w:rsid w:val="007A797D"/>
    <w:rsid w:val="007C52B0"/>
    <w:rsid w:val="008806B4"/>
    <w:rsid w:val="00883988"/>
    <w:rsid w:val="008E0F96"/>
    <w:rsid w:val="008E14EE"/>
    <w:rsid w:val="009411B4"/>
    <w:rsid w:val="009D0139"/>
    <w:rsid w:val="009F5CDC"/>
    <w:rsid w:val="00A0297D"/>
    <w:rsid w:val="00A2298F"/>
    <w:rsid w:val="00A72D52"/>
    <w:rsid w:val="00A775CF"/>
    <w:rsid w:val="00A8196B"/>
    <w:rsid w:val="00AC6B1B"/>
    <w:rsid w:val="00B06045"/>
    <w:rsid w:val="00B65189"/>
    <w:rsid w:val="00B846A8"/>
    <w:rsid w:val="00BD42CA"/>
    <w:rsid w:val="00C01462"/>
    <w:rsid w:val="00C35A27"/>
    <w:rsid w:val="00CA0E53"/>
    <w:rsid w:val="00CB1FB9"/>
    <w:rsid w:val="00D70FE1"/>
    <w:rsid w:val="00D96BE5"/>
    <w:rsid w:val="00D97D68"/>
    <w:rsid w:val="00DA7116"/>
    <w:rsid w:val="00DE532E"/>
    <w:rsid w:val="00E02C2B"/>
    <w:rsid w:val="00EC2F6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9CCC7"/>
  <w15:docId w15:val="{ACAEB8D7-5336-4666-B200-0CA5FB777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A72D52"/>
    <w:rPr>
      <w:color w:val="0000FF"/>
      <w:u w:val="single"/>
    </w:rPr>
  </w:style>
  <w:style w:type="character" w:styleId="FollowedHyperlink">
    <w:name w:val="FollowedHyperlink"/>
    <w:basedOn w:val="DefaultParagraphFont"/>
    <w:uiPriority w:val="99"/>
    <w:semiHidden/>
    <w:unhideWhenUsed/>
    <w:rsid w:val="00A72D52"/>
    <w:rPr>
      <w:color w:val="0000FF"/>
      <w:u w:val="single"/>
    </w:rPr>
  </w:style>
  <w:style w:type="character" w:styleId="UnresolvedMention">
    <w:name w:val="Unresolved Mention"/>
    <w:basedOn w:val="DefaultParagraphFont"/>
    <w:uiPriority w:val="99"/>
    <w:semiHidden/>
    <w:unhideWhenUsed/>
    <w:rsid w:val="00A72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ERD/C/CYP/25" TargetMode="External"/><Relationship Id="rId7" Type="http://schemas.openxmlformats.org/officeDocument/2006/relationships/hyperlink" Target="https://docs.un.org/en/CERD/C/CYP/25" TargetMode="External"/><Relationship Id="rId2" Type="http://schemas.openxmlformats.org/officeDocument/2006/relationships/hyperlink" Target="https://docs.un.org/en/CERD/C/CYP/CO/23-24" TargetMode="External"/><Relationship Id="rId1" Type="http://schemas.openxmlformats.org/officeDocument/2006/relationships/hyperlink" Target="https://docs.un.org/en/A/65/18" TargetMode="External"/><Relationship Id="rId6" Type="http://schemas.openxmlformats.org/officeDocument/2006/relationships/hyperlink" Target="https://docs.un.org/en/HRI/CORE/CYP/2018" TargetMode="External"/><Relationship Id="rId5" Type="http://schemas.openxmlformats.org/officeDocument/2006/relationships/hyperlink" Target="https://docs.un.org/en/CERD/C/CYP/25" TargetMode="External"/><Relationship Id="rId4" Type="http://schemas.openxmlformats.org/officeDocument/2006/relationships/hyperlink" Target="https://docs.un.org/en/HRI/CORE/CYP/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7637A8BF-D967-4FEC-923A-3CD3BE94A2D8}">
  <ds:schemaRefs>
    <ds:schemaRef ds:uri="http://schemas.microsoft.com/sharepoint/v3/contenttype/forms"/>
  </ds:schemaRefs>
</ds:datastoreItem>
</file>

<file path=customXml/itemProps3.xml><?xml version="1.0" encoding="utf-8"?>
<ds:datastoreItem xmlns:ds="http://schemas.openxmlformats.org/officeDocument/2006/customXml" ds:itemID="{DFF0145C-0076-4FA7-85D6-4825EE7E7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3</Pages>
  <Words>884</Words>
  <Characters>5064</Characters>
  <Application>Microsoft Office Word</Application>
  <DocSecurity>0</DocSecurity>
  <Lines>93</Lines>
  <Paragraphs>37</Paragraphs>
  <ScaleCrop>false</ScaleCrop>
  <Company>DCM</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CERD/C/CYP/Q/25</dc:title>
  <dc:subject>2603938</dc:subject>
  <dc:creator>dm</dc:creator>
  <cp:keywords/>
  <dc:description/>
  <cp:lastModifiedBy>Don Canete Martin</cp:lastModifiedBy>
  <cp:revision>2</cp:revision>
  <dcterms:created xsi:type="dcterms:W3CDTF">2026-03-25T12:21:00Z</dcterms:created>
  <dcterms:modified xsi:type="dcterms:W3CDTF">2026-03-25T12:21:00Z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y fmtid="{D5CDD505-2E9C-101B-9397-08002B2CF9AE}" pid="4" name="MediaServiceImageTags">
    <vt:lpwstr/>
  </property>
</Properties>
</file>