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97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80"/>
          <w:tab w:val="right" w:pos="9355"/>
        </w:tabs>
        <w:spacing w:after="240"/>
      </w:pPr>
      <w:r>
        <w:tab/>
        <w:t>Distr.</w:t>
      </w:r>
      <w:r>
        <w:br/>
      </w:r>
      <w:r>
        <w:tab/>
        <w:t>GENERAL</w:t>
      </w:r>
    </w:p>
    <w:p w:rsidR="00000000" w:rsidRDefault="00000000">
      <w:pPr>
        <w:tabs>
          <w:tab w:val="left" w:pos="7080"/>
          <w:tab w:val="right" w:pos="9355"/>
        </w:tabs>
        <w:spacing w:after="240"/>
      </w:pPr>
      <w:r>
        <w:tab/>
        <w:t>CCPR/C/82/L/MAR</w:t>
      </w:r>
      <w:r>
        <w:br/>
      </w:r>
      <w:r>
        <w:tab/>
        <w:t>13 de agosto de 2004</w:t>
      </w:r>
    </w:p>
    <w:p w:rsidR="00000000" w:rsidRDefault="00000000">
      <w:pPr>
        <w:tabs>
          <w:tab w:val="left" w:pos="7080"/>
          <w:tab w:val="right" w:pos="9355"/>
        </w:tabs>
        <w:spacing w:after="600"/>
      </w:pPr>
      <w:r>
        <w:tab/>
        <w:t>ESPAÑOL</w:t>
      </w:r>
      <w:r>
        <w:br/>
      </w:r>
      <w:r>
        <w:tab/>
        <w:t>Original:  FRANCÉS</w:t>
      </w:r>
    </w:p>
    <w:p w:rsidR="00000000" w:rsidRDefault="00000000">
      <w:pPr>
        <w:spacing w:after="720"/>
      </w:pPr>
      <w:r>
        <w:t>COMITÉ DE DERECHOS HUMANOS</w:t>
      </w:r>
      <w:r>
        <w:br/>
        <w:t>81º período de sesiones</w:t>
      </w:r>
    </w:p>
    <w:p w:rsidR="00000000" w:rsidRDefault="00000000">
      <w:pPr>
        <w:spacing w:after="360"/>
        <w:jc w:val="center"/>
        <w:rPr>
          <w:b/>
          <w:bCs/>
        </w:rPr>
      </w:pPr>
      <w:r>
        <w:rPr>
          <w:b/>
          <w:bCs/>
        </w:rPr>
        <w:t>MARRUECOS</w:t>
      </w:r>
    </w:p>
    <w:p w:rsidR="00000000" w:rsidRDefault="00000000">
      <w:pPr>
        <w:spacing w:after="360"/>
        <w:jc w:val="center"/>
        <w:rPr>
          <w:b/>
          <w:bCs/>
        </w:rPr>
      </w:pPr>
      <w:r>
        <w:rPr>
          <w:b/>
          <w:bCs/>
        </w:rPr>
        <w:t xml:space="preserve">LISTA DE CUESTIONES QUE DEBEN ABORDARSE AL EXAMINAR </w:t>
      </w:r>
      <w:r>
        <w:rPr>
          <w:b/>
          <w:bCs/>
        </w:rPr>
        <w:br/>
        <w:t xml:space="preserve">EL QUINTO INFORME PERIÓDICO DE MARRUECOS </w:t>
      </w:r>
      <w:r>
        <w:rPr>
          <w:b/>
          <w:bCs/>
        </w:rPr>
        <w:br/>
        <w:t>(CCPR/C/MAR/2004/5)</w:t>
      </w:r>
    </w:p>
    <w:p w:rsidR="00000000" w:rsidRDefault="00000000">
      <w:pPr>
        <w:spacing w:after="240"/>
        <w:jc w:val="center"/>
        <w:rPr>
          <w:b/>
          <w:bCs/>
        </w:rPr>
      </w:pPr>
      <w:r>
        <w:rPr>
          <w:b/>
          <w:bCs/>
        </w:rPr>
        <w:t>Derecho a la libre determinación (artículo 1)</w:t>
      </w:r>
    </w:p>
    <w:p w:rsidR="00000000" w:rsidRDefault="00000000">
      <w:pPr>
        <w:spacing w:after="240"/>
        <w:ind w:left="567" w:hanging="567"/>
      </w:pPr>
      <w:r>
        <w:t>1.</w:t>
      </w:r>
      <w:r>
        <w:tab/>
        <w:t>Habida cuenta de las observaciones formuladas por el Estado Parte en los párrafos 37 a 39 de su quinto informe, sírvanse indicar las novedades y los progresos logrados en lo que respecta a la organización del referendo sobre la cuestión de la libre determinación en el Sáhara Occidental.  ¿Qué medidas se han adoptado para aplicar la recomendación formulada por el Comité durante el examen del cuarto informe periódico del Estado Parte en 1999? (observaciones finales, CCPR/C/79/Add.113, párr. 9).</w:t>
      </w:r>
    </w:p>
    <w:p w:rsidR="00000000" w:rsidRDefault="00000000">
      <w:pPr>
        <w:spacing w:after="240"/>
        <w:jc w:val="center"/>
        <w:rPr>
          <w:b/>
          <w:bCs/>
        </w:rPr>
      </w:pPr>
      <w:r>
        <w:rPr>
          <w:b/>
          <w:bCs/>
        </w:rPr>
        <w:t>Marco constitucional y jurídico en que se aplica el Pacto (artículo 2)</w:t>
      </w:r>
    </w:p>
    <w:p w:rsidR="00000000" w:rsidRDefault="00000000">
      <w:pPr>
        <w:spacing w:after="240"/>
        <w:ind w:left="567" w:hanging="567"/>
      </w:pPr>
      <w:r>
        <w:t>2.</w:t>
      </w:r>
      <w:r>
        <w:tab/>
        <w:t>Dado que el Sáhara Occidental está bajo administración del Estado Parte, sírvanse indicar de qué manera la población de esa región ejerce los derechos reconocidos en el Pacto. ¿Ante qué instituciones se pueden presentar recursos en caso de violación de esos derechos?</w:t>
      </w:r>
    </w:p>
    <w:p w:rsidR="00000000" w:rsidRDefault="00000000">
      <w:pPr>
        <w:spacing w:after="240"/>
        <w:ind w:left="567" w:hanging="567"/>
      </w:pPr>
      <w:r>
        <w:t>3.</w:t>
      </w:r>
      <w:r>
        <w:tab/>
        <w:t>Sírvanse dar ejemplos de casos en que se haya recurrido a los tribunales, invocando las disposiciones del Pacto, particularmente en el caso de leyes incompatibles con esas disposiciones.  ¿Están facultados los tribunales marroquíes para derogar o abolir esas leyes? (informe, párrs. 47 y 161).</w:t>
      </w:r>
    </w:p>
    <w:p w:rsidR="00000000" w:rsidRDefault="00000000"/>
    <w:p w:rsidR="00000000" w:rsidRDefault="00000000"/>
    <w:p w:rsidR="00000000" w:rsidRDefault="00000000">
      <w:r>
        <w:t>GE.04-43268  (S)    190804    190804</w:t>
      </w:r>
    </w:p>
    <w:p w:rsidR="00000000" w:rsidRDefault="00000000">
      <w:pPr>
        <w:spacing w:after="240"/>
        <w:jc w:val="center"/>
        <w:rPr>
          <w:b/>
          <w:bCs/>
        </w:rPr>
      </w:pPr>
      <w:r>
        <w:br w:type="page"/>
      </w:r>
      <w:r>
        <w:rPr>
          <w:b/>
          <w:bCs/>
        </w:rPr>
        <w:t xml:space="preserve">Igualdad de derechos entre el hombre y la mujer, protección de la familia, </w:t>
      </w:r>
      <w:r>
        <w:rPr>
          <w:b/>
          <w:bCs/>
        </w:rPr>
        <w:br/>
        <w:t>protección de la infancia y no discriminación (artículos 3, 23, 24 y 26)</w:t>
      </w:r>
    </w:p>
    <w:p w:rsidR="00000000" w:rsidRDefault="00000000">
      <w:pPr>
        <w:spacing w:after="240"/>
        <w:ind w:left="567" w:hanging="567"/>
      </w:pPr>
      <w:r>
        <w:t>4.</w:t>
      </w:r>
      <w:r>
        <w:tab/>
        <w:t>¿Cuál es la situación de los tribunales especializados en derecho de familia que se prevén en el Código de Familia de 16 de enero de 2004?  Se ruega al Estado Parte que facilite datos estadísticos sobre el número de asuntos pendientes de decisión en esos tribunales.</w:t>
      </w:r>
    </w:p>
    <w:p w:rsidR="00000000" w:rsidRDefault="00000000">
      <w:pPr>
        <w:spacing w:after="240"/>
        <w:ind w:left="567" w:hanging="567"/>
      </w:pPr>
      <w:r>
        <w:t>5.</w:t>
      </w:r>
      <w:r>
        <w:tab/>
        <w:t>Teniendo en cuenta los párrafos 264 a 266, 270 a 275 y  307 a 309 del informe, ¿qué medidas prevé adoptar el Estado Parte para corregir las desigualdades basadas en el sexo que aún subsisten con respecto a la alfabetización, la escolarización y la deserción escolar?  Sírvanse proporcionar estadísticas sobre el número de mujeres empleadas en la administración pública, particularmente en el ámbito de la educación.  ¿Qué medidas prevé adoptar el Estado Parte para aumentar el porcentaje de mujeres que participan en la política y ocupan cargos públicos, especialmente puestos directivos? (informe, párrs. 26 a 32).</w:t>
      </w:r>
    </w:p>
    <w:p w:rsidR="00000000" w:rsidRDefault="00000000">
      <w:pPr>
        <w:spacing w:after="240"/>
        <w:ind w:left="567" w:hanging="567"/>
      </w:pPr>
      <w:r>
        <w:t>6.</w:t>
      </w:r>
      <w:r>
        <w:tab/>
        <w:t>¿Con qué recursos jurídicos y de protección cuentan las mujeres que son víctimas de la violencia en el hogar o de otros malos tratos?  ¿Qué curso se ha dado a la recomendación del Comité sobre esta cuestión, formulada tras el examen del cuarto informe periódico del Estado Parte en 1999?</w:t>
      </w:r>
    </w:p>
    <w:p w:rsidR="00000000" w:rsidRDefault="00000000">
      <w:pPr>
        <w:spacing w:after="240"/>
        <w:ind w:left="567" w:hanging="567"/>
      </w:pPr>
      <w:r>
        <w:t>7.</w:t>
      </w:r>
      <w:r>
        <w:tab/>
        <w:t>¿Cuál es la situación de los extranjeros y los inmigrantes con respecto a los nacionales y cuál es su condición jurídica a la luz del artículo 26 del Pacto?</w:t>
      </w:r>
    </w:p>
    <w:p w:rsidR="00000000" w:rsidRDefault="00000000">
      <w:pPr>
        <w:spacing w:after="240"/>
        <w:jc w:val="center"/>
        <w:rPr>
          <w:b/>
          <w:bCs/>
        </w:rPr>
      </w:pPr>
      <w:r>
        <w:rPr>
          <w:b/>
          <w:bCs/>
        </w:rPr>
        <w:t>Medidas de suspensión (artículo 4)</w:t>
      </w:r>
    </w:p>
    <w:p w:rsidR="00000000" w:rsidRDefault="00000000">
      <w:pPr>
        <w:spacing w:after="240"/>
        <w:ind w:left="567" w:hanging="567"/>
      </w:pPr>
      <w:r>
        <w:t>8.</w:t>
      </w:r>
      <w:r>
        <w:tab/>
        <w:t>Sírvanse explicar, en relación con los párrafos 90 y 91 del informe y del artículo 35 de la Constitución, cómo piensa el Estado Parte garantizar el respeto de la disposición de no suspender los derechos enunciados en los artículos 6, 7, 8 (párrs. 1 y 2, 11, 15, 16 y 18), con motivo de una eventual proclamación del estado de excepción.  ¿Qué curso se ha dado a la recomendación formulada a este respecto por el Comité con ocasión del examen del cuarto informe periódico del Estado Parte?</w:t>
      </w:r>
    </w:p>
    <w:tbl>
      <w:tblPr>
        <w:tblW w:w="0" w:type="auto"/>
        <w:jc w:val="center"/>
        <w:tblInd w:w="1030" w:type="dxa"/>
        <w:tblCellMar>
          <w:left w:w="70" w:type="dxa"/>
          <w:right w:w="70" w:type="dxa"/>
        </w:tblCellMar>
        <w:tblLook w:val="0000" w:firstRow="0" w:lastRow="0" w:firstColumn="0" w:lastColumn="0" w:noHBand="0" w:noVBand="0"/>
      </w:tblPr>
      <w:tblGrid>
        <w:gridCol w:w="6840"/>
      </w:tblGrid>
      <w:tr w:rsidR="00000000">
        <w:tblPrEx>
          <w:tblCellMar>
            <w:top w:w="0" w:type="dxa"/>
            <w:bottom w:w="0" w:type="dxa"/>
          </w:tblCellMar>
        </w:tblPrEx>
        <w:trPr>
          <w:jc w:val="center"/>
        </w:trPr>
        <w:tc>
          <w:tcPr>
            <w:tcW w:w="6840" w:type="dxa"/>
          </w:tcPr>
          <w:p w:rsidR="00000000" w:rsidRDefault="00000000">
            <w:pPr>
              <w:tabs>
                <w:tab w:val="center" w:pos="3290"/>
              </w:tabs>
              <w:spacing w:after="240"/>
              <w:jc w:val="both"/>
              <w:rPr>
                <w:b/>
                <w:bCs/>
              </w:rPr>
            </w:pPr>
            <w:r>
              <w:rPr>
                <w:b/>
                <w:bCs/>
                <w:spacing w:val="4"/>
              </w:rPr>
              <w:t xml:space="preserve">Derecho a la vida y prohibición de la tortura, seguridad personal y protección </w:t>
            </w:r>
            <w:r>
              <w:rPr>
                <w:b/>
                <w:bCs/>
              </w:rPr>
              <w:t>contra la detención arbitraria, trato de los reclusos y otras personas detenidas, prisión por incumplimiento de una obligación contractual, derecho a un juicio imparcial</w:t>
            </w:r>
            <w:r>
              <w:rPr>
                <w:b/>
                <w:bCs/>
              </w:rPr>
              <w:br/>
            </w:r>
            <w:r>
              <w:rPr>
                <w:b/>
                <w:bCs/>
              </w:rPr>
              <w:tab/>
              <w:t>(artículos 6, 7, 9, 10, 11 y 14)</w:t>
            </w:r>
          </w:p>
        </w:tc>
      </w:tr>
    </w:tbl>
    <w:p w:rsidR="00000000" w:rsidRDefault="00000000">
      <w:pPr>
        <w:spacing w:after="240"/>
        <w:ind w:left="567" w:hanging="567"/>
      </w:pPr>
      <w:r>
        <w:t>9.</w:t>
      </w:r>
      <w:r>
        <w:tab/>
        <w:t>¿Se han reducido desde el examen del cuarto informe periódico los delitos punibles con la pena capital?  Sírvanse facilitar datos sobre el número de condenados a muerte que están en prisión.  Teniendo en cuenta que desde 1993 no ha habido ninguna ejecución, ¿ha previsto el Estado Parte ratificar el Segundo Protocolo Facultativo del Pacto?  ¿Qué curso se ha dado a la recomendación del Comité sobre esta cuestión formulada con ocasión del examen del cuarto informe periódico del Estado Parte? (observaciones finales, párr. 15).</w:t>
      </w:r>
    </w:p>
    <w:p w:rsidR="00000000" w:rsidRDefault="00000000">
      <w:pPr>
        <w:spacing w:after="240"/>
        <w:ind w:left="567" w:hanging="567"/>
      </w:pPr>
      <w:r>
        <w:t>10.</w:t>
      </w:r>
      <w:r>
        <w:tab/>
        <w:t>Según se informa, algunos detenidos murieron durante su detención policial.  Sírvanse indicar qué medidas se han adoptado para investigar esas muertes, sancionar a los eventuales responsables y conceder reparación.</w:t>
      </w:r>
    </w:p>
    <w:p w:rsidR="00000000" w:rsidRDefault="00000000">
      <w:pPr>
        <w:spacing w:after="240"/>
        <w:ind w:left="567" w:hanging="567"/>
      </w:pPr>
      <w:r>
        <w:t>11.</w:t>
      </w:r>
      <w:r>
        <w:tab/>
        <w:t>Sírvanse formular observaciones sobre el número creciente de informaciones que dan cuenta de malos tratos y la utilización de la tortura en los lugares de detención provisional, en particular por la Dirección General de Vigilancia del Territorio (DGST), especialmente en la cárcel de Témara.  ¿Se han realizado investigaciones al respecto?  ¿Cuáles han sido los resultados?</w:t>
      </w:r>
    </w:p>
    <w:p w:rsidR="00000000" w:rsidRDefault="00000000">
      <w:pPr>
        <w:spacing w:after="240"/>
        <w:ind w:left="567" w:hanging="567"/>
      </w:pPr>
      <w:r>
        <w:t>12.</w:t>
      </w:r>
      <w:r>
        <w:tab/>
        <w:t>Sírvanse proporcionar información estadística sobre el número de denuncias de actos de tortura y/o malos tratos cometidos por funcionarios del Estado, y sobre las investigaciones, los enjuiciamientos y las sanciones que se han impuesto.  ¿Se lleva un registro nacional de las personas que han sido detenidas o encarceladas?  ¿Qué medidas se han adoptado para aplicar la recomendación del Comité formulada en el párrafo 16 de sus observaciones finales emitidas tras el examen del cuarto informe periódico del Estado Parte en 1999?</w:t>
      </w:r>
    </w:p>
    <w:p w:rsidR="00000000" w:rsidRDefault="00000000">
      <w:pPr>
        <w:spacing w:after="240"/>
        <w:ind w:left="567" w:hanging="567"/>
      </w:pPr>
      <w:r>
        <w:t>13.</w:t>
      </w:r>
      <w:r>
        <w:tab/>
        <w:t>Sírvanse precisar de qué garantías se benefician las personas sospechosas de haber cometido delitos de terrorismo cuya detención sin control judicial puede prolongarse hasta diez días (informe, párr. 132).  ¿Qué curso se ha dado a la recomendación del Comité formulada tras el examen del cuarto informe periódico del Estado Parte en 1999? (observaciones finales, párr. 17).  ¿A partir de qué momento pueden esas personas contar con los servicios de un abogado?</w:t>
      </w:r>
    </w:p>
    <w:p w:rsidR="00000000" w:rsidRDefault="00000000">
      <w:pPr>
        <w:spacing w:after="240"/>
        <w:ind w:left="567" w:hanging="567"/>
      </w:pPr>
      <w:r>
        <w:t>14.</w:t>
      </w:r>
      <w:r>
        <w:tab/>
        <w:t>Sírvanse precisar la noción de terrorismo, tal como se define en la Ley relativa a la lucha contra el terrorismo, de 23 de mayo de 1999.  ¿Cuáles son los criterios para calificar un acto terrorista y cuáles son las instancias jurisdiccionales competentes en la materia?</w:t>
      </w:r>
    </w:p>
    <w:p w:rsidR="00000000" w:rsidRDefault="00000000">
      <w:pPr>
        <w:spacing w:after="240"/>
        <w:ind w:left="567" w:hanging="567"/>
      </w:pPr>
      <w:r>
        <w:t>15.</w:t>
      </w:r>
      <w:r>
        <w:tab/>
        <w:t>En el marco de la lucha contra el terrorismo, varias decenas de personas han sido declaradas culpables exclusivamente sobre la base de confesiones obtenidas bajo tortura durante su detención; a ese respecto, según se informa, se iniciaron procesos sumarios en los que fueron juzgadas en forma colectiva decenas de personas.  ¿Podrían formular comentarios sobre el particular?</w:t>
      </w:r>
    </w:p>
    <w:p w:rsidR="00000000" w:rsidRDefault="00000000">
      <w:pPr>
        <w:spacing w:after="240"/>
        <w:ind w:left="567" w:hanging="567"/>
      </w:pPr>
      <w:r>
        <w:t>16.</w:t>
      </w:r>
      <w:r>
        <w:tab/>
        <w:t>Según se informa, las cárceles parecen haber alcanzado un nivel de hacinamiento alarmante, y las condiciones de higiene y alimentación así como la atención médica son inadecuadas (informe, párrs. 136 a 151).  Sírvanse indicar las medidas que se han adoptado, especialmente con respecto a los reclusos menores de edad.</w:t>
      </w:r>
    </w:p>
    <w:p w:rsidR="00000000" w:rsidRDefault="00000000">
      <w:pPr>
        <w:spacing w:after="240"/>
        <w:ind w:left="567" w:hanging="567"/>
      </w:pPr>
      <w:r>
        <w:t>17.</w:t>
      </w:r>
      <w:r>
        <w:tab/>
        <w:t>Aparte de la indemnización prevista en el marco del procedimiento extrajudicial ante la instancia denominada "de equidad y reconciliación",  ¿qué medidas se han adoptado para resolver los casos de desaparición que aún no se han esclarecido, arrojar luz sobre las circunstancias de esas "desapariciones" y con respecto a la búsqueda de los eventuales lugares en que se dio sepultura a las víctimas?  ¿Tiene previsto el Estado Parte adoptar medidas para identificar a los eventuales responsables y aplicarles, por vía judicial, las penas correspondientes a sus actos?  ¿Qué medidas se han adoptado para dar cumplimiento a la recomendación formulada por el Comité tras el examen del cuarto informe periódico del Estado Parte?</w:t>
      </w:r>
    </w:p>
    <w:p w:rsidR="00000000" w:rsidRDefault="00000000">
      <w:pPr>
        <w:spacing w:after="240"/>
        <w:ind w:left="567" w:hanging="567"/>
      </w:pPr>
      <w:r>
        <w:t>18.</w:t>
      </w:r>
      <w:r>
        <w:tab/>
        <w:t>Sírvanse explicar hasta qué punto las nuevas medidas adoptadas en el marco de la reforma de la institución de la prisión por deudas se ajusta a lo dispuesto en el artículo 11 del Pacto (informe, párrs. 152 a 161).  ¿Se puede detener a una persona por una deuda civil?</w:t>
      </w:r>
    </w:p>
    <w:p w:rsidR="00000000" w:rsidRDefault="00000000">
      <w:pPr>
        <w:keepNext/>
        <w:spacing w:after="240"/>
        <w:jc w:val="center"/>
        <w:rPr>
          <w:b/>
          <w:bCs/>
        </w:rPr>
      </w:pPr>
      <w:r>
        <w:rPr>
          <w:b/>
          <w:bCs/>
        </w:rPr>
        <w:t xml:space="preserve">Derecho de libre circulación y derecho a salir libremente del propio país </w:t>
      </w:r>
      <w:r>
        <w:rPr>
          <w:b/>
          <w:bCs/>
        </w:rPr>
        <w:br/>
        <w:t>y de regresar a él (artículo 12)</w:t>
      </w:r>
    </w:p>
    <w:p w:rsidR="00000000" w:rsidRDefault="00000000">
      <w:pPr>
        <w:spacing w:after="240"/>
        <w:ind w:left="567" w:hanging="567"/>
      </w:pPr>
      <w:r>
        <w:t>19.</w:t>
      </w:r>
      <w:r>
        <w:tab/>
        <w:t>Sírvanse formular observaciones sobre la información de que dispone el Comité según la cual los pasaportes de allegados de las personas desaparecidas del Sáhara Occidental fueron confiscados en 2003 con el fin de impedirles que viajaran al extranjero.  ¿Qué medidas ha adoptado el Estado Parte para aplicar la recomendación formulada por el Comité en el párrafo 20 de las observaciones finales presentadas tras el examen del cuarto informe periódico del Estado Parte en 1999?</w:t>
      </w:r>
    </w:p>
    <w:p w:rsidR="00000000" w:rsidRDefault="00000000">
      <w:pPr>
        <w:spacing w:after="240"/>
        <w:jc w:val="center"/>
        <w:rPr>
          <w:b/>
          <w:bCs/>
        </w:rPr>
      </w:pPr>
      <w:r>
        <w:rPr>
          <w:b/>
          <w:bCs/>
        </w:rPr>
        <w:t>Prohibición de la expulsión de extranjeros sin garantías</w:t>
      </w:r>
      <w:r>
        <w:rPr>
          <w:b/>
          <w:bCs/>
        </w:rPr>
        <w:br/>
        <w:t>judiciales (artículo 13)</w:t>
      </w:r>
    </w:p>
    <w:p w:rsidR="00000000" w:rsidRDefault="00000000">
      <w:pPr>
        <w:spacing w:after="240"/>
        <w:ind w:left="567" w:hanging="567"/>
      </w:pPr>
      <w:r>
        <w:t>20.</w:t>
      </w:r>
      <w:r>
        <w:tab/>
        <w:t xml:space="preserve">Sírvanse precisar de qué recursos, conforme al artículo 13 del Pacto, disponen las </w:t>
      </w:r>
      <w:r>
        <w:br/>
        <w:t>personas que corren el riesgo de que se les obligue a abandonar el territorio nacional por motivo de amenaza a la seguridad del Estado o el orden público, o por terrorismo (informe, párrs. 178 a 188).</w:t>
      </w:r>
    </w:p>
    <w:p w:rsidR="00000000" w:rsidRDefault="00000000">
      <w:pPr>
        <w:spacing w:after="240"/>
        <w:jc w:val="center"/>
      </w:pPr>
      <w:r>
        <w:rPr>
          <w:b/>
          <w:bCs/>
        </w:rPr>
        <w:t>Libertad de expresión, de reunión y de asociación (artículos 19, 21 y 22)</w:t>
      </w:r>
    </w:p>
    <w:p w:rsidR="00000000" w:rsidRDefault="00000000">
      <w:pPr>
        <w:spacing w:after="240"/>
        <w:ind w:left="567" w:hanging="567"/>
      </w:pPr>
      <w:r>
        <w:t>21.</w:t>
      </w:r>
      <w:r>
        <w:tab/>
        <w:t xml:space="preserve">Sírvanse proporcionar información sobre el número de condenas impuestas a periodistas </w:t>
      </w:r>
      <w:r>
        <w:br/>
        <w:t>en forma de multas y penas de prisión, con arreglo a las disposiciones del Código de Prensa y la ley relativa a la lucha contra el terrorismo, por haber expresado opiniones o publicado artículos considerados injuriosos para la familia real, relacionados con el estatuto del Sáhara Occidental o con grupos considerados terroristas.  ¿Cuál es la situación de la aplicación de la recomendación formulada por el Comité en el párrafo 23 de las observaciones finales emitidas tras el examen del cuarto informe periódico del Estado Parte?</w:t>
      </w:r>
    </w:p>
    <w:p w:rsidR="00000000" w:rsidRDefault="00000000">
      <w:pPr>
        <w:spacing w:after="240"/>
        <w:ind w:left="567" w:hanging="567"/>
      </w:pPr>
      <w:r>
        <w:t>22.</w:t>
      </w:r>
      <w:r>
        <w:tab/>
        <w:t>Según se informa, la legislación del Estado Parte prevé la notificación y autorización previas para la celebración de una reunión pacífica, y al parecer esas autorizaciones sólo se conceden para reuniones que no cuestionen la política gubernamental.  ¿Qué medidas se han adoptado para dar cumplimiento a la recomendación del Comité formulada tras el examen del cuarto informe periódico del Estado Parte? (observaciones finales, párr. 24).</w:t>
      </w:r>
    </w:p>
    <w:p w:rsidR="00000000" w:rsidRDefault="00000000">
      <w:pPr>
        <w:spacing w:after="240"/>
        <w:ind w:left="567" w:hanging="567"/>
      </w:pPr>
      <w:r>
        <w:t>23.</w:t>
      </w:r>
      <w:r>
        <w:tab/>
        <w:t>Se tiene información de actos de hostigamiento e intimidación cometidos contra varios saharauíes (miembros de la sociedad civil), porque son considerados partidarios de la independencia del Sáhara Occidental.  Sírvanse dar detalles sobre la disolución, en junio de 2003, de la sección saharaui del Foro para la Verdad y la Justicia, y sobre la condena de miembros de esta organización.</w:t>
      </w:r>
    </w:p>
    <w:p w:rsidR="00000000" w:rsidRDefault="00000000">
      <w:pPr>
        <w:spacing w:after="240"/>
        <w:ind w:left="567" w:hanging="567"/>
      </w:pPr>
      <w:r>
        <w:t>24.</w:t>
      </w:r>
      <w:r>
        <w:tab/>
        <w:t>Según se informa, se habría excluido a estudiantes de varias universidades por haber sido simpatizantes o miembros de organizaciones consideradas fundamentalistas.  Sírvanse formular sus observaciones al respecto.</w:t>
      </w:r>
    </w:p>
    <w:p w:rsidR="00000000" w:rsidRDefault="00000000">
      <w:pPr>
        <w:keepNext/>
        <w:keepLines/>
        <w:spacing w:after="240"/>
        <w:ind w:left="567" w:hanging="567"/>
        <w:jc w:val="center"/>
      </w:pPr>
      <w:r>
        <w:rPr>
          <w:b/>
          <w:bCs/>
        </w:rPr>
        <w:t>Derechos del niño (artículo 24)</w:t>
      </w:r>
    </w:p>
    <w:p w:rsidR="00000000" w:rsidRDefault="00000000">
      <w:pPr>
        <w:keepNext/>
        <w:keepLines/>
        <w:spacing w:after="240"/>
        <w:ind w:left="567" w:hanging="567"/>
      </w:pPr>
      <w:r>
        <w:t>25.</w:t>
      </w:r>
      <w:r>
        <w:tab/>
        <w:t>Sírvanse precisar las medidas adoptadas para luchar contra la explotación económica de los niños y los malos tratos de que supuestamente son víctimas las niñas originarias de zonas rurales, que trabajan en condiciones difíciles en las ciudades como empleadas domésticas.  ¿Cómo se aplica en la práctica la disposición citada en el párrafo 127 del informe, relativa al aumento de la edad mínima de admisión al empleo a los 15 años?</w:t>
      </w:r>
    </w:p>
    <w:p w:rsidR="00000000" w:rsidRDefault="00000000">
      <w:pPr>
        <w:spacing w:after="240"/>
        <w:ind w:left="567" w:hanging="567"/>
      </w:pPr>
      <w:r>
        <w:t>26.</w:t>
      </w:r>
      <w:r>
        <w:tab/>
        <w:t>Sírvanse explicar en qué medida la legislación relativa a la obtención de la nacionalidad marroquí por un niño nacido en Marruecos de madre marroquí y padre extranjero se considera compatible con las disposiciones del párrafo 3 del  artículo 24 del Pacto (informe, párr. 302).</w:t>
      </w:r>
    </w:p>
    <w:p w:rsidR="00000000" w:rsidRDefault="00000000">
      <w:pPr>
        <w:pStyle w:val="Heading1"/>
        <w:keepNext w:val="0"/>
        <w:spacing w:line="240" w:lineRule="auto"/>
      </w:pPr>
      <w:r>
        <w:t>Difusión del Pacto y del Protocolo Facultativo</w:t>
      </w:r>
    </w:p>
    <w:p w:rsidR="00000000" w:rsidRDefault="00000000">
      <w:pPr>
        <w:spacing w:after="240"/>
        <w:ind w:left="567" w:hanging="567"/>
      </w:pPr>
      <w:r>
        <w:t>27.</w:t>
      </w:r>
      <w:r>
        <w:tab/>
        <w:t>Sírvanse indicar las medidas adoptadas para difundir la información sobre la presentación del quinto informe periódico y su examen por el Comité, así como las observaciones finales del Comité formuladas tras el examen del cuarto informe periódico de Marruecos.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CCPR/C/82/L/MAR</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CCPR/C/82/L/MAR</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1688</Words>
  <Characters>9625</Characters>
  <Application>Microsoft Office Word</Application>
  <DocSecurity>4</DocSecurity>
  <Lines>80</Lines>
  <Paragraphs>19</Paragraphs>
  <ScaleCrop>false</ScaleCrop>
  <HeadingPairs>
    <vt:vector size="2" baseType="variant">
      <vt:variant>
        <vt:lpstr>Title</vt:lpstr>
      </vt:variant>
      <vt:variant>
        <vt:i4>1</vt:i4>
      </vt:variant>
    </vt:vector>
  </HeadingPairs>
  <TitlesOfParts>
    <vt:vector size="1" baseType="lpstr">
      <vt:lpstr>CCPR/C/82/L/MAR  -  04-43268</vt:lpstr>
    </vt:vector>
  </TitlesOfParts>
  <Company>ONU</Company>
  <LinksUpToDate>false</LinksUpToDate>
  <CharactersWithSpaces>11820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CCPR/C/82/L/MAR  -  04-43268</dc:title>
  <dc:subject/>
  <dc:creator>Fanny Figueroa Bravo</dc:creator>
  <cp:keywords/>
  <dc:description/>
  <cp:lastModifiedBy>auboin</cp:lastModifiedBy>
  <cp:revision>3</cp:revision>
  <cp:lastPrinted>2004-08-19T14:11:00Z</cp:lastPrinted>
  <dcterms:created xsi:type="dcterms:W3CDTF">2004-08-19T14:50:00Z</dcterms:created>
  <dcterms:modified xsi:type="dcterms:W3CDTF">2004-08-23T06:55:00Z</dcterms:modified>
</cp:coreProperties>
</file>